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0B18" w14:textId="77777777" w:rsidR="004B5617" w:rsidRPr="002D4CF2" w:rsidRDefault="004B5617" w:rsidP="004B5617">
      <w:pPr>
        <w:pStyle w:val="Kop1"/>
      </w:pPr>
      <w:r w:rsidRPr="002D4CF2">
        <w:t>Besluit van de burgemeester van ${Organisatie.Gemeente.Naam}</w:t>
      </w:r>
      <w:r>
        <w:rPr>
          <w:caps w:val="0"/>
          <w:smallCaps/>
        </w:rPr>
        <w:t xml:space="preserve"> </w:t>
      </w:r>
      <w:r w:rsidRPr="00277F94">
        <w:rPr>
          <w:caps w:val="0"/>
        </w:rPr>
        <w:t>van ${</w:t>
      </w:r>
      <w:proofErr w:type="spellStart"/>
      <w:r w:rsidRPr="00277F94">
        <w:rPr>
          <w:caps w:val="0"/>
        </w:rPr>
        <w:t>Beslissing.datum.d</w:t>
      </w:r>
      <w:proofErr w:type="spellEnd"/>
      <w:r w:rsidRPr="00277F94">
        <w:rPr>
          <w:caps w:val="0"/>
        </w:rPr>
        <w:t xml:space="preserve"> MMMM </w:t>
      </w:r>
      <w:proofErr w:type="spellStart"/>
      <w:r w:rsidRPr="00277F94">
        <w:rPr>
          <w:caps w:val="0"/>
        </w:rPr>
        <w:t>yyyy</w:t>
      </w:r>
      <w:proofErr w:type="spellEnd"/>
      <w:r w:rsidRPr="00277F94">
        <w:rPr>
          <w:caps w:val="0"/>
        </w:rPr>
        <w:t>}</w:t>
      </w:r>
    </w:p>
    <w:p w14:paraId="47E26725" w14:textId="77777777" w:rsidR="004B5617" w:rsidRDefault="004B5617" w:rsidP="004B5617"/>
    <w:p w14:paraId="539BBE99" w14:textId="1C0EC93B" w:rsidR="004B5617" w:rsidRDefault="004B5617" w:rsidP="004B5617">
      <w:pPr>
        <w:pStyle w:val="Kop2"/>
      </w:pPr>
      <w:r w:rsidRPr="00ED2C29">
        <w:rPr>
          <w:caps w:val="0"/>
        </w:rPr>
        <w:t xml:space="preserve">Nr. </w:t>
      </w:r>
      <w:r w:rsidRPr="00ED2C29">
        <w:rPr>
          <w:caps w:val="0"/>
        </w:rPr>
        <w:tab/>
      </w:r>
      <w:r w:rsidRPr="00816764">
        <w:rPr>
          <w:b/>
          <w:caps w:val="0"/>
        </w:rPr>
        <w:t>Ref. besluit burg.</w:t>
      </w:r>
      <w:r w:rsidRPr="00ED2C29">
        <w:rPr>
          <w:caps w:val="0"/>
        </w:rPr>
        <w:tab/>
      </w:r>
      <w:r>
        <w:rPr>
          <w:caps w:val="0"/>
        </w:rPr>
        <w:tab/>
      </w:r>
      <w:r>
        <w:rPr>
          <w:b/>
          <w:caps w:val="0"/>
          <w:smallCaps/>
          <w:sz w:val="24"/>
          <w:szCs w:val="24"/>
        </w:rPr>
        <w:t>Herhuisvestingsbesluit</w:t>
      </w:r>
      <w:r>
        <w:t xml:space="preserve"> </w:t>
      </w:r>
    </w:p>
    <w:p w14:paraId="18EBCA5A" w14:textId="77777777" w:rsidR="004B5617" w:rsidRPr="00981240" w:rsidRDefault="004B5617" w:rsidP="004B5617">
      <w:pPr>
        <w:pStyle w:val="Kop2"/>
        <w:rPr>
          <w:b/>
          <w:caps w:val="0"/>
          <w:smallCaps/>
        </w:rPr>
      </w:pPr>
      <w:r>
        <w:tab/>
      </w:r>
      <w:r>
        <w:tab/>
      </w:r>
      <w:r>
        <w:tab/>
      </w:r>
      <w:r>
        <w:tab/>
      </w:r>
      <w:r>
        <w:tab/>
      </w:r>
      <w:r w:rsidRPr="00981240">
        <w:rPr>
          <w:b/>
          <w:caps w:val="0"/>
          <w:smallCaps/>
        </w:rPr>
        <w:t>${</w:t>
      </w:r>
      <w:proofErr w:type="spellStart"/>
      <w:r w:rsidRPr="00981240">
        <w:rPr>
          <w:b/>
          <w:caps w:val="0"/>
          <w:smallCaps/>
        </w:rPr>
        <w:t>Pand.Adres</w:t>
      </w:r>
      <w:proofErr w:type="spellEnd"/>
      <w:r w:rsidRPr="00981240">
        <w:rPr>
          <w:b/>
          <w:caps w:val="0"/>
          <w:smallCaps/>
        </w:rPr>
        <w:t xml:space="preserve">} </w:t>
      </w:r>
    </w:p>
    <w:p w14:paraId="28BE9F36" w14:textId="77777777" w:rsidR="004B5617" w:rsidRPr="00981240" w:rsidRDefault="004B5617" w:rsidP="004B5617">
      <w:pPr>
        <w:pStyle w:val="Kop2"/>
        <w:rPr>
          <w:b/>
          <w:caps w:val="0"/>
          <w:smallCaps/>
        </w:rPr>
      </w:pPr>
      <w:r w:rsidRPr="00981240">
        <w:rPr>
          <w:b/>
          <w:caps w:val="0"/>
          <w:smallCaps/>
        </w:rPr>
        <w:tab/>
      </w:r>
      <w:r w:rsidRPr="00981240">
        <w:rPr>
          <w:b/>
          <w:caps w:val="0"/>
          <w:smallCaps/>
        </w:rPr>
        <w:tab/>
      </w:r>
      <w:r w:rsidRPr="00981240">
        <w:rPr>
          <w:b/>
          <w:caps w:val="0"/>
          <w:smallCaps/>
        </w:rPr>
        <w:tab/>
      </w:r>
      <w:r w:rsidRPr="00981240">
        <w:rPr>
          <w:b/>
          <w:caps w:val="0"/>
          <w:smallCaps/>
        </w:rPr>
        <w:tab/>
      </w:r>
      <w:r w:rsidRPr="00981240">
        <w:rPr>
          <w:b/>
          <w:caps w:val="0"/>
          <w:smallCaps/>
        </w:rPr>
        <w:tab/>
        <w:t># {Entiteit[]}</w:t>
      </w:r>
    </w:p>
    <w:p w14:paraId="33EE9D28" w14:textId="77777777" w:rsidR="004B5617" w:rsidRPr="003E29CF" w:rsidRDefault="004B5617" w:rsidP="004B5617"/>
    <w:p w14:paraId="640FC665" w14:textId="77777777" w:rsidR="004B5617" w:rsidRDefault="004B5617" w:rsidP="004B5617">
      <w:pPr>
        <w:pStyle w:val="Kop3"/>
      </w:pPr>
      <w:r>
        <w:t>rechtsgronden en juridisch kader</w:t>
      </w:r>
    </w:p>
    <w:p w14:paraId="4C3AF9BE" w14:textId="77777777" w:rsidR="004B5617" w:rsidRDefault="004B5617" w:rsidP="004B5617">
      <w:r>
        <w:t>Dit besluit is gebaseerd op of sluit aan bij de volgende regelgeving:</w:t>
      </w:r>
    </w:p>
    <w:p w14:paraId="30DB3D70" w14:textId="77777777" w:rsidR="004B5617" w:rsidRDefault="004B5617" w:rsidP="004B5617">
      <w:pPr>
        <w:pStyle w:val="Lijstalinea"/>
        <w:numPr>
          <w:ilvl w:val="0"/>
          <w:numId w:val="4"/>
        </w:numPr>
        <w:spacing w:before="0" w:after="160" w:line="259" w:lineRule="auto"/>
      </w:pPr>
      <w:r>
        <w:t>De Vlaamse Codex Wonen van 2021, in het bijzonder Boek 3, Deel 8, zoals laatste gewijzigd;</w:t>
      </w:r>
    </w:p>
    <w:p w14:paraId="65D0B126" w14:textId="77777777" w:rsidR="004B5617" w:rsidRDefault="004B5617" w:rsidP="004B5617">
      <w:pPr>
        <w:pStyle w:val="Lijstalinea"/>
        <w:numPr>
          <w:ilvl w:val="0"/>
          <w:numId w:val="4"/>
        </w:numPr>
        <w:spacing w:before="0" w:after="160" w:line="259" w:lineRule="auto"/>
      </w:pPr>
      <w:r>
        <w:t>Het Besluit Vlaamse Codex Wonen van 2021, in het bijzonder Boek 3, Deel 9, zoals laatst gewijzigd;</w:t>
      </w:r>
    </w:p>
    <w:p w14:paraId="1228F93E" w14:textId="77777777" w:rsidR="004B5617" w:rsidRDefault="004B5617" w:rsidP="004B5617">
      <w:pPr>
        <w:pStyle w:val="Lijstalinea"/>
        <w:numPr>
          <w:ilvl w:val="0"/>
          <w:numId w:val="4"/>
        </w:numPr>
        <w:spacing w:before="0" w:after="160" w:line="259" w:lineRule="auto"/>
      </w:pPr>
      <w:r>
        <w:t>Het Decreet van 22 december 2017 over het lokaal bestuur, in het bijzonder artikel 63.</w:t>
      </w:r>
    </w:p>
    <w:p w14:paraId="1B008C6A" w14:textId="77777777" w:rsidR="004B5617" w:rsidRDefault="004B5617" w:rsidP="004B5617"/>
    <w:p w14:paraId="7F178815" w14:textId="77777777" w:rsidR="004B5617" w:rsidRDefault="004B5617" w:rsidP="004B5617">
      <w:pPr>
        <w:pStyle w:val="Kop3"/>
      </w:pPr>
      <w:r>
        <w:t>motivering</w:t>
      </w:r>
    </w:p>
    <w:p w14:paraId="44CC9C11" w14:textId="77777777" w:rsidR="004B5617" w:rsidRDefault="004B5617" w:rsidP="004B5617"/>
    <w:p w14:paraId="788C1D8D" w14:textId="77777777" w:rsidR="004B5617" w:rsidRPr="003A6449" w:rsidRDefault="004B5617" w:rsidP="004B5617">
      <w:pPr>
        <w:pStyle w:val="Kop4"/>
        <w:rPr>
          <w:b/>
          <w:caps w:val="0"/>
        </w:rPr>
      </w:pPr>
      <w:r w:rsidRPr="003A6449">
        <w:rPr>
          <w:b/>
          <w:caps w:val="0"/>
        </w:rPr>
        <w:t>Feiten</w:t>
      </w:r>
    </w:p>
    <w:p w14:paraId="4EAAE3D8" w14:textId="77777777" w:rsidR="004B5617" w:rsidRPr="008807BE" w:rsidRDefault="004B5617" w:rsidP="004B5617">
      <w:pPr>
        <w:rPr>
          <w:bCs/>
        </w:rPr>
      </w:pPr>
      <w:r>
        <w:t xml:space="preserve">Op </w:t>
      </w:r>
      <w:r w:rsidRPr="00D14A8D">
        <w:rPr>
          <w:b/>
          <w:i/>
          <w:iCs/>
        </w:rPr>
        <w:t>[datum melding/verzoek]</w:t>
      </w:r>
      <w:r>
        <w:rPr>
          <w:bCs/>
        </w:rPr>
        <w:t xml:space="preserve"> ontving de burgemeester een melding van slechte woningkwaliteit van een woning gelegen te </w:t>
      </w:r>
      <w:r w:rsidRPr="00D14A8D">
        <w:rPr>
          <w:b/>
          <w:i/>
          <w:iCs/>
        </w:rPr>
        <w:t>[adres + kadastrale ligging]</w:t>
      </w:r>
      <w:r>
        <w:rPr>
          <w:bCs/>
        </w:rPr>
        <w:t>.</w:t>
      </w:r>
    </w:p>
    <w:p w14:paraId="0CF3B049" w14:textId="77777777" w:rsidR="004B5617" w:rsidRPr="009E3B04" w:rsidRDefault="004B5617" w:rsidP="004B5617">
      <w:r>
        <w:t>Uit</w:t>
      </w:r>
      <w:r w:rsidRPr="009E3B04">
        <w:t xml:space="preserve"> het verslag van </w:t>
      </w:r>
      <w:r w:rsidRPr="009E3B04">
        <w:rPr>
          <w:b/>
          <w:i/>
        </w:rPr>
        <w:t>[= de deskundige(n), vb. de brandweer, een architect, een woningcontroleur, de Vlaamse wooninspectie of de gemeente, …]</w:t>
      </w:r>
      <w:r w:rsidRPr="009E3B04">
        <w:rPr>
          <w:i/>
        </w:rPr>
        <w:t xml:space="preserve"> </w:t>
      </w:r>
      <w:r w:rsidRPr="009E3B04">
        <w:t xml:space="preserve">van </w:t>
      </w:r>
      <w:r w:rsidRPr="009E3B04">
        <w:rPr>
          <w:b/>
        </w:rPr>
        <w:t>[datum]</w:t>
      </w:r>
      <w:r w:rsidRPr="009E3B04">
        <w:t xml:space="preserve"> blijkt dat</w:t>
      </w:r>
      <w:r>
        <w:t xml:space="preserve"> de woning </w:t>
      </w:r>
      <w:r w:rsidRPr="009E3B04">
        <w:t xml:space="preserve"> volgende gebreken vertoont die een acuut veiligheids- en/of gezondheidsrisico  met zich meebrengen</w:t>
      </w:r>
      <w:r>
        <w:t xml:space="preserve">/ </w:t>
      </w:r>
      <w:proofErr w:type="spellStart"/>
      <w:r>
        <w:t>overbewoond</w:t>
      </w:r>
      <w:proofErr w:type="spellEnd"/>
      <w:r>
        <w:t xml:space="preserve"> is </w:t>
      </w:r>
      <w:r w:rsidRPr="009E3B04">
        <w:rPr>
          <w:b/>
          <w:i/>
        </w:rPr>
        <w:t>[behouden wat van toepassing is]</w:t>
      </w:r>
      <w:r w:rsidRPr="009E3B04">
        <w:t>:</w:t>
      </w:r>
    </w:p>
    <w:p w14:paraId="7BBE99B0" w14:textId="77777777" w:rsidR="004B5617" w:rsidRPr="009E3B04" w:rsidRDefault="004B5617" w:rsidP="004B5617">
      <w:r w:rsidRPr="009E3B04">
        <w:rPr>
          <w:b/>
          <w:i/>
        </w:rPr>
        <w:t>[omstandig alle elementen opsommen die aantonen dat er sprake is van een acuut veiligheids- of gezondheidsrisico</w:t>
      </w:r>
      <w:r>
        <w:rPr>
          <w:b/>
          <w:i/>
        </w:rPr>
        <w:t xml:space="preserve"> = gebreken categorie III/omstandig verslag </w:t>
      </w:r>
      <w:proofErr w:type="spellStart"/>
      <w:r>
        <w:rPr>
          <w:b/>
          <w:i/>
        </w:rPr>
        <w:t>overbewoning</w:t>
      </w:r>
      <w:proofErr w:type="spellEnd"/>
      <w:r w:rsidRPr="009E3B04">
        <w:rPr>
          <w:b/>
          <w:i/>
        </w:rPr>
        <w:t>]</w:t>
      </w:r>
      <w:r>
        <w:t>Op</w:t>
      </w:r>
      <w:r w:rsidRPr="009E3B04">
        <w:t xml:space="preserve"> basis van deze gebreken </w:t>
      </w:r>
      <w:r>
        <w:t>is</w:t>
      </w:r>
      <w:r w:rsidRPr="009E3B04">
        <w:t xml:space="preserve"> herhuisvesting van de bewoners noodzakelijk is aangezien de huidige toestand van de woning een acuut gevaar betekent voor de veiligheid en gezondheid van de bewoners;</w:t>
      </w:r>
    </w:p>
    <w:p w14:paraId="5A1AE57B" w14:textId="77777777" w:rsidR="004B5617" w:rsidRPr="009E3B04" w:rsidRDefault="004B5617" w:rsidP="004B5617">
      <w:r>
        <w:t>De</w:t>
      </w:r>
      <w:r w:rsidRPr="009E3B04">
        <w:t xml:space="preserve"> vaststellingen </w:t>
      </w:r>
      <w:r>
        <w:t xml:space="preserve">werden </w:t>
      </w:r>
      <w:r w:rsidRPr="009E3B04">
        <w:t xml:space="preserve">per aangetekend schrijven d.d. </w:t>
      </w:r>
      <w:r w:rsidRPr="009E3B04">
        <w:rPr>
          <w:b/>
        </w:rPr>
        <w:t>[datum]</w:t>
      </w:r>
      <w:r w:rsidRPr="009E3B04">
        <w:t xml:space="preserve"> werden bezorgd aan de </w:t>
      </w:r>
      <w:r>
        <w:t>houders van het zakelijk recht</w:t>
      </w:r>
      <w:r w:rsidRPr="009E3B04">
        <w:t xml:space="preserve"> en de bewoner </w:t>
      </w:r>
      <w:r w:rsidRPr="009E3B04">
        <w:rPr>
          <w:b/>
          <w:i/>
        </w:rPr>
        <w:t>[en/of eventuele andere betrokkenen]</w:t>
      </w:r>
      <w:r w:rsidRPr="009E3B04">
        <w:t>;</w:t>
      </w:r>
    </w:p>
    <w:p w14:paraId="54E272EE" w14:textId="77777777" w:rsidR="004B5617" w:rsidRPr="009E3B04" w:rsidRDefault="004B5617" w:rsidP="004B5617">
      <w:r w:rsidRPr="009E3B04">
        <w:rPr>
          <w:b/>
          <w:i/>
        </w:rPr>
        <w:t xml:space="preserve">[Wat betreft de </w:t>
      </w:r>
      <w:proofErr w:type="spellStart"/>
      <w:r w:rsidRPr="009E3B04">
        <w:rPr>
          <w:b/>
          <w:i/>
        </w:rPr>
        <w:t>hoorplicht</w:t>
      </w:r>
      <w:proofErr w:type="spellEnd"/>
      <w:r w:rsidRPr="009E3B04">
        <w:rPr>
          <w:b/>
          <w:i/>
        </w:rPr>
        <w:t>]</w:t>
      </w:r>
      <w:r w:rsidRPr="009E3B04">
        <w:t xml:space="preserve"> </w:t>
      </w:r>
      <w:r>
        <w:t>D</w:t>
      </w:r>
      <w:r w:rsidRPr="009E3B04">
        <w:t xml:space="preserve">e betrokkenen </w:t>
      </w:r>
      <w:r>
        <w:t xml:space="preserve">werden </w:t>
      </w:r>
      <w:r w:rsidRPr="009E3B04">
        <w:t>uitgenodigd</w:t>
      </w:r>
      <w:r>
        <w:t xml:space="preserve"> </w:t>
      </w:r>
      <w:r w:rsidRPr="009E3B04">
        <w:t xml:space="preserve">op een hoorzitting op </w:t>
      </w:r>
      <w:r w:rsidRPr="009E3B04">
        <w:rPr>
          <w:b/>
        </w:rPr>
        <w:t>[datum]</w:t>
      </w:r>
      <w:r w:rsidRPr="009E3B04">
        <w:t>;</w:t>
      </w:r>
    </w:p>
    <w:p w14:paraId="0E5FE6BC" w14:textId="77777777" w:rsidR="004B5617" w:rsidRDefault="004B5617" w:rsidP="004B5617">
      <w:r w:rsidRPr="009E3B04">
        <w:rPr>
          <w:b/>
          <w:i/>
        </w:rPr>
        <w:t>[of]</w:t>
      </w:r>
      <w:r w:rsidRPr="009E3B04">
        <w:t xml:space="preserve"> </w:t>
      </w:r>
    </w:p>
    <w:p w14:paraId="10237EB6" w14:textId="77777777" w:rsidR="004B5617" w:rsidRPr="009E3B04" w:rsidRDefault="004B5617" w:rsidP="004B5617">
      <w:r>
        <w:t>De</w:t>
      </w:r>
      <w:r w:rsidRPr="009E3B04">
        <w:t xml:space="preserve"> betrokkenen </w:t>
      </w:r>
      <w:r>
        <w:t xml:space="preserve">werden </w:t>
      </w:r>
      <w:r w:rsidRPr="009E3B04">
        <w:t>uitgenodigd</w:t>
      </w:r>
      <w:r>
        <w:t xml:space="preserve"> </w:t>
      </w:r>
      <w:r w:rsidRPr="009E3B04">
        <w:t xml:space="preserve">om hun argumenten schriftelijk kenbaar te maken tegen uiterlijk </w:t>
      </w:r>
      <w:r w:rsidRPr="00D14A8D">
        <w:rPr>
          <w:b/>
          <w:bCs/>
        </w:rPr>
        <w:t>[datum];</w:t>
      </w:r>
    </w:p>
    <w:p w14:paraId="3CC0B960" w14:textId="77777777" w:rsidR="004B5617" w:rsidRPr="00CA4A29" w:rsidRDefault="004B5617" w:rsidP="004B5617">
      <w:pPr>
        <w:rPr>
          <w:bCs/>
          <w:iCs/>
        </w:rPr>
      </w:pPr>
      <w:r w:rsidRPr="00D14A8D">
        <w:rPr>
          <w:b/>
          <w:bCs/>
          <w:i/>
          <w:iCs/>
        </w:rPr>
        <w:t>[Ofwel]</w:t>
      </w:r>
      <w:r>
        <w:rPr>
          <w:b/>
          <w:bCs/>
        </w:rPr>
        <w:t xml:space="preserve"> </w:t>
      </w:r>
      <w:r>
        <w:t>D</w:t>
      </w:r>
      <w:r w:rsidRPr="009E3B04">
        <w:t>e bewoner</w:t>
      </w:r>
      <w:r>
        <w:t>/</w:t>
      </w:r>
      <w:r w:rsidRPr="009E3B04">
        <w:t xml:space="preserve">de houder van het zakelijk recht </w:t>
      </w:r>
      <w:r>
        <w:t xml:space="preserve">heeft niet gereageerd. </w:t>
      </w:r>
      <w:r>
        <w:br/>
      </w:r>
      <w:r w:rsidRPr="00663DB8">
        <w:rPr>
          <w:b/>
          <w:bCs/>
          <w:i/>
          <w:iCs/>
        </w:rPr>
        <w:t>[Ofwel]</w:t>
      </w:r>
      <w:r>
        <w:rPr>
          <w:b/>
          <w:bCs/>
          <w:i/>
          <w:iCs/>
        </w:rPr>
        <w:t xml:space="preserve"> </w:t>
      </w:r>
      <w:r w:rsidRPr="009E3B04">
        <w:rPr>
          <w:b/>
          <w:i/>
        </w:rPr>
        <w:t>[</w:t>
      </w:r>
      <w:r>
        <w:rPr>
          <w:b/>
          <w:i/>
        </w:rPr>
        <w:t>Naam en hoedanigheid persoon</w:t>
      </w:r>
      <w:r w:rsidRPr="009E3B04">
        <w:rPr>
          <w:b/>
          <w:i/>
        </w:rPr>
        <w:t>]</w:t>
      </w:r>
      <w:r>
        <w:rPr>
          <w:bCs/>
          <w:iCs/>
        </w:rPr>
        <w:t xml:space="preserve"> heeft volgend standpunt ingenomen: </w:t>
      </w:r>
      <w:r w:rsidRPr="009E3B04">
        <w:rPr>
          <w:b/>
          <w:i/>
        </w:rPr>
        <w:t>[</w:t>
      </w:r>
      <w:r>
        <w:rPr>
          <w:b/>
          <w:i/>
        </w:rPr>
        <w:t>Overnemen schriftelijke of mondelinge reactie, datum brief reactie, datum mondelinge hoorzitting, argumenten weergeven en bespreking daarvan</w:t>
      </w:r>
      <w:r w:rsidRPr="009E3B04">
        <w:rPr>
          <w:b/>
          <w:i/>
        </w:rPr>
        <w:t>]</w:t>
      </w:r>
    </w:p>
    <w:p w14:paraId="749A81D7" w14:textId="77777777" w:rsidR="004B5617" w:rsidRDefault="004B5617" w:rsidP="004B5617"/>
    <w:p w14:paraId="5B6E37AA" w14:textId="6971B771" w:rsidR="004B5617" w:rsidRPr="00A26FE1" w:rsidRDefault="004B5617" w:rsidP="004B5617">
      <w:pPr>
        <w:pStyle w:val="Kop3"/>
      </w:pPr>
      <w:r w:rsidRPr="00A26FE1">
        <w:t xml:space="preserve">BESLUIT </w:t>
      </w:r>
    </w:p>
    <w:p w14:paraId="2E5A642D" w14:textId="77777777" w:rsidR="004B5617" w:rsidRPr="00A26FE1" w:rsidRDefault="004B5617" w:rsidP="004B5617"/>
    <w:p w14:paraId="6261743F" w14:textId="77777777" w:rsidR="004B5617" w:rsidRPr="009E3B04" w:rsidRDefault="004B5617" w:rsidP="004B5617">
      <w:r w:rsidRPr="009E3B04">
        <w:rPr>
          <w:b/>
        </w:rPr>
        <w:t>Artikel 1.</w:t>
      </w:r>
      <w:r w:rsidRPr="009E3B04">
        <w:t xml:space="preserve"> De bewoners van de woning gelegen te </w:t>
      </w:r>
      <w:r w:rsidRPr="009E3B04">
        <w:rPr>
          <w:b/>
        </w:rPr>
        <w:t>[adres, kadastrale ligging]</w:t>
      </w:r>
      <w:r w:rsidRPr="009E3B04">
        <w:t xml:space="preserve"> moeten worden geherhuisvest.</w:t>
      </w:r>
    </w:p>
    <w:p w14:paraId="4FB56DC0" w14:textId="77777777" w:rsidR="004B5617" w:rsidRPr="009E3B04" w:rsidRDefault="004B5617" w:rsidP="004B5617">
      <w:r w:rsidRPr="009E3B04">
        <w:rPr>
          <w:b/>
        </w:rPr>
        <w:t>Artikel 2.</w:t>
      </w:r>
      <w:r w:rsidRPr="009E3B04">
        <w:t xml:space="preserve"> Herhuisvestingsmaatregelen werden genomen in opdracht van de burgemeester, in samenwerking met </w:t>
      </w:r>
      <w:r w:rsidRPr="00D14A8D">
        <w:rPr>
          <w:b/>
          <w:i/>
          <w:iCs/>
        </w:rPr>
        <w:t>[de stadsdiensten, het OCMW,…]</w:t>
      </w:r>
      <w:r w:rsidRPr="00D14A8D">
        <w:rPr>
          <w:i/>
          <w:iCs/>
        </w:rPr>
        <w:t>.</w:t>
      </w:r>
    </w:p>
    <w:p w14:paraId="7E4048EB" w14:textId="77777777" w:rsidR="004B5617" w:rsidRPr="009E3B04" w:rsidRDefault="004B5617" w:rsidP="004B5617">
      <w:r w:rsidRPr="009E3B04">
        <w:rPr>
          <w:b/>
        </w:rPr>
        <w:t>Artikel 3.</w:t>
      </w:r>
      <w:r w:rsidRPr="009E3B04">
        <w:t xml:space="preserve"> De volgende kosten van herhuisvesting kunnen worden verhaald op de verhuurder of persoon die de woning ter beschikking heeft gesteld:</w:t>
      </w:r>
    </w:p>
    <w:p w14:paraId="033A6E57" w14:textId="77777777" w:rsidR="004B5617" w:rsidRPr="009E3B04" w:rsidRDefault="004B5617" w:rsidP="004B5617">
      <w:pPr>
        <w:pStyle w:val="Lijstalinea"/>
        <w:numPr>
          <w:ilvl w:val="0"/>
          <w:numId w:val="5"/>
        </w:numPr>
        <w:spacing w:before="0" w:after="160" w:line="259" w:lineRule="auto"/>
      </w:pPr>
      <w:r w:rsidRPr="009E3B04">
        <w:t>de kosten om de woning te ontruimen;</w:t>
      </w:r>
    </w:p>
    <w:p w14:paraId="73A7A298" w14:textId="77777777" w:rsidR="004B5617" w:rsidRPr="009E3B04" w:rsidRDefault="004B5617" w:rsidP="004B5617">
      <w:pPr>
        <w:pStyle w:val="Lijstalinea"/>
        <w:numPr>
          <w:ilvl w:val="0"/>
          <w:numId w:val="5"/>
        </w:numPr>
        <w:spacing w:before="0" w:after="160" w:line="259" w:lineRule="auto"/>
      </w:pPr>
      <w:r w:rsidRPr="009E3B04">
        <w:t>de kosten voor het vervoer en de opslag van het meubilair en de goederen van de bewoners;</w:t>
      </w:r>
    </w:p>
    <w:p w14:paraId="01159AC2" w14:textId="77777777" w:rsidR="004B5617" w:rsidRPr="009E3B04" w:rsidRDefault="004B5617" w:rsidP="004B5617">
      <w:pPr>
        <w:pStyle w:val="Lijstalinea"/>
        <w:numPr>
          <w:ilvl w:val="0"/>
          <w:numId w:val="5"/>
        </w:numPr>
        <w:spacing w:before="0" w:after="160" w:line="259" w:lineRule="auto"/>
      </w:pPr>
      <w:r w:rsidRPr="009E3B04">
        <w:t>de installatiekosten met betrekking tot de nieuw te betrekken woning;</w:t>
      </w:r>
    </w:p>
    <w:p w14:paraId="34DEC07F" w14:textId="77777777" w:rsidR="004B5617" w:rsidRPr="009E3B04" w:rsidRDefault="004B5617" w:rsidP="004B5617">
      <w:pPr>
        <w:pStyle w:val="Lijstalinea"/>
        <w:numPr>
          <w:ilvl w:val="0"/>
          <w:numId w:val="5"/>
        </w:numPr>
        <w:spacing w:before="0" w:after="160" w:line="259" w:lineRule="auto"/>
      </w:pPr>
      <w:r w:rsidRPr="009E3B04">
        <w:t>het verschil tussen de kosten per maand van de woning, vermeld in het vorige punt, of van het verblijf in een daartoe uitgeruste voorziening, en 20% van het maandelijks beschikbaar inkomen van de bewoner. Dit verschil kan verhaald worden voor een periode van maximaal een jaar.</w:t>
      </w:r>
    </w:p>
    <w:p w14:paraId="608B8E92" w14:textId="77777777" w:rsidR="004B5617" w:rsidRPr="009E3B04" w:rsidRDefault="004B5617" w:rsidP="004B5617">
      <w:r w:rsidRPr="009E3B04">
        <w:rPr>
          <w:b/>
        </w:rPr>
        <w:t>Artikel 4.</w:t>
      </w:r>
      <w:r w:rsidRPr="009E3B04">
        <w:t xml:space="preserve"> Het OCMW van </w:t>
      </w:r>
      <w:r w:rsidRPr="00D14A8D">
        <w:rPr>
          <w:b/>
          <w:bCs/>
          <w:i/>
          <w:iCs/>
        </w:rPr>
        <w:t>[gemeente/stad]</w:t>
      </w:r>
      <w:r w:rsidRPr="009E3B04">
        <w:t xml:space="preserve"> wordt in kennis gesteld van dit besluit.</w:t>
      </w:r>
    </w:p>
    <w:p w14:paraId="64E9527D" w14:textId="77777777" w:rsidR="004B5617" w:rsidRPr="009E3B04" w:rsidRDefault="004B5617" w:rsidP="004B5617">
      <w:r w:rsidRPr="009E3B04">
        <w:rPr>
          <w:b/>
        </w:rPr>
        <w:t>Artikel 5.</w:t>
      </w:r>
      <w:r w:rsidRPr="009E3B04">
        <w:t xml:space="preserve"> Een afschrift van dit besluit zal worden betekend aan de houder van het zakelijk recht, de verhuurder, de persoon die de woning ter beschikking heeft gesteld en de bewoner van de woning.</w:t>
      </w:r>
    </w:p>
    <w:p w14:paraId="660E66AA" w14:textId="77777777" w:rsidR="004B5617" w:rsidRPr="009E3B04" w:rsidRDefault="004B5617" w:rsidP="004B5617">
      <w:r w:rsidRPr="009E3B04">
        <w:rPr>
          <w:b/>
        </w:rPr>
        <w:t>Artikel 6.</w:t>
      </w:r>
      <w:r w:rsidRPr="009E3B04">
        <w:t xml:space="preserve"> Tegen dit besluit kan een beroep tot schorsing en vernietiging worden ingesteld bij de Raad van State (</w:t>
      </w:r>
      <w:proofErr w:type="spellStart"/>
      <w:r w:rsidRPr="009E3B04">
        <w:t>Wetenschapstraat</w:t>
      </w:r>
      <w:proofErr w:type="spellEnd"/>
      <w:r w:rsidRPr="009E3B04">
        <w:t xml:space="preserve"> 37, 1040 Brussel) en dit binnen de zestig dagen na kennisgeving.</w:t>
      </w:r>
    </w:p>
    <w:p w14:paraId="51857F1E" w14:textId="77777777" w:rsidR="004B5617" w:rsidRPr="009E3B04" w:rsidRDefault="004B5617" w:rsidP="004B5617"/>
    <w:p w14:paraId="096A894E" w14:textId="77777777" w:rsidR="004B5617" w:rsidRPr="009E3B04" w:rsidRDefault="004B5617" w:rsidP="004B5617">
      <w:r w:rsidRPr="009E3B04">
        <w:t xml:space="preserve">Gedaan te </w:t>
      </w:r>
      <w:r w:rsidRPr="009E3B04">
        <w:rPr>
          <w:b/>
        </w:rPr>
        <w:t>[gemeente/stad]</w:t>
      </w:r>
      <w:r w:rsidRPr="009E3B04">
        <w:t xml:space="preserve">, op </w:t>
      </w:r>
      <w:r w:rsidRPr="009E3B04">
        <w:rPr>
          <w:b/>
        </w:rPr>
        <w:t>[datum]</w:t>
      </w:r>
    </w:p>
    <w:p w14:paraId="57221BEC" w14:textId="77777777" w:rsidR="004B5617" w:rsidRPr="009E3B04" w:rsidRDefault="004B5617" w:rsidP="004B5617"/>
    <w:p w14:paraId="52961B7A" w14:textId="77777777" w:rsidR="004B5617" w:rsidRPr="009E3B04" w:rsidRDefault="004B5617" w:rsidP="004B5617">
      <w:r w:rsidRPr="009E3B04">
        <w:t>De burgemeester,</w:t>
      </w:r>
      <w:r w:rsidRPr="009E3B04">
        <w:tab/>
      </w:r>
      <w:r w:rsidRPr="009E3B04">
        <w:tab/>
      </w:r>
      <w:r w:rsidRPr="009E3B04">
        <w:tab/>
      </w:r>
      <w:r w:rsidRPr="009E3B04">
        <w:tab/>
      </w:r>
      <w:r w:rsidRPr="009E3B04">
        <w:tab/>
      </w:r>
      <w:r w:rsidRPr="009E3B04">
        <w:tab/>
        <w:t>De gemeentesecretaris,</w:t>
      </w:r>
    </w:p>
    <w:p w14:paraId="63A902FE" w14:textId="77777777" w:rsidR="004B5617" w:rsidRDefault="004B5617" w:rsidP="004B5617"/>
    <w:p w14:paraId="7A82A87D" w14:textId="77777777" w:rsidR="00A54360" w:rsidRDefault="00A54360"/>
    <w:sectPr w:rsidR="00A54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B73"/>
    <w:multiLevelType w:val="hybridMultilevel"/>
    <w:tmpl w:val="AB08C8A8"/>
    <w:lvl w:ilvl="0" w:tplc="56AA11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B83333"/>
    <w:multiLevelType w:val="multilevel"/>
    <w:tmpl w:val="C1AA216E"/>
    <w:lvl w:ilvl="0">
      <w:numFmt w:val="bullet"/>
      <w:lvlText w:val="-"/>
      <w:lvlJc w:val="left"/>
      <w:pPr>
        <w:tabs>
          <w:tab w:val="num" w:pos="720"/>
        </w:tabs>
        <w:ind w:left="720" w:hanging="360"/>
      </w:pPr>
      <w:rPr>
        <w:rFonts w:ascii="Calibri" w:eastAsiaTheme="minorEastAsia"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B57CA"/>
    <w:multiLevelType w:val="hybridMultilevel"/>
    <w:tmpl w:val="2F483504"/>
    <w:lvl w:ilvl="0" w:tplc="6554BC3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2C5BD9"/>
    <w:multiLevelType w:val="hybridMultilevel"/>
    <w:tmpl w:val="633A2C7A"/>
    <w:lvl w:ilvl="0" w:tplc="DE3AFC5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3B497B"/>
    <w:multiLevelType w:val="hybridMultilevel"/>
    <w:tmpl w:val="7C08AFCC"/>
    <w:lvl w:ilvl="0" w:tplc="C15221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58556657">
    <w:abstractNumId w:val="4"/>
  </w:num>
  <w:num w:numId="2" w16cid:durableId="109056704">
    <w:abstractNumId w:val="2"/>
  </w:num>
  <w:num w:numId="3" w16cid:durableId="2083477385">
    <w:abstractNumId w:val="1"/>
  </w:num>
  <w:num w:numId="4" w16cid:durableId="1622687736">
    <w:abstractNumId w:val="0"/>
  </w:num>
  <w:num w:numId="5" w16cid:durableId="2026441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17"/>
    <w:rsid w:val="00246F90"/>
    <w:rsid w:val="003D59E9"/>
    <w:rsid w:val="004B5617"/>
    <w:rsid w:val="00A07347"/>
    <w:rsid w:val="00A54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9FBF"/>
  <w15:chartTrackingRefBased/>
  <w15:docId w15:val="{B1CD86DE-9326-4914-87C0-D5B7A89E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617"/>
    <w:pPr>
      <w:spacing w:before="100" w:after="200" w:line="276" w:lineRule="auto"/>
    </w:pPr>
    <w:rPr>
      <w:rFonts w:eastAsiaTheme="minorEastAsia"/>
      <w:kern w:val="0"/>
      <w:sz w:val="20"/>
      <w:szCs w:val="20"/>
      <w14:ligatures w14:val="none"/>
    </w:rPr>
  </w:style>
  <w:style w:type="paragraph" w:styleId="Kop1">
    <w:name w:val="heading 1"/>
    <w:basedOn w:val="Standaard"/>
    <w:next w:val="Standaard"/>
    <w:link w:val="Kop1Char"/>
    <w:uiPriority w:val="9"/>
    <w:qFormat/>
    <w:rsid w:val="004B561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B561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B5617"/>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unhideWhenUsed/>
    <w:qFormat/>
    <w:rsid w:val="004B5617"/>
    <w:pPr>
      <w:pBdr>
        <w:top w:val="dotted" w:sz="6" w:space="2" w:color="4472C4" w:themeColor="accent1"/>
      </w:pBdr>
      <w:spacing w:before="200" w:after="0"/>
      <w:outlineLvl w:val="3"/>
    </w:pPr>
    <w:rPr>
      <w:caps/>
      <w:color w:val="2F5496" w:themeColor="accent1" w:themeShade="BF"/>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5617"/>
    <w:rPr>
      <w:rFonts w:eastAsiaTheme="minorEastAsia"/>
      <w:caps/>
      <w:color w:val="FFFFFF" w:themeColor="background1"/>
      <w:spacing w:val="15"/>
      <w:kern w:val="0"/>
      <w:shd w:val="clear" w:color="auto" w:fill="4472C4" w:themeFill="accent1"/>
      <w14:ligatures w14:val="none"/>
    </w:rPr>
  </w:style>
  <w:style w:type="character" w:customStyle="1" w:styleId="Kop2Char">
    <w:name w:val="Kop 2 Char"/>
    <w:basedOn w:val="Standaardalinea-lettertype"/>
    <w:link w:val="Kop2"/>
    <w:uiPriority w:val="9"/>
    <w:rsid w:val="004B5617"/>
    <w:rPr>
      <w:rFonts w:eastAsiaTheme="minorEastAsia"/>
      <w:caps/>
      <w:spacing w:val="15"/>
      <w:kern w:val="0"/>
      <w:sz w:val="20"/>
      <w:szCs w:val="20"/>
      <w:shd w:val="clear" w:color="auto" w:fill="D9E2F3" w:themeFill="accent1" w:themeFillTint="33"/>
      <w14:ligatures w14:val="none"/>
    </w:rPr>
  </w:style>
  <w:style w:type="character" w:customStyle="1" w:styleId="Kop3Char">
    <w:name w:val="Kop 3 Char"/>
    <w:basedOn w:val="Standaardalinea-lettertype"/>
    <w:link w:val="Kop3"/>
    <w:uiPriority w:val="9"/>
    <w:rsid w:val="004B5617"/>
    <w:rPr>
      <w:rFonts w:eastAsiaTheme="minorEastAsia"/>
      <w:caps/>
      <w:color w:val="1F3763" w:themeColor="accent1" w:themeShade="7F"/>
      <w:spacing w:val="15"/>
      <w:kern w:val="0"/>
      <w:sz w:val="20"/>
      <w:szCs w:val="20"/>
      <w14:ligatures w14:val="none"/>
    </w:rPr>
  </w:style>
  <w:style w:type="character" w:customStyle="1" w:styleId="Kop4Char">
    <w:name w:val="Kop 4 Char"/>
    <w:basedOn w:val="Standaardalinea-lettertype"/>
    <w:link w:val="Kop4"/>
    <w:uiPriority w:val="9"/>
    <w:rsid w:val="004B5617"/>
    <w:rPr>
      <w:rFonts w:eastAsiaTheme="minorEastAsia"/>
      <w:caps/>
      <w:color w:val="2F5496" w:themeColor="accent1" w:themeShade="BF"/>
      <w:spacing w:val="10"/>
      <w:kern w:val="0"/>
      <w:sz w:val="20"/>
      <w:szCs w:val="20"/>
      <w14:ligatures w14:val="none"/>
    </w:rPr>
  </w:style>
  <w:style w:type="paragraph" w:styleId="Lijstalinea">
    <w:name w:val="List Paragraph"/>
    <w:basedOn w:val="Standaard"/>
    <w:uiPriority w:val="34"/>
    <w:qFormat/>
    <w:rsid w:val="004B5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2986</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1</cp:revision>
  <dcterms:created xsi:type="dcterms:W3CDTF">2024-05-02T12:19:00Z</dcterms:created>
  <dcterms:modified xsi:type="dcterms:W3CDTF">2024-05-02T12:30:00Z</dcterms:modified>
</cp:coreProperties>
</file>