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3F11" w14:textId="41A2259F" w:rsidR="00051CA8" w:rsidRPr="00A866EE" w:rsidRDefault="009650C8" w:rsidP="00A866EE">
      <w:pPr>
        <w:pStyle w:val="Titel"/>
      </w:pPr>
      <w:r w:rsidRPr="00A866EE">
        <w:t>T</w:t>
      </w:r>
      <w:r w:rsidR="00051CA8" w:rsidRPr="00A866EE">
        <w:t xml:space="preserve">oelichting bij </w:t>
      </w:r>
      <w:r w:rsidR="007730E5" w:rsidRPr="00A866EE">
        <w:t>de opmaak van</w:t>
      </w:r>
      <w:r w:rsidR="00B1207E" w:rsidRPr="00A866EE">
        <w:t xml:space="preserve"> het M</w:t>
      </w:r>
      <w:r w:rsidR="00D5046C" w:rsidRPr="00A866EE">
        <w:t>onitoring Methodiek Plan (MMP)</w:t>
      </w:r>
      <w:r w:rsidR="007730E5" w:rsidRPr="00A866EE">
        <w:t xml:space="preserve"> voor de periode 2026-2030</w:t>
      </w:r>
    </w:p>
    <w:p w14:paraId="3D5B6689" w14:textId="01AB3B6A" w:rsidR="00051CA8" w:rsidRPr="005364F7" w:rsidRDefault="00051CA8" w:rsidP="005364F7">
      <w:pPr>
        <w:autoSpaceDE w:val="0"/>
        <w:autoSpaceDN w:val="0"/>
        <w:adjustRightInd w:val="0"/>
        <w:spacing w:after="0" w:line="240" w:lineRule="auto"/>
        <w:jc w:val="both"/>
        <w:rPr>
          <w:rFonts w:ascii="Arial" w:hAnsi="Arial" w:cs="Arial"/>
          <w:color w:val="1C1A15"/>
          <w:lang w:val="nl-BE"/>
        </w:rPr>
      </w:pPr>
    </w:p>
    <w:p w14:paraId="78806340" w14:textId="01BCDBC6" w:rsidR="00096EDD" w:rsidRPr="00A866EE" w:rsidRDefault="00096EDD" w:rsidP="005364F7">
      <w:pPr>
        <w:autoSpaceDE w:val="0"/>
        <w:autoSpaceDN w:val="0"/>
        <w:adjustRightInd w:val="0"/>
        <w:spacing w:after="0" w:line="240" w:lineRule="auto"/>
        <w:jc w:val="both"/>
        <w:rPr>
          <w:rFonts w:cstheme="minorHAnsi"/>
          <w:i/>
          <w:color w:val="1C1A15"/>
          <w:lang w:val="nl-BE"/>
        </w:rPr>
      </w:pPr>
      <w:r w:rsidRPr="00A866EE">
        <w:rPr>
          <w:rFonts w:cstheme="minorHAnsi"/>
          <w:i/>
          <w:color w:val="1C1A15"/>
          <w:lang w:val="nl-BE"/>
        </w:rPr>
        <w:t xml:space="preserve">Datum laatste aanpassing: </w:t>
      </w:r>
      <w:r w:rsidR="00E44787">
        <w:rPr>
          <w:rFonts w:cstheme="minorHAnsi"/>
          <w:i/>
          <w:color w:val="1C1A15"/>
          <w:lang w:val="nl-BE"/>
        </w:rPr>
        <w:t>0</w:t>
      </w:r>
      <w:r w:rsidR="003537E0">
        <w:rPr>
          <w:rFonts w:cstheme="minorHAnsi"/>
          <w:i/>
          <w:color w:val="1C1A15"/>
          <w:lang w:val="nl-BE"/>
        </w:rPr>
        <w:t>5</w:t>
      </w:r>
      <w:r w:rsidRPr="00A866EE">
        <w:rPr>
          <w:rFonts w:cstheme="minorHAnsi"/>
          <w:i/>
          <w:color w:val="1C1A15"/>
          <w:lang w:val="nl-BE"/>
        </w:rPr>
        <w:t>/</w:t>
      </w:r>
      <w:r w:rsidR="006656AD" w:rsidRPr="00A866EE">
        <w:rPr>
          <w:rFonts w:cstheme="minorHAnsi"/>
          <w:i/>
          <w:color w:val="1C1A15"/>
          <w:lang w:val="nl-BE"/>
        </w:rPr>
        <w:t>0</w:t>
      </w:r>
      <w:r w:rsidR="00E44787">
        <w:rPr>
          <w:rFonts w:cstheme="minorHAnsi"/>
          <w:i/>
          <w:color w:val="1C1A15"/>
          <w:lang w:val="nl-BE"/>
        </w:rPr>
        <w:t>3</w:t>
      </w:r>
      <w:r w:rsidRPr="00A866EE">
        <w:rPr>
          <w:rFonts w:cstheme="minorHAnsi"/>
          <w:i/>
          <w:color w:val="1C1A15"/>
          <w:lang w:val="nl-BE"/>
        </w:rPr>
        <w:t>/</w:t>
      </w:r>
      <w:r w:rsidR="006656AD" w:rsidRPr="00A866EE">
        <w:rPr>
          <w:rFonts w:cstheme="minorHAnsi"/>
          <w:i/>
          <w:color w:val="1C1A15"/>
          <w:lang w:val="nl-BE"/>
        </w:rPr>
        <w:t>2024</w:t>
      </w:r>
    </w:p>
    <w:p w14:paraId="0FB3091D" w14:textId="77777777" w:rsidR="00096EDD" w:rsidRDefault="00096EDD" w:rsidP="005364F7">
      <w:pPr>
        <w:autoSpaceDE w:val="0"/>
        <w:autoSpaceDN w:val="0"/>
        <w:adjustRightInd w:val="0"/>
        <w:spacing w:after="0" w:line="240" w:lineRule="auto"/>
        <w:jc w:val="both"/>
        <w:rPr>
          <w:rFonts w:ascii="Arial" w:hAnsi="Arial" w:cs="Arial"/>
          <w:color w:val="1C1A15"/>
          <w:lang w:val="nl-BE"/>
        </w:rPr>
      </w:pPr>
    </w:p>
    <w:p w14:paraId="6FF57D44" w14:textId="45880BDF" w:rsidR="003D2408" w:rsidRPr="001E069C" w:rsidRDefault="00E43D59" w:rsidP="005364F7">
      <w:pPr>
        <w:autoSpaceDE w:val="0"/>
        <w:autoSpaceDN w:val="0"/>
        <w:adjustRightInd w:val="0"/>
        <w:spacing w:after="0" w:line="240" w:lineRule="auto"/>
        <w:jc w:val="both"/>
        <w:rPr>
          <w:rFonts w:cstheme="minorHAnsi"/>
          <w:color w:val="222222"/>
        </w:rPr>
      </w:pPr>
      <w:r>
        <w:rPr>
          <w:rFonts w:cstheme="minorHAnsi"/>
          <w:color w:val="1C1A15"/>
          <w:lang w:val="nl-BE"/>
        </w:rPr>
        <w:t>Elke e</w:t>
      </w:r>
      <w:r w:rsidR="00916F21" w:rsidRPr="001E069C">
        <w:rPr>
          <w:rFonts w:cstheme="minorHAnsi"/>
          <w:color w:val="1C1A15"/>
          <w:lang w:val="nl-BE"/>
        </w:rPr>
        <w:t xml:space="preserve">xploitant van een </w:t>
      </w:r>
      <w:r w:rsidR="003D2408" w:rsidRPr="001E069C">
        <w:rPr>
          <w:rFonts w:cstheme="minorHAnsi"/>
          <w:color w:val="1C1A15"/>
          <w:lang w:val="nl-BE"/>
        </w:rPr>
        <w:t xml:space="preserve">BKG-installatie die een </w:t>
      </w:r>
      <w:r w:rsidR="00B37521">
        <w:rPr>
          <w:rFonts w:cstheme="minorHAnsi"/>
          <w:color w:val="1C1A15"/>
          <w:lang w:val="nl-BE"/>
        </w:rPr>
        <w:t xml:space="preserve">kosteloze </w:t>
      </w:r>
      <w:r w:rsidR="003D2408" w:rsidRPr="001E069C">
        <w:rPr>
          <w:rFonts w:cstheme="minorHAnsi"/>
          <w:color w:val="1C1A15"/>
          <w:lang w:val="nl-BE"/>
        </w:rPr>
        <w:t>toewijzing aanvraag</w:t>
      </w:r>
      <w:r w:rsidR="006656AD" w:rsidRPr="001E069C">
        <w:rPr>
          <w:rFonts w:cstheme="minorHAnsi"/>
          <w:color w:val="1C1A15"/>
          <w:lang w:val="nl-BE"/>
        </w:rPr>
        <w:t>t</w:t>
      </w:r>
      <w:r w:rsidR="003D2408" w:rsidRPr="001E069C">
        <w:rPr>
          <w:rFonts w:cstheme="minorHAnsi"/>
          <w:color w:val="1C1A15"/>
          <w:lang w:val="nl-BE"/>
        </w:rPr>
        <w:t xml:space="preserve"> voor </w:t>
      </w:r>
      <w:r w:rsidR="006656AD" w:rsidRPr="001E069C">
        <w:rPr>
          <w:rFonts w:cstheme="minorHAnsi"/>
          <w:color w:val="1C1A15"/>
          <w:lang w:val="nl-BE"/>
        </w:rPr>
        <w:t xml:space="preserve">de periode </w:t>
      </w:r>
      <w:r w:rsidR="003D2408" w:rsidRPr="001E069C">
        <w:rPr>
          <w:rFonts w:cstheme="minorHAnsi"/>
          <w:color w:val="1C1A15"/>
          <w:lang w:val="nl-BE"/>
        </w:rPr>
        <w:t>202</w:t>
      </w:r>
      <w:r w:rsidR="006656AD" w:rsidRPr="001E069C">
        <w:rPr>
          <w:rFonts w:cstheme="minorHAnsi"/>
          <w:color w:val="1C1A15"/>
          <w:lang w:val="nl-BE"/>
        </w:rPr>
        <w:t>6</w:t>
      </w:r>
      <w:r w:rsidR="003D2408" w:rsidRPr="001E069C">
        <w:rPr>
          <w:rFonts w:cstheme="minorHAnsi"/>
          <w:color w:val="1C1A15"/>
          <w:lang w:val="nl-BE"/>
        </w:rPr>
        <w:t>-20</w:t>
      </w:r>
      <w:r w:rsidR="006656AD" w:rsidRPr="001E069C">
        <w:rPr>
          <w:rFonts w:cstheme="minorHAnsi"/>
          <w:color w:val="1C1A15"/>
          <w:lang w:val="nl-BE"/>
        </w:rPr>
        <w:t xml:space="preserve">30, </w:t>
      </w:r>
      <w:r>
        <w:rPr>
          <w:rFonts w:cstheme="minorHAnsi"/>
          <w:color w:val="1C1A15"/>
          <w:lang w:val="nl-BE"/>
        </w:rPr>
        <w:t xml:space="preserve">moet </w:t>
      </w:r>
      <w:r w:rsidR="006656AD" w:rsidRPr="001E069C">
        <w:rPr>
          <w:rFonts w:cstheme="minorHAnsi"/>
          <w:color w:val="1C1A15"/>
          <w:lang w:val="nl-BE"/>
        </w:rPr>
        <w:t>een baseline data rapport (B</w:t>
      </w:r>
      <w:r w:rsidR="006656AD" w:rsidRPr="001E069C">
        <w:rPr>
          <w:rFonts w:cstheme="minorHAnsi"/>
          <w:color w:val="222222"/>
        </w:rPr>
        <w:t>DR</w:t>
      </w:r>
      <w:r w:rsidR="006656AD" w:rsidRPr="001E069C">
        <w:rPr>
          <w:rFonts w:cstheme="minorHAnsi"/>
          <w:color w:val="222222"/>
          <w:lang w:val="nl-BE"/>
        </w:rPr>
        <w:t>)</w:t>
      </w:r>
      <w:r w:rsidR="006656AD" w:rsidRPr="001E069C">
        <w:rPr>
          <w:rFonts w:cstheme="minorHAnsi"/>
          <w:color w:val="222222"/>
        </w:rPr>
        <w:t xml:space="preserve"> </w:t>
      </w:r>
      <w:r w:rsidR="006656AD" w:rsidRPr="001E069C">
        <w:rPr>
          <w:rFonts w:cstheme="minorHAnsi"/>
          <w:color w:val="222222"/>
          <w:lang w:val="nl-BE"/>
        </w:rPr>
        <w:t>opmaken</w:t>
      </w:r>
      <w:r w:rsidR="006656AD" w:rsidRPr="001E069C">
        <w:rPr>
          <w:rFonts w:cstheme="minorHAnsi"/>
          <w:color w:val="222222"/>
        </w:rPr>
        <w:t xml:space="preserve"> op basis van een door het VBBV geverifieerd en door het VEKA goedgekeurd monitoringmethodiekplan (MMP) voor de periode 2026-2030</w:t>
      </w:r>
      <w:r w:rsidR="008F367F" w:rsidRPr="001E069C">
        <w:rPr>
          <w:rFonts w:cstheme="minorHAnsi"/>
          <w:color w:val="222222"/>
          <w:lang w:val="nl-BE"/>
        </w:rPr>
        <w:t xml:space="preserve"> (MMP26-30)</w:t>
      </w:r>
      <w:r w:rsidR="006656AD" w:rsidRPr="001E069C">
        <w:rPr>
          <w:rFonts w:cstheme="minorHAnsi"/>
          <w:color w:val="222222"/>
        </w:rPr>
        <w:t>.</w:t>
      </w:r>
    </w:p>
    <w:p w14:paraId="5A040CFB" w14:textId="6439F926" w:rsidR="006656AD" w:rsidRPr="001E069C" w:rsidRDefault="006656AD" w:rsidP="005364F7">
      <w:pPr>
        <w:autoSpaceDE w:val="0"/>
        <w:autoSpaceDN w:val="0"/>
        <w:adjustRightInd w:val="0"/>
        <w:spacing w:after="0" w:line="240" w:lineRule="auto"/>
        <w:jc w:val="both"/>
        <w:rPr>
          <w:rFonts w:cstheme="minorHAnsi"/>
          <w:color w:val="222222"/>
          <w:shd w:val="clear" w:color="auto" w:fill="FFFFFF"/>
        </w:rPr>
      </w:pPr>
    </w:p>
    <w:p w14:paraId="2E4710E4" w14:textId="000628F9" w:rsidR="006656AD" w:rsidRPr="00A866EE" w:rsidRDefault="006656AD" w:rsidP="005364F7">
      <w:pPr>
        <w:autoSpaceDE w:val="0"/>
        <w:autoSpaceDN w:val="0"/>
        <w:adjustRightInd w:val="0"/>
        <w:spacing w:after="0" w:line="240" w:lineRule="auto"/>
        <w:jc w:val="both"/>
        <w:rPr>
          <w:rFonts w:cstheme="minorHAnsi"/>
          <w:color w:val="222222"/>
          <w:shd w:val="clear" w:color="auto" w:fill="FFFFFF"/>
        </w:rPr>
      </w:pPr>
      <w:r w:rsidRPr="001E069C">
        <w:rPr>
          <w:rFonts w:cstheme="minorHAnsi"/>
          <w:color w:val="222222"/>
        </w:rPr>
        <w:t xml:space="preserve">Merk op dat door de herziening van de </w:t>
      </w:r>
      <w:r w:rsidR="003C77A5">
        <w:rPr>
          <w:rFonts w:cstheme="minorHAnsi"/>
          <w:color w:val="222222"/>
          <w:lang w:val="nl-BE"/>
        </w:rPr>
        <w:t xml:space="preserve">Europese </w:t>
      </w:r>
      <w:r w:rsidRPr="001E069C">
        <w:rPr>
          <w:rFonts w:cstheme="minorHAnsi"/>
          <w:color w:val="222222"/>
        </w:rPr>
        <w:t>regels inzake kosteloze toewijzing (</w:t>
      </w:r>
      <w:hyperlink r:id="rId12" w:history="1">
        <w:r w:rsidRPr="001E069C">
          <w:rPr>
            <w:rStyle w:val="Hyperlink"/>
            <w:rFonts w:cstheme="minorHAnsi"/>
          </w:rPr>
          <w:t>FAR</w:t>
        </w:r>
      </w:hyperlink>
      <w:r w:rsidR="00C97729">
        <w:rPr>
          <w:rStyle w:val="Voetnootmarkering"/>
          <w:rFonts w:cstheme="minorHAnsi"/>
          <w:color w:val="222222"/>
        </w:rPr>
        <w:footnoteReference w:id="2"/>
      </w:r>
      <w:r w:rsidRPr="001E069C">
        <w:rPr>
          <w:rFonts w:cstheme="minorHAnsi"/>
          <w:color w:val="222222"/>
        </w:rPr>
        <w:t>) , het MMP</w:t>
      </w:r>
      <w:r w:rsidR="008F367F" w:rsidRPr="001E069C">
        <w:rPr>
          <w:rFonts w:cstheme="minorHAnsi"/>
          <w:color w:val="222222"/>
          <w:lang w:val="nl-BE"/>
        </w:rPr>
        <w:t xml:space="preserve">26-30 </w:t>
      </w:r>
      <w:r w:rsidRPr="001E069C">
        <w:rPr>
          <w:rFonts w:cstheme="minorHAnsi"/>
          <w:color w:val="222222"/>
        </w:rPr>
        <w:t xml:space="preserve">voor sommige installaties </w:t>
      </w:r>
      <w:r w:rsidR="00B14863">
        <w:rPr>
          <w:rFonts w:cstheme="minorHAnsi"/>
          <w:color w:val="222222"/>
          <w:lang w:val="nl-BE"/>
        </w:rPr>
        <w:t>zal</w:t>
      </w:r>
      <w:r w:rsidRPr="001E069C">
        <w:rPr>
          <w:rFonts w:cstheme="minorHAnsi"/>
          <w:color w:val="222222"/>
        </w:rPr>
        <w:t xml:space="preserve"> verschillen van het </w:t>
      </w:r>
      <w:r w:rsidR="008F367F" w:rsidRPr="001E069C">
        <w:rPr>
          <w:rFonts w:cstheme="minorHAnsi"/>
          <w:color w:val="222222"/>
          <w:lang w:val="nl-BE"/>
        </w:rPr>
        <w:t>MMP21-25</w:t>
      </w:r>
      <w:r w:rsidRPr="001E069C">
        <w:rPr>
          <w:rFonts w:cstheme="minorHAnsi"/>
          <w:color w:val="222222"/>
        </w:rPr>
        <w:t xml:space="preserve">. Dit zal afhangen van de impact van de gewijzigde regels inzake kosteloze toewijzing op de specifieke installatie. De </w:t>
      </w:r>
      <w:r w:rsidR="00180DDF">
        <w:rPr>
          <w:rFonts w:cstheme="minorHAnsi"/>
          <w:color w:val="222222"/>
          <w:lang w:val="nl-BE"/>
        </w:rPr>
        <w:t>kosteloze</w:t>
      </w:r>
      <w:r>
        <w:rPr>
          <w:rFonts w:cstheme="minorHAnsi"/>
          <w:color w:val="222222"/>
          <w:lang w:val="nl-BE"/>
        </w:rPr>
        <w:t xml:space="preserve"> </w:t>
      </w:r>
      <w:r w:rsidRPr="001E069C">
        <w:rPr>
          <w:rFonts w:cstheme="minorHAnsi"/>
          <w:color w:val="222222"/>
        </w:rPr>
        <w:t>toewijzing vastgelegd via de ALC-rapporten van 2024 en 2025 zal nog gebeuren op basis van het MM</w:t>
      </w:r>
      <w:r w:rsidR="008F367F" w:rsidRPr="001E069C">
        <w:rPr>
          <w:rFonts w:cstheme="minorHAnsi"/>
          <w:color w:val="222222"/>
          <w:lang w:val="nl-BE"/>
        </w:rPr>
        <w:t>P21-25</w:t>
      </w:r>
      <w:r w:rsidRPr="001E069C">
        <w:rPr>
          <w:rFonts w:cstheme="minorHAnsi"/>
          <w:color w:val="222222"/>
        </w:rPr>
        <w:t xml:space="preserve">. Voor sommige installaties zullen dus tijdelijk twee goedgekeurde </w:t>
      </w:r>
      <w:proofErr w:type="spellStart"/>
      <w:r w:rsidRPr="001E069C">
        <w:rPr>
          <w:rFonts w:cstheme="minorHAnsi"/>
          <w:color w:val="222222"/>
        </w:rPr>
        <w:t>MMP’s</w:t>
      </w:r>
      <w:proofErr w:type="spellEnd"/>
      <w:r w:rsidRPr="001E069C">
        <w:rPr>
          <w:rFonts w:cstheme="minorHAnsi"/>
          <w:color w:val="222222"/>
        </w:rPr>
        <w:t xml:space="preserve"> in </w:t>
      </w:r>
      <w:r w:rsidR="00E97BEB">
        <w:rPr>
          <w:rFonts w:cstheme="minorHAnsi"/>
          <w:color w:val="222222"/>
          <w:lang w:val="nl-BE"/>
        </w:rPr>
        <w:t>om</w:t>
      </w:r>
      <w:r w:rsidR="0081649E">
        <w:rPr>
          <w:rFonts w:cstheme="minorHAnsi"/>
          <w:color w:val="222222"/>
          <w:lang w:val="nl-BE"/>
        </w:rPr>
        <w:t>l</w:t>
      </w:r>
      <w:r w:rsidR="00E97BEB">
        <w:rPr>
          <w:rFonts w:cstheme="minorHAnsi"/>
          <w:color w:val="222222"/>
          <w:lang w:val="nl-BE"/>
        </w:rPr>
        <w:t>oop</w:t>
      </w:r>
      <w:r w:rsidRPr="00A866EE">
        <w:rPr>
          <w:rFonts w:cstheme="minorHAnsi"/>
          <w:color w:val="222222"/>
        </w:rPr>
        <w:t xml:space="preserve"> zijn.</w:t>
      </w:r>
    </w:p>
    <w:p w14:paraId="61CB025A" w14:textId="02B4BBD3" w:rsidR="006656AD" w:rsidRPr="00A866EE" w:rsidRDefault="006656AD" w:rsidP="005364F7">
      <w:pPr>
        <w:autoSpaceDE w:val="0"/>
        <w:autoSpaceDN w:val="0"/>
        <w:adjustRightInd w:val="0"/>
        <w:spacing w:after="0" w:line="240" w:lineRule="auto"/>
        <w:jc w:val="both"/>
        <w:rPr>
          <w:rFonts w:cstheme="minorHAnsi"/>
          <w:color w:val="222222"/>
          <w:shd w:val="clear" w:color="auto" w:fill="FFFFFF"/>
        </w:rPr>
      </w:pPr>
    </w:p>
    <w:p w14:paraId="6DECFCEA" w14:textId="5022AD65" w:rsidR="006656AD" w:rsidRPr="00A866EE" w:rsidRDefault="006656AD" w:rsidP="006656AD">
      <w:pPr>
        <w:spacing w:after="0" w:line="285" w:lineRule="atLeast"/>
        <w:jc w:val="both"/>
        <w:textAlignment w:val="top"/>
        <w:rPr>
          <w:rFonts w:eastAsia="Times New Roman" w:cstheme="minorHAnsi"/>
          <w:color w:val="222222"/>
          <w:lang w:val="nl-BE" w:eastAsia="nl-BE"/>
        </w:rPr>
      </w:pPr>
      <w:r w:rsidRPr="00A866EE">
        <w:rPr>
          <w:rFonts w:eastAsia="Times New Roman" w:cstheme="minorHAnsi"/>
          <w:color w:val="222222"/>
          <w:lang w:val="nl-BE" w:eastAsia="nl-BE"/>
        </w:rPr>
        <w:t xml:space="preserve">Het sjabloon voor </w:t>
      </w:r>
      <w:r w:rsidRPr="005F0D2A">
        <w:rPr>
          <w:rFonts w:eastAsia="Times New Roman" w:cstheme="minorHAnsi"/>
          <w:color w:val="222222"/>
          <w:lang w:val="nl-BE" w:eastAsia="nl-BE"/>
        </w:rPr>
        <w:t>het MMP</w:t>
      </w:r>
      <w:r w:rsidR="008F367F" w:rsidRPr="005F0D2A">
        <w:rPr>
          <w:rFonts w:eastAsia="Times New Roman" w:cstheme="minorHAnsi"/>
          <w:color w:val="222222"/>
          <w:lang w:val="nl-BE" w:eastAsia="nl-BE"/>
        </w:rPr>
        <w:t xml:space="preserve">26-30 </w:t>
      </w:r>
      <w:r w:rsidR="00A866EE" w:rsidRPr="005F0D2A">
        <w:rPr>
          <w:rFonts w:eastAsia="Times New Roman" w:cstheme="minorHAnsi"/>
          <w:color w:val="222222"/>
          <w:lang w:val="nl-BE" w:eastAsia="nl-BE"/>
        </w:rPr>
        <w:t>is te vinden</w:t>
      </w:r>
      <w:r w:rsidRPr="005F0D2A">
        <w:rPr>
          <w:rFonts w:eastAsia="Times New Roman" w:cstheme="minorHAnsi"/>
          <w:color w:val="222222"/>
          <w:lang w:val="nl-BE" w:eastAsia="nl-BE"/>
        </w:rPr>
        <w:t xml:space="preserve"> op de website </w:t>
      </w:r>
      <w:r w:rsidR="002B3BD6" w:rsidRPr="001E069C">
        <w:rPr>
          <w:rFonts w:eastAsia="Arial" w:cstheme="minorHAnsi"/>
          <w:color w:val="222222"/>
          <w:lang w:val="nl-BE" w:eastAsia="nl-BE"/>
        </w:rPr>
        <w:t xml:space="preserve">van het VEKA, op de pagina </w:t>
      </w:r>
      <w:hyperlink r:id="rId13" w:history="1">
        <w:r w:rsidR="00196494" w:rsidRPr="005F0D2A">
          <w:rPr>
            <w:rStyle w:val="Hyperlink"/>
            <w:rFonts w:eastAsia="Arial" w:cstheme="minorHAnsi"/>
            <w:lang w:val="nl-BE" w:eastAsia="nl-BE"/>
          </w:rPr>
          <w:t>ETS-verplichtingen voor vaste installaties</w:t>
        </w:r>
      </w:hyperlink>
      <w:r w:rsidR="00196494" w:rsidRPr="005F0D2A">
        <w:rPr>
          <w:rFonts w:eastAsia="Arial" w:cstheme="minorHAnsi"/>
          <w:color w:val="222222"/>
          <w:lang w:val="nl-BE" w:eastAsia="nl-BE"/>
        </w:rPr>
        <w:t>, onder de hoofding “verplichtingen in de context van de kosteloze toewijzing van emissierechten”</w:t>
      </w:r>
      <w:r w:rsidRPr="001E069C">
        <w:rPr>
          <w:rFonts w:eastAsia="Arial" w:cstheme="minorHAnsi"/>
          <w:color w:val="222222"/>
          <w:lang w:val="nl-BE" w:eastAsia="nl-BE"/>
        </w:rPr>
        <w:t>.</w:t>
      </w:r>
      <w:r w:rsidRPr="005F0D2A">
        <w:rPr>
          <w:rFonts w:eastAsia="Times New Roman" w:cstheme="minorHAnsi"/>
          <w:color w:val="222222"/>
          <w:lang w:val="nl-BE" w:eastAsia="nl-BE"/>
        </w:rPr>
        <w:t xml:space="preserve"> </w:t>
      </w:r>
      <w:r w:rsidR="001C6E4B">
        <w:rPr>
          <w:rFonts w:eastAsia="Times New Roman" w:cstheme="minorHAnsi"/>
          <w:color w:val="222222"/>
          <w:lang w:val="nl-BE" w:eastAsia="nl-BE"/>
        </w:rPr>
        <w:t>Initieel zal hier enkel een Engelstalig sjabloon beschikbaar zijn. Het vertaalde Nederlandstalige sjabloon</w:t>
      </w:r>
      <w:r w:rsidR="00304E2F">
        <w:rPr>
          <w:rFonts w:eastAsia="Times New Roman" w:cstheme="minorHAnsi"/>
          <w:color w:val="222222"/>
          <w:lang w:val="nl-BE" w:eastAsia="nl-BE"/>
        </w:rPr>
        <w:t xml:space="preserve"> wordt later toegevoegd na publicatie door de Europese Commissie</w:t>
      </w:r>
      <w:r w:rsidR="00304E2F">
        <w:rPr>
          <w:rStyle w:val="Voetnootmarkering"/>
          <w:rFonts w:eastAsia="Times New Roman" w:cstheme="minorHAnsi"/>
          <w:color w:val="222222"/>
          <w:lang w:val="nl-BE" w:eastAsia="nl-BE"/>
        </w:rPr>
        <w:footnoteReference w:id="3"/>
      </w:r>
      <w:r w:rsidR="00304E2F">
        <w:rPr>
          <w:rFonts w:eastAsia="Times New Roman" w:cstheme="minorHAnsi"/>
          <w:color w:val="222222"/>
          <w:lang w:val="nl-BE" w:eastAsia="nl-BE"/>
        </w:rPr>
        <w:t>.</w:t>
      </w:r>
    </w:p>
    <w:p w14:paraId="0BD1F3DC" w14:textId="5D62DE3D" w:rsidR="006656AD" w:rsidRPr="00A866EE" w:rsidRDefault="006656AD" w:rsidP="005364F7">
      <w:pPr>
        <w:autoSpaceDE w:val="0"/>
        <w:autoSpaceDN w:val="0"/>
        <w:adjustRightInd w:val="0"/>
        <w:spacing w:after="0" w:line="240" w:lineRule="auto"/>
        <w:jc w:val="both"/>
        <w:rPr>
          <w:rFonts w:cstheme="minorHAnsi"/>
          <w:color w:val="1C1A15"/>
          <w:lang w:val="nl-BE"/>
        </w:rPr>
      </w:pPr>
    </w:p>
    <w:p w14:paraId="6A325B9D" w14:textId="42D83984" w:rsidR="00383E1D" w:rsidRPr="00A866EE" w:rsidRDefault="006656AD" w:rsidP="006656AD">
      <w:pPr>
        <w:autoSpaceDE w:val="0"/>
        <w:autoSpaceDN w:val="0"/>
        <w:adjustRightInd w:val="0"/>
        <w:spacing w:after="0" w:line="240" w:lineRule="auto"/>
        <w:jc w:val="both"/>
        <w:rPr>
          <w:rFonts w:cstheme="minorHAnsi"/>
          <w:color w:val="1C1A15"/>
          <w:lang w:val="nl-BE"/>
        </w:rPr>
      </w:pPr>
      <w:r w:rsidRPr="00A866EE">
        <w:rPr>
          <w:rFonts w:cstheme="minorHAnsi"/>
          <w:color w:val="1C1A15"/>
          <w:lang w:val="nl-BE"/>
        </w:rPr>
        <w:t xml:space="preserve">Verder bevat dit document ook enkele concrete voorbeelden in de vorm van sjablonen voor bijlagen van het MMP. Deze werden reeds </w:t>
      </w:r>
      <w:r w:rsidR="001218BB">
        <w:rPr>
          <w:rFonts w:cstheme="minorHAnsi"/>
          <w:color w:val="1C1A15"/>
          <w:lang w:val="nl-BE"/>
        </w:rPr>
        <w:t>voor de periode 2021-2025</w:t>
      </w:r>
      <w:r w:rsidRPr="00A866EE">
        <w:rPr>
          <w:rFonts w:cstheme="minorHAnsi"/>
          <w:color w:val="1C1A15"/>
          <w:lang w:val="nl-BE"/>
        </w:rPr>
        <w:t xml:space="preserve"> opgemaakt door het VBBV, in samenwerking met VEKA, en kunnen in veel gevallen nog steeds gehanteerd worden.</w:t>
      </w:r>
      <w:r w:rsidR="00694991" w:rsidRPr="00A866EE">
        <w:rPr>
          <w:rFonts w:cstheme="minorHAnsi"/>
          <w:color w:val="1C1A15"/>
          <w:lang w:val="nl-BE"/>
        </w:rPr>
        <w:t xml:space="preserve"> Deze voorbeelden zijn geen verplicht sjabloon, maar kunnen</w:t>
      </w:r>
      <w:r w:rsidR="00C4501B" w:rsidRPr="00A866EE">
        <w:rPr>
          <w:rFonts w:cstheme="minorHAnsi"/>
          <w:color w:val="1C1A15"/>
          <w:lang w:val="nl-BE"/>
        </w:rPr>
        <w:t xml:space="preserve"> dienen</w:t>
      </w:r>
      <w:r w:rsidR="00694991" w:rsidRPr="00A866EE">
        <w:rPr>
          <w:rFonts w:cstheme="minorHAnsi"/>
          <w:color w:val="1C1A15"/>
          <w:lang w:val="nl-BE"/>
        </w:rPr>
        <w:t xml:space="preserve"> </w:t>
      </w:r>
      <w:r w:rsidR="003D2408" w:rsidRPr="00A866EE">
        <w:rPr>
          <w:rFonts w:cstheme="minorHAnsi"/>
          <w:color w:val="1C1A15"/>
          <w:lang w:val="nl-BE"/>
        </w:rPr>
        <w:t>als hulpmiddel voor exploitanten.</w:t>
      </w:r>
    </w:p>
    <w:p w14:paraId="17B48403" w14:textId="1BDBFCB9" w:rsidR="00383E1D" w:rsidRPr="005364F7" w:rsidRDefault="00383E1D" w:rsidP="005364F7">
      <w:pPr>
        <w:autoSpaceDE w:val="0"/>
        <w:autoSpaceDN w:val="0"/>
        <w:adjustRightInd w:val="0"/>
        <w:spacing w:after="0" w:line="240" w:lineRule="auto"/>
        <w:jc w:val="both"/>
        <w:rPr>
          <w:rFonts w:ascii="Arial" w:hAnsi="Arial" w:cs="Arial"/>
          <w:color w:val="1C1A15"/>
          <w:lang w:val="nl-BE"/>
        </w:rPr>
      </w:pPr>
    </w:p>
    <w:p w14:paraId="3B8240AB" w14:textId="2E96E17A" w:rsidR="00DF4F6E" w:rsidRDefault="00DF4F6E" w:rsidP="005364F7">
      <w:pPr>
        <w:autoSpaceDE w:val="0"/>
        <w:autoSpaceDN w:val="0"/>
        <w:adjustRightInd w:val="0"/>
        <w:spacing w:after="0" w:line="240" w:lineRule="auto"/>
        <w:jc w:val="both"/>
        <w:rPr>
          <w:rFonts w:ascii="Arial" w:hAnsi="Arial" w:cs="Arial"/>
          <w:color w:val="1C1A15"/>
          <w:lang w:val="nl-BE"/>
        </w:rPr>
      </w:pPr>
    </w:p>
    <w:p w14:paraId="4DFC19B1" w14:textId="77777777" w:rsidR="00DF4F6E" w:rsidRPr="005364F7" w:rsidRDefault="00DF4F6E" w:rsidP="005364F7">
      <w:pPr>
        <w:autoSpaceDE w:val="0"/>
        <w:autoSpaceDN w:val="0"/>
        <w:adjustRightInd w:val="0"/>
        <w:spacing w:after="0" w:line="240" w:lineRule="auto"/>
        <w:jc w:val="both"/>
        <w:rPr>
          <w:rFonts w:ascii="Arial" w:hAnsi="Arial" w:cs="Arial"/>
          <w:color w:val="1C1A15"/>
          <w:lang w:val="nl-BE"/>
        </w:rPr>
      </w:pPr>
    </w:p>
    <w:p w14:paraId="2112F95F" w14:textId="77777777" w:rsidR="003D2408" w:rsidRPr="005364F7" w:rsidRDefault="003D2408" w:rsidP="005364F7">
      <w:pPr>
        <w:autoSpaceDE w:val="0"/>
        <w:autoSpaceDN w:val="0"/>
        <w:adjustRightInd w:val="0"/>
        <w:spacing w:after="0" w:line="240" w:lineRule="auto"/>
        <w:jc w:val="both"/>
        <w:rPr>
          <w:rFonts w:ascii="Arial" w:hAnsi="Arial" w:cs="Arial"/>
          <w:color w:val="1C1A15"/>
          <w:lang w:val="nl-BE"/>
        </w:rPr>
      </w:pPr>
    </w:p>
    <w:sdt>
      <w:sdtPr>
        <w:rPr>
          <w:rFonts w:asciiTheme="minorHAnsi" w:eastAsiaTheme="minorEastAsia" w:hAnsiTheme="minorHAnsi" w:cstheme="minorBidi"/>
          <w:color w:val="auto"/>
          <w:sz w:val="22"/>
          <w:szCs w:val="22"/>
          <w:lang w:val="nl-NL" w:eastAsia="en-US"/>
        </w:rPr>
        <w:id w:val="-881479586"/>
        <w:docPartObj>
          <w:docPartGallery w:val="Table of Contents"/>
          <w:docPartUnique/>
        </w:docPartObj>
      </w:sdtPr>
      <w:sdtEndPr>
        <w:rPr>
          <w:b/>
        </w:rPr>
      </w:sdtEndPr>
      <w:sdtContent>
        <w:p w14:paraId="7AD79860" w14:textId="77777777" w:rsidR="008F10F2" w:rsidRDefault="008F10F2">
          <w:pPr>
            <w:pStyle w:val="Kopvaninhoudsopgave"/>
            <w:rPr>
              <w:lang w:val="nl-NL"/>
            </w:rPr>
          </w:pPr>
        </w:p>
        <w:p w14:paraId="088F9E55" w14:textId="77777777" w:rsidR="008F10F2" w:rsidRDefault="008F10F2">
          <w:pPr>
            <w:rPr>
              <w:rFonts w:asciiTheme="majorHAnsi" w:eastAsiaTheme="majorEastAsia" w:hAnsiTheme="majorHAnsi" w:cstheme="majorBidi"/>
              <w:color w:val="2F5496" w:themeColor="accent1" w:themeShade="BF"/>
              <w:sz w:val="32"/>
              <w:szCs w:val="32"/>
              <w:lang w:val="nl-NL" w:eastAsia="nl-BE"/>
            </w:rPr>
          </w:pPr>
          <w:r>
            <w:rPr>
              <w:lang w:val="nl-NL"/>
            </w:rPr>
            <w:br w:type="page"/>
          </w:r>
        </w:p>
        <w:p w14:paraId="777CFF70" w14:textId="3BFD8978" w:rsidR="007476CC" w:rsidRDefault="007476CC">
          <w:pPr>
            <w:pStyle w:val="Kopvaninhoudsopgave"/>
          </w:pPr>
          <w:r>
            <w:rPr>
              <w:lang w:val="nl-NL"/>
            </w:rPr>
            <w:lastRenderedPageBreak/>
            <w:t>Inhoud</w:t>
          </w:r>
        </w:p>
        <w:p w14:paraId="182307A1" w14:textId="6FECB8CC" w:rsidR="00206CE6" w:rsidRDefault="007476CC" w:rsidP="001E069C">
          <w:pPr>
            <w:pStyle w:val="Inhopg1"/>
            <w:rPr>
              <w:rFonts w:eastAsiaTheme="minorEastAsia"/>
              <w:noProof/>
              <w:kern w:val="2"/>
              <w:lang w:val="nl-BE" w:eastAsia="nl-BE"/>
              <w14:ligatures w14:val="standardContextual"/>
            </w:rPr>
          </w:pPr>
          <w:r>
            <w:fldChar w:fldCharType="begin"/>
          </w:r>
          <w:r>
            <w:instrText xml:space="preserve"> TOC \o "1-3" \h \z \u </w:instrText>
          </w:r>
          <w:r>
            <w:fldChar w:fldCharType="separate"/>
          </w:r>
          <w:hyperlink w:anchor="_Toc160465588" w:history="1">
            <w:r w:rsidR="00206CE6" w:rsidRPr="00606EAE">
              <w:rPr>
                <w:rStyle w:val="Hyperlink"/>
                <w:noProof/>
                <w:lang w:val="nl-BE"/>
              </w:rPr>
              <w:t>1.</w:t>
            </w:r>
            <w:r w:rsidR="00206CE6">
              <w:rPr>
                <w:rFonts w:eastAsiaTheme="minorEastAsia"/>
                <w:noProof/>
                <w:kern w:val="2"/>
                <w:lang w:val="nl-BE" w:eastAsia="nl-BE"/>
                <w14:ligatures w14:val="standardContextual"/>
              </w:rPr>
              <w:tab/>
            </w:r>
            <w:r w:rsidR="00206CE6" w:rsidRPr="00606EAE">
              <w:rPr>
                <w:rStyle w:val="Hyperlink"/>
                <w:noProof/>
                <w:lang w:val="nl-BE"/>
              </w:rPr>
              <w:t>Wie moet er tegen 15/04/2024 een MMP26-30 indienen?</w:t>
            </w:r>
            <w:r w:rsidR="00206CE6">
              <w:rPr>
                <w:noProof/>
                <w:webHidden/>
              </w:rPr>
              <w:tab/>
            </w:r>
            <w:r w:rsidR="00206CE6">
              <w:rPr>
                <w:noProof/>
                <w:webHidden/>
              </w:rPr>
              <w:fldChar w:fldCharType="begin"/>
            </w:r>
            <w:r w:rsidR="00206CE6">
              <w:rPr>
                <w:noProof/>
                <w:webHidden/>
              </w:rPr>
              <w:instrText xml:space="preserve"> PAGEREF _Toc160465588 \h </w:instrText>
            </w:r>
            <w:r w:rsidR="00206CE6">
              <w:rPr>
                <w:noProof/>
                <w:webHidden/>
              </w:rPr>
            </w:r>
            <w:r w:rsidR="00206CE6">
              <w:rPr>
                <w:noProof/>
                <w:webHidden/>
              </w:rPr>
              <w:fldChar w:fldCharType="separate"/>
            </w:r>
            <w:r w:rsidR="00206CE6">
              <w:rPr>
                <w:noProof/>
                <w:webHidden/>
              </w:rPr>
              <w:t>6</w:t>
            </w:r>
            <w:r w:rsidR="00206CE6">
              <w:rPr>
                <w:noProof/>
                <w:webHidden/>
              </w:rPr>
              <w:fldChar w:fldCharType="end"/>
            </w:r>
          </w:hyperlink>
        </w:p>
        <w:p w14:paraId="12E85CCB" w14:textId="4625EDF6" w:rsidR="00206CE6" w:rsidRDefault="00206CE6" w:rsidP="001E069C">
          <w:pPr>
            <w:pStyle w:val="Inhopg1"/>
            <w:rPr>
              <w:rFonts w:eastAsiaTheme="minorEastAsia"/>
              <w:noProof/>
              <w:kern w:val="2"/>
              <w:lang w:val="nl-BE" w:eastAsia="nl-BE"/>
              <w14:ligatures w14:val="standardContextual"/>
            </w:rPr>
          </w:pPr>
          <w:hyperlink w:anchor="_Toc160465589" w:history="1">
            <w:r w:rsidRPr="00606EAE">
              <w:rPr>
                <w:rStyle w:val="Hyperlink"/>
                <w:noProof/>
                <w:lang w:val="nl-BE"/>
              </w:rPr>
              <w:t>2.</w:t>
            </w:r>
            <w:r>
              <w:rPr>
                <w:rFonts w:eastAsiaTheme="minorEastAsia"/>
                <w:noProof/>
                <w:kern w:val="2"/>
                <w:lang w:val="nl-BE" w:eastAsia="nl-BE"/>
                <w14:ligatures w14:val="standardContextual"/>
              </w:rPr>
              <w:tab/>
            </w:r>
            <w:r w:rsidRPr="00606EAE">
              <w:rPr>
                <w:rStyle w:val="Hyperlink"/>
                <w:noProof/>
                <w:lang w:val="nl-BE"/>
              </w:rPr>
              <w:t>Waarvoor dient het MMP26-30?</w:t>
            </w:r>
            <w:r>
              <w:rPr>
                <w:noProof/>
                <w:webHidden/>
              </w:rPr>
              <w:tab/>
            </w:r>
            <w:r>
              <w:rPr>
                <w:noProof/>
                <w:webHidden/>
              </w:rPr>
              <w:fldChar w:fldCharType="begin"/>
            </w:r>
            <w:r>
              <w:rPr>
                <w:noProof/>
                <w:webHidden/>
              </w:rPr>
              <w:instrText xml:space="preserve"> PAGEREF _Toc160465589 \h </w:instrText>
            </w:r>
            <w:r>
              <w:rPr>
                <w:noProof/>
                <w:webHidden/>
              </w:rPr>
            </w:r>
            <w:r>
              <w:rPr>
                <w:noProof/>
                <w:webHidden/>
              </w:rPr>
              <w:fldChar w:fldCharType="separate"/>
            </w:r>
            <w:r>
              <w:rPr>
                <w:noProof/>
                <w:webHidden/>
              </w:rPr>
              <w:t>7</w:t>
            </w:r>
            <w:r>
              <w:rPr>
                <w:noProof/>
                <w:webHidden/>
              </w:rPr>
              <w:fldChar w:fldCharType="end"/>
            </w:r>
          </w:hyperlink>
        </w:p>
        <w:p w14:paraId="773C9F26" w14:textId="2C012534" w:rsidR="00206CE6" w:rsidRDefault="00206CE6" w:rsidP="001E069C">
          <w:pPr>
            <w:pStyle w:val="Inhopg1"/>
            <w:rPr>
              <w:rFonts w:eastAsiaTheme="minorEastAsia"/>
              <w:noProof/>
              <w:kern w:val="2"/>
              <w:lang w:val="nl-BE" w:eastAsia="nl-BE"/>
              <w14:ligatures w14:val="standardContextual"/>
            </w:rPr>
          </w:pPr>
          <w:hyperlink w:anchor="_Toc160465590" w:history="1">
            <w:r w:rsidRPr="00606EAE">
              <w:rPr>
                <w:rStyle w:val="Hyperlink"/>
                <w:noProof/>
                <w:lang w:val="nl-BE"/>
              </w:rPr>
              <w:t>3.</w:t>
            </w:r>
            <w:r>
              <w:rPr>
                <w:rFonts w:eastAsiaTheme="minorEastAsia"/>
                <w:noProof/>
                <w:kern w:val="2"/>
                <w:lang w:val="nl-BE" w:eastAsia="nl-BE"/>
                <w14:ligatures w14:val="standardContextual"/>
              </w:rPr>
              <w:tab/>
            </w:r>
            <w:r w:rsidRPr="00606EAE">
              <w:rPr>
                <w:rStyle w:val="Hyperlink"/>
                <w:noProof/>
                <w:lang w:val="nl-BE"/>
              </w:rPr>
              <w:t>Wat zijn de belangrijkste verschillen t.o.v. het MMP21-25?</w:t>
            </w:r>
            <w:r>
              <w:rPr>
                <w:noProof/>
                <w:webHidden/>
              </w:rPr>
              <w:tab/>
            </w:r>
            <w:r>
              <w:rPr>
                <w:noProof/>
                <w:webHidden/>
              </w:rPr>
              <w:fldChar w:fldCharType="begin"/>
            </w:r>
            <w:r>
              <w:rPr>
                <w:noProof/>
                <w:webHidden/>
              </w:rPr>
              <w:instrText xml:space="preserve"> PAGEREF _Toc160465590 \h </w:instrText>
            </w:r>
            <w:r>
              <w:rPr>
                <w:noProof/>
                <w:webHidden/>
              </w:rPr>
            </w:r>
            <w:r>
              <w:rPr>
                <w:noProof/>
                <w:webHidden/>
              </w:rPr>
              <w:fldChar w:fldCharType="separate"/>
            </w:r>
            <w:r>
              <w:rPr>
                <w:noProof/>
                <w:webHidden/>
              </w:rPr>
              <w:t>9</w:t>
            </w:r>
            <w:r>
              <w:rPr>
                <w:noProof/>
                <w:webHidden/>
              </w:rPr>
              <w:fldChar w:fldCharType="end"/>
            </w:r>
          </w:hyperlink>
        </w:p>
        <w:p w14:paraId="6BB278FA" w14:textId="02814B3B"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591" w:history="1">
            <w:r w:rsidRPr="00606EAE">
              <w:rPr>
                <w:rStyle w:val="Hyperlink"/>
                <w:noProof/>
                <w:lang w:val="nl-BE"/>
              </w:rPr>
              <w:t>3.1.</w:t>
            </w:r>
            <w:r>
              <w:rPr>
                <w:rFonts w:eastAsiaTheme="minorEastAsia"/>
                <w:noProof/>
                <w:kern w:val="2"/>
                <w:lang w:val="nl-BE" w:eastAsia="nl-BE"/>
                <w14:ligatures w14:val="standardContextual"/>
              </w:rPr>
              <w:tab/>
            </w:r>
            <w:r w:rsidRPr="00606EAE">
              <w:rPr>
                <w:rStyle w:val="Hyperlink"/>
                <w:noProof/>
                <w:lang w:val="nl-BE"/>
              </w:rPr>
              <w:t>Energie-efficiëntieconditionaliteit</w:t>
            </w:r>
            <w:r>
              <w:rPr>
                <w:noProof/>
                <w:webHidden/>
              </w:rPr>
              <w:tab/>
            </w:r>
            <w:r>
              <w:rPr>
                <w:noProof/>
                <w:webHidden/>
              </w:rPr>
              <w:fldChar w:fldCharType="begin"/>
            </w:r>
            <w:r>
              <w:rPr>
                <w:noProof/>
                <w:webHidden/>
              </w:rPr>
              <w:instrText xml:space="preserve"> PAGEREF _Toc160465591 \h </w:instrText>
            </w:r>
            <w:r>
              <w:rPr>
                <w:noProof/>
                <w:webHidden/>
              </w:rPr>
            </w:r>
            <w:r>
              <w:rPr>
                <w:noProof/>
                <w:webHidden/>
              </w:rPr>
              <w:fldChar w:fldCharType="separate"/>
            </w:r>
            <w:r>
              <w:rPr>
                <w:noProof/>
                <w:webHidden/>
              </w:rPr>
              <w:t>9</w:t>
            </w:r>
            <w:r>
              <w:rPr>
                <w:noProof/>
                <w:webHidden/>
              </w:rPr>
              <w:fldChar w:fldCharType="end"/>
            </w:r>
          </w:hyperlink>
        </w:p>
        <w:p w14:paraId="38D7F88B" w14:textId="60C41982"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592" w:history="1">
            <w:r w:rsidRPr="00606EAE">
              <w:rPr>
                <w:rStyle w:val="Hyperlink"/>
                <w:noProof/>
                <w:lang w:val="nl-BE"/>
              </w:rPr>
              <w:t>3.2.</w:t>
            </w:r>
            <w:r>
              <w:rPr>
                <w:rFonts w:eastAsiaTheme="minorEastAsia"/>
                <w:noProof/>
                <w:kern w:val="2"/>
                <w:lang w:val="nl-BE" w:eastAsia="nl-BE"/>
                <w14:ligatures w14:val="standardContextual"/>
              </w:rPr>
              <w:tab/>
            </w:r>
            <w:r w:rsidRPr="00606EAE">
              <w:rPr>
                <w:rStyle w:val="Hyperlink"/>
                <w:noProof/>
                <w:lang w:val="nl-BE"/>
              </w:rPr>
              <w:t>Productbenchmarks met verzameling van gegevens over elektriciteitsverbruik</w:t>
            </w:r>
            <w:r>
              <w:rPr>
                <w:noProof/>
                <w:webHidden/>
              </w:rPr>
              <w:tab/>
            </w:r>
            <w:r>
              <w:rPr>
                <w:noProof/>
                <w:webHidden/>
              </w:rPr>
              <w:fldChar w:fldCharType="begin"/>
            </w:r>
            <w:r>
              <w:rPr>
                <w:noProof/>
                <w:webHidden/>
              </w:rPr>
              <w:instrText xml:space="preserve"> PAGEREF _Toc160465592 \h </w:instrText>
            </w:r>
            <w:r>
              <w:rPr>
                <w:noProof/>
                <w:webHidden/>
              </w:rPr>
            </w:r>
            <w:r>
              <w:rPr>
                <w:noProof/>
                <w:webHidden/>
              </w:rPr>
              <w:fldChar w:fldCharType="separate"/>
            </w:r>
            <w:r>
              <w:rPr>
                <w:noProof/>
                <w:webHidden/>
              </w:rPr>
              <w:t>11</w:t>
            </w:r>
            <w:r>
              <w:rPr>
                <w:noProof/>
                <w:webHidden/>
              </w:rPr>
              <w:fldChar w:fldCharType="end"/>
            </w:r>
          </w:hyperlink>
        </w:p>
        <w:p w14:paraId="5066D1B9" w14:textId="24AFC2DD"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593" w:history="1">
            <w:r w:rsidRPr="00606EAE">
              <w:rPr>
                <w:rStyle w:val="Hyperlink"/>
                <w:noProof/>
                <w:lang w:val="en-GB"/>
              </w:rPr>
              <w:t>3.3.</w:t>
            </w:r>
            <w:r>
              <w:rPr>
                <w:rFonts w:eastAsiaTheme="minorEastAsia"/>
                <w:noProof/>
                <w:kern w:val="2"/>
                <w:lang w:val="nl-BE" w:eastAsia="nl-BE"/>
                <w14:ligatures w14:val="standardContextual"/>
              </w:rPr>
              <w:tab/>
            </w:r>
            <w:r w:rsidRPr="00606EAE">
              <w:rPr>
                <w:rStyle w:val="Hyperlink"/>
                <w:noProof/>
                <w:lang w:val="en-GB"/>
              </w:rPr>
              <w:t>Warmtebenchmark-subinstallatie</w:t>
            </w:r>
            <w:r>
              <w:rPr>
                <w:noProof/>
                <w:webHidden/>
              </w:rPr>
              <w:tab/>
            </w:r>
            <w:r>
              <w:rPr>
                <w:noProof/>
                <w:webHidden/>
              </w:rPr>
              <w:fldChar w:fldCharType="begin"/>
            </w:r>
            <w:r>
              <w:rPr>
                <w:noProof/>
                <w:webHidden/>
              </w:rPr>
              <w:instrText xml:space="preserve"> PAGEREF _Toc160465593 \h </w:instrText>
            </w:r>
            <w:r>
              <w:rPr>
                <w:noProof/>
                <w:webHidden/>
              </w:rPr>
            </w:r>
            <w:r>
              <w:rPr>
                <w:noProof/>
                <w:webHidden/>
              </w:rPr>
              <w:fldChar w:fldCharType="separate"/>
            </w:r>
            <w:r>
              <w:rPr>
                <w:noProof/>
                <w:webHidden/>
              </w:rPr>
              <w:t>13</w:t>
            </w:r>
            <w:r>
              <w:rPr>
                <w:noProof/>
                <w:webHidden/>
              </w:rPr>
              <w:fldChar w:fldCharType="end"/>
            </w:r>
          </w:hyperlink>
        </w:p>
        <w:p w14:paraId="13888F42" w14:textId="09267314"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594" w:history="1">
            <w:r w:rsidRPr="00606EAE">
              <w:rPr>
                <w:rStyle w:val="Hyperlink"/>
                <w:noProof/>
                <w:lang w:val="nl-BE"/>
              </w:rPr>
              <w:t>3.4.</w:t>
            </w:r>
            <w:r>
              <w:rPr>
                <w:rFonts w:eastAsiaTheme="minorEastAsia"/>
                <w:noProof/>
                <w:kern w:val="2"/>
                <w:lang w:val="nl-BE" w:eastAsia="nl-BE"/>
                <w14:ligatures w14:val="standardContextual"/>
              </w:rPr>
              <w:tab/>
            </w:r>
            <w:r w:rsidRPr="00606EAE">
              <w:rPr>
                <w:rStyle w:val="Hyperlink"/>
                <w:noProof/>
                <w:lang w:val="nl-BE"/>
              </w:rPr>
              <w:t>Brandstofbenchmark-subinstallatie</w:t>
            </w:r>
            <w:r>
              <w:rPr>
                <w:noProof/>
                <w:webHidden/>
              </w:rPr>
              <w:tab/>
            </w:r>
            <w:r>
              <w:rPr>
                <w:noProof/>
                <w:webHidden/>
              </w:rPr>
              <w:fldChar w:fldCharType="begin"/>
            </w:r>
            <w:r>
              <w:rPr>
                <w:noProof/>
                <w:webHidden/>
              </w:rPr>
              <w:instrText xml:space="preserve"> PAGEREF _Toc160465594 \h </w:instrText>
            </w:r>
            <w:r>
              <w:rPr>
                <w:noProof/>
                <w:webHidden/>
              </w:rPr>
            </w:r>
            <w:r>
              <w:rPr>
                <w:noProof/>
                <w:webHidden/>
              </w:rPr>
              <w:fldChar w:fldCharType="separate"/>
            </w:r>
            <w:r>
              <w:rPr>
                <w:noProof/>
                <w:webHidden/>
              </w:rPr>
              <w:t>14</w:t>
            </w:r>
            <w:r>
              <w:rPr>
                <w:noProof/>
                <w:webHidden/>
              </w:rPr>
              <w:fldChar w:fldCharType="end"/>
            </w:r>
          </w:hyperlink>
        </w:p>
        <w:p w14:paraId="78ECA3C6" w14:textId="42846B65"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595" w:history="1">
            <w:r w:rsidRPr="00606EAE">
              <w:rPr>
                <w:rStyle w:val="Hyperlink"/>
                <w:noProof/>
                <w:lang w:val="nl-BE"/>
              </w:rPr>
              <w:t>3.5.</w:t>
            </w:r>
            <w:r>
              <w:rPr>
                <w:rFonts w:eastAsiaTheme="minorEastAsia"/>
                <w:noProof/>
                <w:kern w:val="2"/>
                <w:lang w:val="nl-BE" w:eastAsia="nl-BE"/>
                <w14:ligatures w14:val="standardContextual"/>
              </w:rPr>
              <w:tab/>
            </w:r>
            <w:r w:rsidRPr="00606EAE">
              <w:rPr>
                <w:rStyle w:val="Hyperlink"/>
                <w:noProof/>
                <w:lang w:val="nl-BE"/>
              </w:rPr>
              <w:t>Elektriciteitsopwekkers</w:t>
            </w:r>
            <w:r>
              <w:rPr>
                <w:noProof/>
                <w:webHidden/>
              </w:rPr>
              <w:tab/>
            </w:r>
            <w:r>
              <w:rPr>
                <w:noProof/>
                <w:webHidden/>
              </w:rPr>
              <w:fldChar w:fldCharType="begin"/>
            </w:r>
            <w:r>
              <w:rPr>
                <w:noProof/>
                <w:webHidden/>
              </w:rPr>
              <w:instrText xml:space="preserve"> PAGEREF _Toc160465595 \h </w:instrText>
            </w:r>
            <w:r>
              <w:rPr>
                <w:noProof/>
                <w:webHidden/>
              </w:rPr>
            </w:r>
            <w:r>
              <w:rPr>
                <w:noProof/>
                <w:webHidden/>
              </w:rPr>
              <w:fldChar w:fldCharType="separate"/>
            </w:r>
            <w:r>
              <w:rPr>
                <w:noProof/>
                <w:webHidden/>
              </w:rPr>
              <w:t>14</w:t>
            </w:r>
            <w:r>
              <w:rPr>
                <w:noProof/>
                <w:webHidden/>
              </w:rPr>
              <w:fldChar w:fldCharType="end"/>
            </w:r>
          </w:hyperlink>
        </w:p>
        <w:p w14:paraId="2953EA1A" w14:textId="27520968" w:rsidR="00206CE6" w:rsidRDefault="00206CE6">
          <w:pPr>
            <w:pStyle w:val="Inhopg2"/>
            <w:tabs>
              <w:tab w:val="left" w:pos="660"/>
              <w:tab w:val="right" w:leader="dot" w:pos="9016"/>
            </w:tabs>
            <w:rPr>
              <w:rFonts w:eastAsiaTheme="minorEastAsia"/>
              <w:noProof/>
              <w:kern w:val="2"/>
              <w:lang w:val="nl-BE" w:eastAsia="nl-BE"/>
              <w14:ligatures w14:val="standardContextual"/>
            </w:rPr>
          </w:pPr>
          <w:hyperlink w:anchor="_Toc160465596" w:history="1">
            <w:r>
              <w:rPr>
                <w:rFonts w:eastAsiaTheme="minorEastAsia"/>
                <w:noProof/>
                <w:kern w:val="2"/>
                <w:lang w:val="nl-BE" w:eastAsia="nl-BE"/>
                <w14:ligatures w14:val="standardContextual"/>
              </w:rPr>
              <w:tab/>
            </w:r>
            <w:r w:rsidRPr="00606EAE">
              <w:rPr>
                <w:rStyle w:val="Hyperlink"/>
                <w:noProof/>
                <w:lang w:val="nl-BE"/>
              </w:rPr>
              <w:t>CBAM</w:t>
            </w:r>
            <w:r>
              <w:rPr>
                <w:noProof/>
                <w:webHidden/>
              </w:rPr>
              <w:tab/>
            </w:r>
            <w:r>
              <w:rPr>
                <w:noProof/>
                <w:webHidden/>
              </w:rPr>
              <w:fldChar w:fldCharType="begin"/>
            </w:r>
            <w:r>
              <w:rPr>
                <w:noProof/>
                <w:webHidden/>
              </w:rPr>
              <w:instrText xml:space="preserve"> PAGEREF _Toc160465596 \h </w:instrText>
            </w:r>
            <w:r>
              <w:rPr>
                <w:noProof/>
                <w:webHidden/>
              </w:rPr>
            </w:r>
            <w:r>
              <w:rPr>
                <w:noProof/>
                <w:webHidden/>
              </w:rPr>
              <w:fldChar w:fldCharType="separate"/>
            </w:r>
            <w:r>
              <w:rPr>
                <w:noProof/>
                <w:webHidden/>
              </w:rPr>
              <w:t>15</w:t>
            </w:r>
            <w:r>
              <w:rPr>
                <w:noProof/>
                <w:webHidden/>
              </w:rPr>
              <w:fldChar w:fldCharType="end"/>
            </w:r>
          </w:hyperlink>
        </w:p>
        <w:p w14:paraId="1348B500" w14:textId="415D4EBC" w:rsidR="00206CE6" w:rsidRDefault="00206CE6">
          <w:pPr>
            <w:pStyle w:val="Inhopg2"/>
            <w:tabs>
              <w:tab w:val="right" w:leader="dot" w:pos="9016"/>
            </w:tabs>
            <w:rPr>
              <w:rFonts w:eastAsiaTheme="minorEastAsia"/>
              <w:noProof/>
              <w:kern w:val="2"/>
              <w:lang w:val="nl-BE" w:eastAsia="nl-BE"/>
              <w14:ligatures w14:val="standardContextual"/>
            </w:rPr>
          </w:pPr>
          <w:hyperlink w:anchor="_Toc160465597" w:history="1">
            <w:r w:rsidRPr="00606EAE">
              <w:rPr>
                <w:rStyle w:val="Hyperlink"/>
                <w:noProof/>
                <w:lang w:val="nl-BE"/>
              </w:rPr>
              <w:t>3.6.</w:t>
            </w:r>
            <w:r>
              <w:rPr>
                <w:noProof/>
                <w:webHidden/>
              </w:rPr>
              <w:tab/>
            </w:r>
            <w:r>
              <w:rPr>
                <w:noProof/>
                <w:webHidden/>
              </w:rPr>
              <w:fldChar w:fldCharType="begin"/>
            </w:r>
            <w:r>
              <w:rPr>
                <w:noProof/>
                <w:webHidden/>
              </w:rPr>
              <w:instrText xml:space="preserve"> PAGEREF _Toc160465597 \h </w:instrText>
            </w:r>
            <w:r>
              <w:rPr>
                <w:noProof/>
                <w:webHidden/>
              </w:rPr>
            </w:r>
            <w:r>
              <w:rPr>
                <w:noProof/>
                <w:webHidden/>
              </w:rPr>
              <w:fldChar w:fldCharType="separate"/>
            </w:r>
            <w:r>
              <w:rPr>
                <w:noProof/>
                <w:webHidden/>
              </w:rPr>
              <w:t>15</w:t>
            </w:r>
            <w:r>
              <w:rPr>
                <w:noProof/>
                <w:webHidden/>
              </w:rPr>
              <w:fldChar w:fldCharType="end"/>
            </w:r>
          </w:hyperlink>
        </w:p>
        <w:p w14:paraId="67547466" w14:textId="71FABC78"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598" w:history="1">
            <w:r w:rsidRPr="00606EAE">
              <w:rPr>
                <w:rStyle w:val="Hyperlink"/>
                <w:noProof/>
                <w:lang w:val="nl-BE"/>
              </w:rPr>
              <w:t>3.6.1.</w:t>
            </w:r>
            <w:r>
              <w:rPr>
                <w:rFonts w:eastAsiaTheme="minorEastAsia"/>
                <w:noProof/>
                <w:kern w:val="2"/>
                <w:lang w:val="nl-BE" w:eastAsia="nl-BE"/>
                <w14:ligatures w14:val="standardContextual"/>
              </w:rPr>
              <w:tab/>
            </w:r>
            <w:r w:rsidRPr="00606EAE">
              <w:rPr>
                <w:rStyle w:val="Hyperlink"/>
                <w:noProof/>
                <w:lang w:val="nl-BE"/>
              </w:rPr>
              <w:t>Voor product benchmark subinstallaties</w:t>
            </w:r>
            <w:r>
              <w:rPr>
                <w:noProof/>
                <w:webHidden/>
              </w:rPr>
              <w:tab/>
            </w:r>
            <w:r>
              <w:rPr>
                <w:noProof/>
                <w:webHidden/>
              </w:rPr>
              <w:fldChar w:fldCharType="begin"/>
            </w:r>
            <w:r>
              <w:rPr>
                <w:noProof/>
                <w:webHidden/>
              </w:rPr>
              <w:instrText xml:space="preserve"> PAGEREF _Toc160465598 \h </w:instrText>
            </w:r>
            <w:r>
              <w:rPr>
                <w:noProof/>
                <w:webHidden/>
              </w:rPr>
            </w:r>
            <w:r>
              <w:rPr>
                <w:noProof/>
                <w:webHidden/>
              </w:rPr>
              <w:fldChar w:fldCharType="separate"/>
            </w:r>
            <w:r>
              <w:rPr>
                <w:noProof/>
                <w:webHidden/>
              </w:rPr>
              <w:t>15</w:t>
            </w:r>
            <w:r>
              <w:rPr>
                <w:noProof/>
                <w:webHidden/>
              </w:rPr>
              <w:fldChar w:fldCharType="end"/>
            </w:r>
          </w:hyperlink>
        </w:p>
        <w:p w14:paraId="2E025E1F" w14:textId="6D6DC068"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599" w:history="1">
            <w:r w:rsidRPr="00606EAE">
              <w:rPr>
                <w:rStyle w:val="Hyperlink"/>
                <w:noProof/>
                <w:lang w:val="en-GB"/>
              </w:rPr>
              <w:t>3.6.2.</w:t>
            </w:r>
            <w:r>
              <w:rPr>
                <w:rFonts w:eastAsiaTheme="minorEastAsia"/>
                <w:noProof/>
                <w:kern w:val="2"/>
                <w:lang w:val="nl-BE" w:eastAsia="nl-BE"/>
                <w14:ligatures w14:val="standardContextual"/>
              </w:rPr>
              <w:tab/>
            </w:r>
            <w:r w:rsidRPr="00606EAE">
              <w:rPr>
                <w:rStyle w:val="Hyperlink"/>
                <w:noProof/>
                <w:lang w:val="en-GB"/>
              </w:rPr>
              <w:t>Voor fall-back subinstallaties</w:t>
            </w:r>
            <w:r>
              <w:rPr>
                <w:noProof/>
                <w:webHidden/>
              </w:rPr>
              <w:tab/>
            </w:r>
            <w:r>
              <w:rPr>
                <w:noProof/>
                <w:webHidden/>
              </w:rPr>
              <w:fldChar w:fldCharType="begin"/>
            </w:r>
            <w:r>
              <w:rPr>
                <w:noProof/>
                <w:webHidden/>
              </w:rPr>
              <w:instrText xml:space="preserve"> PAGEREF _Toc160465599 \h </w:instrText>
            </w:r>
            <w:r>
              <w:rPr>
                <w:noProof/>
                <w:webHidden/>
              </w:rPr>
            </w:r>
            <w:r>
              <w:rPr>
                <w:noProof/>
                <w:webHidden/>
              </w:rPr>
              <w:fldChar w:fldCharType="separate"/>
            </w:r>
            <w:r>
              <w:rPr>
                <w:noProof/>
                <w:webHidden/>
              </w:rPr>
              <w:t>15</w:t>
            </w:r>
            <w:r>
              <w:rPr>
                <w:noProof/>
                <w:webHidden/>
              </w:rPr>
              <w:fldChar w:fldCharType="end"/>
            </w:r>
          </w:hyperlink>
        </w:p>
        <w:p w14:paraId="2BE1A8C6" w14:textId="3A8F3CD8"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00" w:history="1">
            <w:r w:rsidRPr="00606EAE">
              <w:rPr>
                <w:rStyle w:val="Hyperlink"/>
                <w:noProof/>
                <w:lang w:val="nl-BE"/>
              </w:rPr>
              <w:t>3.7.</w:t>
            </w:r>
            <w:r>
              <w:rPr>
                <w:rFonts w:eastAsiaTheme="minorEastAsia"/>
                <w:noProof/>
                <w:kern w:val="2"/>
                <w:lang w:val="nl-BE" w:eastAsia="nl-BE"/>
                <w14:ligatures w14:val="standardContextual"/>
              </w:rPr>
              <w:tab/>
            </w:r>
            <w:r w:rsidRPr="00606EAE">
              <w:rPr>
                <w:rStyle w:val="Hyperlink"/>
                <w:noProof/>
                <w:lang w:val="nl-BE"/>
              </w:rPr>
              <w:t>Schrapping de-minimisregel</w:t>
            </w:r>
            <w:r>
              <w:rPr>
                <w:noProof/>
                <w:webHidden/>
              </w:rPr>
              <w:tab/>
            </w:r>
            <w:r>
              <w:rPr>
                <w:noProof/>
                <w:webHidden/>
              </w:rPr>
              <w:fldChar w:fldCharType="begin"/>
            </w:r>
            <w:r>
              <w:rPr>
                <w:noProof/>
                <w:webHidden/>
              </w:rPr>
              <w:instrText xml:space="preserve"> PAGEREF _Toc160465600 \h </w:instrText>
            </w:r>
            <w:r>
              <w:rPr>
                <w:noProof/>
                <w:webHidden/>
              </w:rPr>
            </w:r>
            <w:r>
              <w:rPr>
                <w:noProof/>
                <w:webHidden/>
              </w:rPr>
              <w:fldChar w:fldCharType="separate"/>
            </w:r>
            <w:r>
              <w:rPr>
                <w:noProof/>
                <w:webHidden/>
              </w:rPr>
              <w:t>15</w:t>
            </w:r>
            <w:r>
              <w:rPr>
                <w:noProof/>
                <w:webHidden/>
              </w:rPr>
              <w:fldChar w:fldCharType="end"/>
            </w:r>
          </w:hyperlink>
        </w:p>
        <w:p w14:paraId="0B1481C9" w14:textId="0B29031E"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01" w:history="1">
            <w:r w:rsidRPr="00606EAE">
              <w:rPr>
                <w:rStyle w:val="Hyperlink"/>
                <w:noProof/>
                <w:lang w:val="nl-BE"/>
              </w:rPr>
              <w:t>3.8.</w:t>
            </w:r>
            <w:r>
              <w:rPr>
                <w:rFonts w:eastAsiaTheme="minorEastAsia"/>
                <w:noProof/>
                <w:kern w:val="2"/>
                <w:lang w:val="nl-BE" w:eastAsia="nl-BE"/>
                <w14:ligatures w14:val="standardContextual"/>
              </w:rPr>
              <w:tab/>
            </w:r>
            <w:r w:rsidRPr="00606EAE">
              <w:rPr>
                <w:rStyle w:val="Hyperlink"/>
                <w:noProof/>
                <w:lang w:val="nl-BE"/>
              </w:rPr>
              <w:t>Schrapping specifieke regel in geval van teruggewonnen warmte</w:t>
            </w:r>
            <w:r>
              <w:rPr>
                <w:noProof/>
                <w:webHidden/>
              </w:rPr>
              <w:tab/>
            </w:r>
            <w:r>
              <w:rPr>
                <w:noProof/>
                <w:webHidden/>
              </w:rPr>
              <w:fldChar w:fldCharType="begin"/>
            </w:r>
            <w:r>
              <w:rPr>
                <w:noProof/>
                <w:webHidden/>
              </w:rPr>
              <w:instrText xml:space="preserve"> PAGEREF _Toc160465601 \h </w:instrText>
            </w:r>
            <w:r>
              <w:rPr>
                <w:noProof/>
                <w:webHidden/>
              </w:rPr>
            </w:r>
            <w:r>
              <w:rPr>
                <w:noProof/>
                <w:webHidden/>
              </w:rPr>
              <w:fldChar w:fldCharType="separate"/>
            </w:r>
            <w:r>
              <w:rPr>
                <w:noProof/>
                <w:webHidden/>
              </w:rPr>
              <w:t>17</w:t>
            </w:r>
            <w:r>
              <w:rPr>
                <w:noProof/>
                <w:webHidden/>
              </w:rPr>
              <w:fldChar w:fldCharType="end"/>
            </w:r>
          </w:hyperlink>
        </w:p>
        <w:p w14:paraId="2CC3A4EF" w14:textId="7783424A"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02" w:history="1">
            <w:r w:rsidRPr="00606EAE">
              <w:rPr>
                <w:rStyle w:val="Hyperlink"/>
                <w:noProof/>
                <w:lang w:val="nl-BE"/>
              </w:rPr>
              <w:t>3.9.</w:t>
            </w:r>
            <w:r>
              <w:rPr>
                <w:rFonts w:eastAsiaTheme="minorEastAsia"/>
                <w:noProof/>
                <w:kern w:val="2"/>
                <w:lang w:val="nl-BE" w:eastAsia="nl-BE"/>
                <w14:ligatures w14:val="standardContextual"/>
              </w:rPr>
              <w:tab/>
            </w:r>
            <w:r w:rsidRPr="00606EAE">
              <w:rPr>
                <w:rStyle w:val="Hyperlink"/>
                <w:noProof/>
                <w:lang w:val="nl-BE"/>
              </w:rPr>
              <w:t>Energy input</w:t>
            </w:r>
            <w:r>
              <w:rPr>
                <w:noProof/>
                <w:webHidden/>
              </w:rPr>
              <w:tab/>
            </w:r>
            <w:r>
              <w:rPr>
                <w:noProof/>
                <w:webHidden/>
              </w:rPr>
              <w:fldChar w:fldCharType="begin"/>
            </w:r>
            <w:r>
              <w:rPr>
                <w:noProof/>
                <w:webHidden/>
              </w:rPr>
              <w:instrText xml:space="preserve"> PAGEREF _Toc160465602 \h </w:instrText>
            </w:r>
            <w:r>
              <w:rPr>
                <w:noProof/>
                <w:webHidden/>
              </w:rPr>
            </w:r>
            <w:r>
              <w:rPr>
                <w:noProof/>
                <w:webHidden/>
              </w:rPr>
              <w:fldChar w:fldCharType="separate"/>
            </w:r>
            <w:r>
              <w:rPr>
                <w:noProof/>
                <w:webHidden/>
              </w:rPr>
              <w:t>17</w:t>
            </w:r>
            <w:r>
              <w:rPr>
                <w:noProof/>
                <w:webHidden/>
              </w:rPr>
              <w:fldChar w:fldCharType="end"/>
            </w:r>
          </w:hyperlink>
        </w:p>
        <w:p w14:paraId="689B1F0B" w14:textId="12A1DD34" w:rsidR="00206CE6" w:rsidRDefault="00206CE6">
          <w:pPr>
            <w:pStyle w:val="Inhopg2"/>
            <w:tabs>
              <w:tab w:val="left" w:pos="1100"/>
              <w:tab w:val="right" w:leader="dot" w:pos="9016"/>
            </w:tabs>
            <w:rPr>
              <w:rFonts w:eastAsiaTheme="minorEastAsia"/>
              <w:noProof/>
              <w:kern w:val="2"/>
              <w:lang w:val="nl-BE" w:eastAsia="nl-BE"/>
              <w14:ligatures w14:val="standardContextual"/>
            </w:rPr>
          </w:pPr>
          <w:hyperlink w:anchor="_Toc160465603" w:history="1">
            <w:r w:rsidRPr="00606EAE">
              <w:rPr>
                <w:rStyle w:val="Hyperlink"/>
                <w:noProof/>
                <w:lang w:val="nl-BE"/>
              </w:rPr>
              <w:t>3.10.</w:t>
            </w:r>
            <w:r>
              <w:rPr>
                <w:rFonts w:eastAsiaTheme="minorEastAsia"/>
                <w:noProof/>
                <w:kern w:val="2"/>
                <w:lang w:val="nl-BE" w:eastAsia="nl-BE"/>
                <w14:ligatures w14:val="standardContextual"/>
              </w:rPr>
              <w:tab/>
            </w:r>
            <w:r w:rsidRPr="00606EAE">
              <w:rPr>
                <w:rStyle w:val="Hyperlink"/>
                <w:noProof/>
                <w:lang w:val="nl-BE"/>
              </w:rPr>
              <w:t>Procesemissies</w:t>
            </w:r>
            <w:r>
              <w:rPr>
                <w:noProof/>
                <w:webHidden/>
              </w:rPr>
              <w:tab/>
            </w:r>
            <w:r>
              <w:rPr>
                <w:noProof/>
                <w:webHidden/>
              </w:rPr>
              <w:fldChar w:fldCharType="begin"/>
            </w:r>
            <w:r>
              <w:rPr>
                <w:noProof/>
                <w:webHidden/>
              </w:rPr>
              <w:instrText xml:space="preserve"> PAGEREF _Toc160465603 \h </w:instrText>
            </w:r>
            <w:r>
              <w:rPr>
                <w:noProof/>
                <w:webHidden/>
              </w:rPr>
            </w:r>
            <w:r>
              <w:rPr>
                <w:noProof/>
                <w:webHidden/>
              </w:rPr>
              <w:fldChar w:fldCharType="separate"/>
            </w:r>
            <w:r>
              <w:rPr>
                <w:noProof/>
                <w:webHidden/>
              </w:rPr>
              <w:t>17</w:t>
            </w:r>
            <w:r>
              <w:rPr>
                <w:noProof/>
                <w:webHidden/>
              </w:rPr>
              <w:fldChar w:fldCharType="end"/>
            </w:r>
          </w:hyperlink>
        </w:p>
        <w:p w14:paraId="2202C802" w14:textId="4DB9C887" w:rsidR="00206CE6" w:rsidRDefault="00206CE6">
          <w:pPr>
            <w:pStyle w:val="Inhopg2"/>
            <w:tabs>
              <w:tab w:val="left" w:pos="1100"/>
              <w:tab w:val="right" w:leader="dot" w:pos="9016"/>
            </w:tabs>
            <w:rPr>
              <w:rFonts w:eastAsiaTheme="minorEastAsia"/>
              <w:noProof/>
              <w:kern w:val="2"/>
              <w:lang w:val="nl-BE" w:eastAsia="nl-BE"/>
              <w14:ligatures w14:val="standardContextual"/>
            </w:rPr>
          </w:pPr>
          <w:hyperlink w:anchor="_Toc160465604" w:history="1">
            <w:r w:rsidRPr="00606EAE">
              <w:rPr>
                <w:rStyle w:val="Hyperlink"/>
                <w:noProof/>
                <w:lang w:val="nl-BE"/>
              </w:rPr>
              <w:t>3.11.</w:t>
            </w:r>
            <w:r>
              <w:rPr>
                <w:rFonts w:eastAsiaTheme="minorEastAsia"/>
                <w:noProof/>
                <w:kern w:val="2"/>
                <w:lang w:val="nl-BE" w:eastAsia="nl-BE"/>
                <w14:ligatures w14:val="standardContextual"/>
              </w:rPr>
              <w:tab/>
            </w:r>
            <w:r w:rsidRPr="00606EAE">
              <w:rPr>
                <w:rStyle w:val="Hyperlink"/>
                <w:noProof/>
                <w:lang w:val="nl-BE"/>
              </w:rPr>
              <w:t>Ethyleenoxide/-glycolen</w:t>
            </w:r>
            <w:r>
              <w:rPr>
                <w:noProof/>
                <w:webHidden/>
              </w:rPr>
              <w:tab/>
            </w:r>
            <w:r>
              <w:rPr>
                <w:noProof/>
                <w:webHidden/>
              </w:rPr>
              <w:fldChar w:fldCharType="begin"/>
            </w:r>
            <w:r>
              <w:rPr>
                <w:noProof/>
                <w:webHidden/>
              </w:rPr>
              <w:instrText xml:space="preserve"> PAGEREF _Toc160465604 \h </w:instrText>
            </w:r>
            <w:r>
              <w:rPr>
                <w:noProof/>
                <w:webHidden/>
              </w:rPr>
            </w:r>
            <w:r>
              <w:rPr>
                <w:noProof/>
                <w:webHidden/>
              </w:rPr>
              <w:fldChar w:fldCharType="separate"/>
            </w:r>
            <w:r>
              <w:rPr>
                <w:noProof/>
                <w:webHidden/>
              </w:rPr>
              <w:t>18</w:t>
            </w:r>
            <w:r>
              <w:rPr>
                <w:noProof/>
                <w:webHidden/>
              </w:rPr>
              <w:fldChar w:fldCharType="end"/>
            </w:r>
          </w:hyperlink>
        </w:p>
        <w:p w14:paraId="5FBFB47D" w14:textId="4B059A0A" w:rsidR="00206CE6" w:rsidRDefault="00206CE6">
          <w:pPr>
            <w:pStyle w:val="Inhopg2"/>
            <w:tabs>
              <w:tab w:val="left" w:pos="1100"/>
              <w:tab w:val="right" w:leader="dot" w:pos="9016"/>
            </w:tabs>
            <w:rPr>
              <w:rFonts w:eastAsiaTheme="minorEastAsia"/>
              <w:noProof/>
              <w:kern w:val="2"/>
              <w:lang w:val="nl-BE" w:eastAsia="nl-BE"/>
              <w14:ligatures w14:val="standardContextual"/>
            </w:rPr>
          </w:pPr>
          <w:hyperlink w:anchor="_Toc160465605" w:history="1">
            <w:r w:rsidRPr="00606EAE">
              <w:rPr>
                <w:rStyle w:val="Hyperlink"/>
                <w:noProof/>
                <w:lang w:val="nl-BE"/>
              </w:rPr>
              <w:t>3.12.</w:t>
            </w:r>
            <w:r>
              <w:rPr>
                <w:rFonts w:eastAsiaTheme="minorEastAsia"/>
                <w:noProof/>
                <w:kern w:val="2"/>
                <w:lang w:val="nl-BE" w:eastAsia="nl-BE"/>
                <w14:ligatures w14:val="standardContextual"/>
              </w:rPr>
              <w:tab/>
            </w:r>
            <w:r w:rsidRPr="00606EAE">
              <w:rPr>
                <w:rStyle w:val="Hyperlink"/>
                <w:noProof/>
                <w:lang w:val="nl-BE"/>
              </w:rPr>
              <w:t>Onredelijke kosten</w:t>
            </w:r>
            <w:r>
              <w:rPr>
                <w:noProof/>
                <w:webHidden/>
              </w:rPr>
              <w:tab/>
            </w:r>
            <w:r>
              <w:rPr>
                <w:noProof/>
                <w:webHidden/>
              </w:rPr>
              <w:fldChar w:fldCharType="begin"/>
            </w:r>
            <w:r>
              <w:rPr>
                <w:noProof/>
                <w:webHidden/>
              </w:rPr>
              <w:instrText xml:space="preserve"> PAGEREF _Toc160465605 \h </w:instrText>
            </w:r>
            <w:r>
              <w:rPr>
                <w:noProof/>
                <w:webHidden/>
              </w:rPr>
            </w:r>
            <w:r>
              <w:rPr>
                <w:noProof/>
                <w:webHidden/>
              </w:rPr>
              <w:fldChar w:fldCharType="separate"/>
            </w:r>
            <w:r>
              <w:rPr>
                <w:noProof/>
                <w:webHidden/>
              </w:rPr>
              <w:t>20</w:t>
            </w:r>
            <w:r>
              <w:rPr>
                <w:noProof/>
                <w:webHidden/>
              </w:rPr>
              <w:fldChar w:fldCharType="end"/>
            </w:r>
          </w:hyperlink>
        </w:p>
        <w:p w14:paraId="587C0F5A" w14:textId="2748662E" w:rsidR="00206CE6" w:rsidRDefault="00206CE6">
          <w:pPr>
            <w:pStyle w:val="Inhopg2"/>
            <w:tabs>
              <w:tab w:val="left" w:pos="1100"/>
              <w:tab w:val="right" w:leader="dot" w:pos="9016"/>
            </w:tabs>
            <w:rPr>
              <w:rFonts w:eastAsiaTheme="minorEastAsia"/>
              <w:noProof/>
              <w:kern w:val="2"/>
              <w:lang w:val="nl-BE" w:eastAsia="nl-BE"/>
              <w14:ligatures w14:val="standardContextual"/>
            </w:rPr>
          </w:pPr>
          <w:hyperlink w:anchor="_Toc160465606" w:history="1">
            <w:r w:rsidRPr="00606EAE">
              <w:rPr>
                <w:rStyle w:val="Hyperlink"/>
                <w:noProof/>
                <w:lang w:val="nl-BE"/>
              </w:rPr>
              <w:t>3.13.</w:t>
            </w:r>
            <w:r>
              <w:rPr>
                <w:rFonts w:eastAsiaTheme="minorEastAsia"/>
                <w:noProof/>
                <w:kern w:val="2"/>
                <w:lang w:val="nl-BE" w:eastAsia="nl-BE"/>
                <w14:ligatures w14:val="standardContextual"/>
              </w:rPr>
              <w:tab/>
            </w:r>
            <w:r w:rsidRPr="00606EAE">
              <w:rPr>
                <w:rStyle w:val="Hyperlink"/>
                <w:noProof/>
                <w:lang w:val="nl-BE"/>
              </w:rPr>
              <w:t>Aanpassingen aan specifieke benchmarks</w:t>
            </w:r>
            <w:r>
              <w:rPr>
                <w:noProof/>
                <w:webHidden/>
              </w:rPr>
              <w:tab/>
            </w:r>
            <w:r>
              <w:rPr>
                <w:noProof/>
                <w:webHidden/>
              </w:rPr>
              <w:fldChar w:fldCharType="begin"/>
            </w:r>
            <w:r>
              <w:rPr>
                <w:noProof/>
                <w:webHidden/>
              </w:rPr>
              <w:instrText xml:space="preserve"> PAGEREF _Toc160465606 \h </w:instrText>
            </w:r>
            <w:r>
              <w:rPr>
                <w:noProof/>
                <w:webHidden/>
              </w:rPr>
            </w:r>
            <w:r>
              <w:rPr>
                <w:noProof/>
                <w:webHidden/>
              </w:rPr>
              <w:fldChar w:fldCharType="separate"/>
            </w:r>
            <w:r>
              <w:rPr>
                <w:noProof/>
                <w:webHidden/>
              </w:rPr>
              <w:t>20</w:t>
            </w:r>
            <w:r>
              <w:rPr>
                <w:noProof/>
                <w:webHidden/>
              </w:rPr>
              <w:fldChar w:fldCharType="end"/>
            </w:r>
          </w:hyperlink>
        </w:p>
        <w:p w14:paraId="2A65D7C6" w14:textId="25741F50"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07" w:history="1">
            <w:r w:rsidRPr="00606EAE">
              <w:rPr>
                <w:rStyle w:val="Hyperlink"/>
                <w:noProof/>
                <w:lang w:val="nl-BE"/>
              </w:rPr>
              <w:t>3.13.1.</w:t>
            </w:r>
            <w:r>
              <w:rPr>
                <w:rFonts w:eastAsiaTheme="minorEastAsia"/>
                <w:noProof/>
                <w:kern w:val="2"/>
                <w:lang w:val="nl-BE" w:eastAsia="nl-BE"/>
                <w14:ligatures w14:val="standardContextual"/>
              </w:rPr>
              <w:tab/>
            </w:r>
            <w:r w:rsidRPr="00606EAE">
              <w:rPr>
                <w:rStyle w:val="Hyperlink"/>
                <w:noProof/>
                <w:lang w:val="nl-BE"/>
              </w:rPr>
              <w:t>Gesinterd erts</w:t>
            </w:r>
            <w:r>
              <w:rPr>
                <w:noProof/>
                <w:webHidden/>
              </w:rPr>
              <w:tab/>
            </w:r>
            <w:r>
              <w:rPr>
                <w:noProof/>
                <w:webHidden/>
              </w:rPr>
              <w:fldChar w:fldCharType="begin"/>
            </w:r>
            <w:r>
              <w:rPr>
                <w:noProof/>
                <w:webHidden/>
              </w:rPr>
              <w:instrText xml:space="preserve"> PAGEREF _Toc160465607 \h </w:instrText>
            </w:r>
            <w:r>
              <w:rPr>
                <w:noProof/>
                <w:webHidden/>
              </w:rPr>
            </w:r>
            <w:r>
              <w:rPr>
                <w:noProof/>
                <w:webHidden/>
              </w:rPr>
              <w:fldChar w:fldCharType="separate"/>
            </w:r>
            <w:r>
              <w:rPr>
                <w:noProof/>
                <w:webHidden/>
              </w:rPr>
              <w:t>20</w:t>
            </w:r>
            <w:r>
              <w:rPr>
                <w:noProof/>
                <w:webHidden/>
              </w:rPr>
              <w:fldChar w:fldCharType="end"/>
            </w:r>
          </w:hyperlink>
        </w:p>
        <w:p w14:paraId="201385DF" w14:textId="0482A653"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08" w:history="1">
            <w:r w:rsidRPr="00606EAE">
              <w:rPr>
                <w:rStyle w:val="Hyperlink"/>
                <w:noProof/>
                <w:lang w:val="nl-BE"/>
              </w:rPr>
              <w:t>3.13.2.</w:t>
            </w:r>
            <w:r>
              <w:rPr>
                <w:rFonts w:eastAsiaTheme="minorEastAsia"/>
                <w:noProof/>
                <w:kern w:val="2"/>
                <w:lang w:val="nl-BE" w:eastAsia="nl-BE"/>
                <w14:ligatures w14:val="standardContextual"/>
              </w:rPr>
              <w:tab/>
            </w:r>
            <w:r w:rsidRPr="00606EAE">
              <w:rPr>
                <w:rStyle w:val="Hyperlink"/>
                <w:noProof/>
                <w:lang w:val="nl-BE"/>
              </w:rPr>
              <w:t>Vloeibaar ruwijzer</w:t>
            </w:r>
            <w:r>
              <w:rPr>
                <w:noProof/>
                <w:webHidden/>
              </w:rPr>
              <w:tab/>
            </w:r>
            <w:r>
              <w:rPr>
                <w:noProof/>
                <w:webHidden/>
              </w:rPr>
              <w:fldChar w:fldCharType="begin"/>
            </w:r>
            <w:r>
              <w:rPr>
                <w:noProof/>
                <w:webHidden/>
              </w:rPr>
              <w:instrText xml:space="preserve"> PAGEREF _Toc160465608 \h </w:instrText>
            </w:r>
            <w:r>
              <w:rPr>
                <w:noProof/>
                <w:webHidden/>
              </w:rPr>
            </w:r>
            <w:r>
              <w:rPr>
                <w:noProof/>
                <w:webHidden/>
              </w:rPr>
              <w:fldChar w:fldCharType="separate"/>
            </w:r>
            <w:r>
              <w:rPr>
                <w:noProof/>
                <w:webHidden/>
              </w:rPr>
              <w:t>21</w:t>
            </w:r>
            <w:r>
              <w:rPr>
                <w:noProof/>
                <w:webHidden/>
              </w:rPr>
              <w:fldChar w:fldCharType="end"/>
            </w:r>
          </w:hyperlink>
        </w:p>
        <w:p w14:paraId="280385AB" w14:textId="77A9E395"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09" w:history="1">
            <w:r w:rsidRPr="00606EAE">
              <w:rPr>
                <w:rStyle w:val="Hyperlink"/>
                <w:noProof/>
                <w:lang w:val="nl-BE"/>
              </w:rPr>
              <w:t>3.13.3.</w:t>
            </w:r>
            <w:r>
              <w:rPr>
                <w:rFonts w:eastAsiaTheme="minorEastAsia"/>
                <w:noProof/>
                <w:kern w:val="2"/>
                <w:lang w:val="nl-BE" w:eastAsia="nl-BE"/>
                <w14:ligatures w14:val="standardContextual"/>
              </w:rPr>
              <w:tab/>
            </w:r>
            <w:r w:rsidRPr="00606EAE">
              <w:rPr>
                <w:rStyle w:val="Hyperlink"/>
                <w:noProof/>
                <w:lang w:val="nl-BE"/>
              </w:rPr>
              <w:t>Ongelegeerd/hooggelegeerd staal uit vlamboogovens</w:t>
            </w:r>
            <w:r>
              <w:rPr>
                <w:noProof/>
                <w:webHidden/>
              </w:rPr>
              <w:tab/>
            </w:r>
            <w:r>
              <w:rPr>
                <w:noProof/>
                <w:webHidden/>
              </w:rPr>
              <w:fldChar w:fldCharType="begin"/>
            </w:r>
            <w:r>
              <w:rPr>
                <w:noProof/>
                <w:webHidden/>
              </w:rPr>
              <w:instrText xml:space="preserve"> PAGEREF _Toc160465609 \h </w:instrText>
            </w:r>
            <w:r>
              <w:rPr>
                <w:noProof/>
                <w:webHidden/>
              </w:rPr>
            </w:r>
            <w:r>
              <w:rPr>
                <w:noProof/>
                <w:webHidden/>
              </w:rPr>
              <w:fldChar w:fldCharType="separate"/>
            </w:r>
            <w:r>
              <w:rPr>
                <w:noProof/>
                <w:webHidden/>
              </w:rPr>
              <w:t>21</w:t>
            </w:r>
            <w:r>
              <w:rPr>
                <w:noProof/>
                <w:webHidden/>
              </w:rPr>
              <w:fldChar w:fldCharType="end"/>
            </w:r>
          </w:hyperlink>
        </w:p>
        <w:p w14:paraId="2A2BB9CE" w14:textId="1A9D39EB"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10" w:history="1">
            <w:r w:rsidRPr="00606EAE">
              <w:rPr>
                <w:rStyle w:val="Hyperlink"/>
                <w:noProof/>
                <w:lang w:val="nl-BE"/>
              </w:rPr>
              <w:t>3.13.4.</w:t>
            </w:r>
            <w:r>
              <w:rPr>
                <w:rFonts w:eastAsiaTheme="minorEastAsia"/>
                <w:noProof/>
                <w:kern w:val="2"/>
                <w:lang w:val="nl-BE" w:eastAsia="nl-BE"/>
                <w14:ligatures w14:val="standardContextual"/>
              </w:rPr>
              <w:tab/>
            </w:r>
            <w:r w:rsidRPr="00606EAE">
              <w:rPr>
                <w:rStyle w:val="Hyperlink"/>
                <w:noProof/>
                <w:lang w:val="nl-BE"/>
              </w:rPr>
              <w:t>Ammoniak</w:t>
            </w:r>
            <w:r>
              <w:rPr>
                <w:noProof/>
                <w:webHidden/>
              </w:rPr>
              <w:tab/>
            </w:r>
            <w:r>
              <w:rPr>
                <w:noProof/>
                <w:webHidden/>
              </w:rPr>
              <w:fldChar w:fldCharType="begin"/>
            </w:r>
            <w:r>
              <w:rPr>
                <w:noProof/>
                <w:webHidden/>
              </w:rPr>
              <w:instrText xml:space="preserve"> PAGEREF _Toc160465610 \h </w:instrText>
            </w:r>
            <w:r>
              <w:rPr>
                <w:noProof/>
                <w:webHidden/>
              </w:rPr>
            </w:r>
            <w:r>
              <w:rPr>
                <w:noProof/>
                <w:webHidden/>
              </w:rPr>
              <w:fldChar w:fldCharType="separate"/>
            </w:r>
            <w:r>
              <w:rPr>
                <w:noProof/>
                <w:webHidden/>
              </w:rPr>
              <w:t>21</w:t>
            </w:r>
            <w:r>
              <w:rPr>
                <w:noProof/>
                <w:webHidden/>
              </w:rPr>
              <w:fldChar w:fldCharType="end"/>
            </w:r>
          </w:hyperlink>
        </w:p>
        <w:p w14:paraId="6A83CEA7" w14:textId="0B3FCA33"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11" w:history="1">
            <w:r w:rsidRPr="00606EAE">
              <w:rPr>
                <w:rStyle w:val="Hyperlink"/>
                <w:noProof/>
                <w:lang w:val="nl-BE"/>
              </w:rPr>
              <w:t>3.13.5.</w:t>
            </w:r>
            <w:r>
              <w:rPr>
                <w:rFonts w:eastAsiaTheme="minorEastAsia"/>
                <w:noProof/>
                <w:kern w:val="2"/>
                <w:lang w:val="nl-BE" w:eastAsia="nl-BE"/>
                <w14:ligatures w14:val="standardContextual"/>
              </w:rPr>
              <w:tab/>
            </w:r>
            <w:r w:rsidRPr="00606EAE">
              <w:rPr>
                <w:rStyle w:val="Hyperlink"/>
                <w:noProof/>
                <w:lang w:val="nl-BE"/>
              </w:rPr>
              <w:t>Waterstof en syngas</w:t>
            </w:r>
            <w:r>
              <w:rPr>
                <w:noProof/>
                <w:webHidden/>
              </w:rPr>
              <w:tab/>
            </w:r>
            <w:r>
              <w:rPr>
                <w:noProof/>
                <w:webHidden/>
              </w:rPr>
              <w:fldChar w:fldCharType="begin"/>
            </w:r>
            <w:r>
              <w:rPr>
                <w:noProof/>
                <w:webHidden/>
              </w:rPr>
              <w:instrText xml:space="preserve"> PAGEREF _Toc160465611 \h </w:instrText>
            </w:r>
            <w:r>
              <w:rPr>
                <w:noProof/>
                <w:webHidden/>
              </w:rPr>
            </w:r>
            <w:r>
              <w:rPr>
                <w:noProof/>
                <w:webHidden/>
              </w:rPr>
              <w:fldChar w:fldCharType="separate"/>
            </w:r>
            <w:r>
              <w:rPr>
                <w:noProof/>
                <w:webHidden/>
              </w:rPr>
              <w:t>22</w:t>
            </w:r>
            <w:r>
              <w:rPr>
                <w:noProof/>
                <w:webHidden/>
              </w:rPr>
              <w:fldChar w:fldCharType="end"/>
            </w:r>
          </w:hyperlink>
        </w:p>
        <w:p w14:paraId="5D9BCD0F" w14:textId="04A9124F"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12" w:history="1">
            <w:r w:rsidRPr="00606EAE">
              <w:rPr>
                <w:rStyle w:val="Hyperlink"/>
                <w:noProof/>
                <w:lang w:val="nl-BE"/>
              </w:rPr>
              <w:t>3.13.6.</w:t>
            </w:r>
            <w:r>
              <w:rPr>
                <w:rFonts w:eastAsiaTheme="minorEastAsia"/>
                <w:noProof/>
                <w:kern w:val="2"/>
                <w:lang w:val="nl-BE" w:eastAsia="nl-BE"/>
                <w14:ligatures w14:val="standardContextual"/>
              </w:rPr>
              <w:tab/>
            </w:r>
            <w:r w:rsidRPr="00606EAE">
              <w:rPr>
                <w:rStyle w:val="Hyperlink"/>
                <w:noProof/>
                <w:lang w:val="nl-BE"/>
              </w:rPr>
              <w:t>Grijze/witte cementklinker</w:t>
            </w:r>
            <w:r>
              <w:rPr>
                <w:noProof/>
                <w:webHidden/>
              </w:rPr>
              <w:tab/>
            </w:r>
            <w:r>
              <w:rPr>
                <w:noProof/>
                <w:webHidden/>
              </w:rPr>
              <w:fldChar w:fldCharType="begin"/>
            </w:r>
            <w:r>
              <w:rPr>
                <w:noProof/>
                <w:webHidden/>
              </w:rPr>
              <w:instrText xml:space="preserve"> PAGEREF _Toc160465612 \h </w:instrText>
            </w:r>
            <w:r>
              <w:rPr>
                <w:noProof/>
                <w:webHidden/>
              </w:rPr>
            </w:r>
            <w:r>
              <w:rPr>
                <w:noProof/>
                <w:webHidden/>
              </w:rPr>
              <w:fldChar w:fldCharType="separate"/>
            </w:r>
            <w:r>
              <w:rPr>
                <w:noProof/>
                <w:webHidden/>
              </w:rPr>
              <w:t>23</w:t>
            </w:r>
            <w:r>
              <w:rPr>
                <w:noProof/>
                <w:webHidden/>
              </w:rPr>
              <w:fldChar w:fldCharType="end"/>
            </w:r>
          </w:hyperlink>
        </w:p>
        <w:p w14:paraId="3D16A3F9" w14:textId="45FE6C5C" w:rsidR="00206CE6" w:rsidRDefault="00206CE6">
          <w:pPr>
            <w:pStyle w:val="Inhopg2"/>
            <w:tabs>
              <w:tab w:val="left" w:pos="1100"/>
              <w:tab w:val="right" w:leader="dot" w:pos="9016"/>
            </w:tabs>
            <w:rPr>
              <w:rFonts w:eastAsiaTheme="minorEastAsia"/>
              <w:noProof/>
              <w:kern w:val="2"/>
              <w:lang w:val="nl-BE" w:eastAsia="nl-BE"/>
              <w14:ligatures w14:val="standardContextual"/>
            </w:rPr>
          </w:pPr>
          <w:hyperlink w:anchor="_Toc160465613" w:history="1">
            <w:r w:rsidRPr="00606EAE">
              <w:rPr>
                <w:rStyle w:val="Hyperlink"/>
                <w:noProof/>
                <w:lang w:val="nl-BE"/>
              </w:rPr>
              <w:t>3.14.</w:t>
            </w:r>
            <w:r>
              <w:rPr>
                <w:rFonts w:eastAsiaTheme="minorEastAsia"/>
                <w:noProof/>
                <w:kern w:val="2"/>
                <w:lang w:val="nl-BE" w:eastAsia="nl-BE"/>
                <w14:ligatures w14:val="standardContextual"/>
              </w:rPr>
              <w:tab/>
            </w:r>
            <w:r w:rsidRPr="00606EAE">
              <w:rPr>
                <w:rStyle w:val="Hyperlink"/>
                <w:noProof/>
                <w:lang w:val="nl-BE"/>
              </w:rPr>
              <w:t>Extra lidstaatspecifieke vraag i.v.m. de mogelijkheid tot gebruik van MMP26-30 in toewijzingsperiode 2021-2025</w:t>
            </w:r>
            <w:r>
              <w:rPr>
                <w:noProof/>
                <w:webHidden/>
              </w:rPr>
              <w:tab/>
            </w:r>
            <w:r>
              <w:rPr>
                <w:noProof/>
                <w:webHidden/>
              </w:rPr>
              <w:fldChar w:fldCharType="begin"/>
            </w:r>
            <w:r>
              <w:rPr>
                <w:noProof/>
                <w:webHidden/>
              </w:rPr>
              <w:instrText xml:space="preserve"> PAGEREF _Toc160465613 \h </w:instrText>
            </w:r>
            <w:r>
              <w:rPr>
                <w:noProof/>
                <w:webHidden/>
              </w:rPr>
            </w:r>
            <w:r>
              <w:rPr>
                <w:noProof/>
                <w:webHidden/>
              </w:rPr>
              <w:fldChar w:fldCharType="separate"/>
            </w:r>
            <w:r>
              <w:rPr>
                <w:noProof/>
                <w:webHidden/>
              </w:rPr>
              <w:t>25</w:t>
            </w:r>
            <w:r>
              <w:rPr>
                <w:noProof/>
                <w:webHidden/>
              </w:rPr>
              <w:fldChar w:fldCharType="end"/>
            </w:r>
          </w:hyperlink>
        </w:p>
        <w:p w14:paraId="289D5409" w14:textId="12CD701A" w:rsidR="00206CE6" w:rsidRDefault="00206CE6" w:rsidP="001E069C">
          <w:pPr>
            <w:pStyle w:val="Inhopg1"/>
            <w:rPr>
              <w:rFonts w:eastAsiaTheme="minorEastAsia"/>
              <w:noProof/>
              <w:kern w:val="2"/>
              <w:lang w:val="nl-BE" w:eastAsia="nl-BE"/>
              <w14:ligatures w14:val="standardContextual"/>
            </w:rPr>
          </w:pPr>
          <w:hyperlink w:anchor="_Toc160465614" w:history="1">
            <w:r w:rsidRPr="00606EAE">
              <w:rPr>
                <w:rStyle w:val="Hyperlink"/>
                <w:noProof/>
                <w:lang w:val="nl-BE"/>
              </w:rPr>
              <w:t>4.</w:t>
            </w:r>
            <w:r>
              <w:rPr>
                <w:rFonts w:eastAsiaTheme="minorEastAsia"/>
                <w:noProof/>
                <w:kern w:val="2"/>
                <w:lang w:val="nl-BE" w:eastAsia="nl-BE"/>
                <w14:ligatures w14:val="standardContextual"/>
              </w:rPr>
              <w:tab/>
            </w:r>
            <w:r w:rsidRPr="00606EAE">
              <w:rPr>
                <w:rStyle w:val="Hyperlink"/>
                <w:noProof/>
                <w:lang w:val="nl-BE"/>
              </w:rPr>
              <w:t>Verbetering gegevensbronnen en -methodieken</w:t>
            </w:r>
            <w:r>
              <w:rPr>
                <w:noProof/>
                <w:webHidden/>
              </w:rPr>
              <w:tab/>
            </w:r>
            <w:r>
              <w:rPr>
                <w:noProof/>
                <w:webHidden/>
              </w:rPr>
              <w:fldChar w:fldCharType="begin"/>
            </w:r>
            <w:r>
              <w:rPr>
                <w:noProof/>
                <w:webHidden/>
              </w:rPr>
              <w:instrText xml:space="preserve"> PAGEREF _Toc160465614 \h </w:instrText>
            </w:r>
            <w:r>
              <w:rPr>
                <w:noProof/>
                <w:webHidden/>
              </w:rPr>
            </w:r>
            <w:r>
              <w:rPr>
                <w:noProof/>
                <w:webHidden/>
              </w:rPr>
              <w:fldChar w:fldCharType="separate"/>
            </w:r>
            <w:r>
              <w:rPr>
                <w:noProof/>
                <w:webHidden/>
              </w:rPr>
              <w:t>26</w:t>
            </w:r>
            <w:r>
              <w:rPr>
                <w:noProof/>
                <w:webHidden/>
              </w:rPr>
              <w:fldChar w:fldCharType="end"/>
            </w:r>
          </w:hyperlink>
        </w:p>
        <w:p w14:paraId="36ADA92C" w14:textId="2C552054" w:rsidR="00206CE6" w:rsidRDefault="00206CE6">
          <w:pPr>
            <w:pStyle w:val="Inhopg2"/>
            <w:tabs>
              <w:tab w:val="left" w:pos="1100"/>
              <w:tab w:val="right" w:leader="dot" w:pos="9016"/>
            </w:tabs>
            <w:rPr>
              <w:rFonts w:eastAsiaTheme="minorEastAsia"/>
              <w:noProof/>
              <w:kern w:val="2"/>
              <w:lang w:val="nl-BE" w:eastAsia="nl-BE"/>
              <w14:ligatures w14:val="standardContextual"/>
            </w:rPr>
          </w:pPr>
          <w:hyperlink w:anchor="_Toc160465615" w:history="1">
            <w:r w:rsidRPr="00606EAE">
              <w:rPr>
                <w:rStyle w:val="Hyperlink"/>
                <w:noProof/>
                <w:lang w:val="nl-BE"/>
              </w:rPr>
              <w:t>4.1.1.</w:t>
            </w:r>
            <w:r>
              <w:rPr>
                <w:rFonts w:eastAsiaTheme="minorEastAsia"/>
                <w:noProof/>
                <w:kern w:val="2"/>
                <w:lang w:val="nl-BE" w:eastAsia="nl-BE"/>
                <w14:ligatures w14:val="standardContextual"/>
              </w:rPr>
              <w:tab/>
            </w:r>
            <w:r w:rsidRPr="00606EAE">
              <w:rPr>
                <w:rStyle w:val="Hyperlink"/>
                <w:noProof/>
                <w:lang w:val="nl-BE"/>
              </w:rPr>
              <w:t>Waaraan moeten metingen van gegevens voldoen en mag men hiervan afwijken?</w:t>
            </w:r>
            <w:r>
              <w:rPr>
                <w:noProof/>
                <w:webHidden/>
              </w:rPr>
              <w:tab/>
            </w:r>
            <w:r>
              <w:rPr>
                <w:noProof/>
                <w:webHidden/>
              </w:rPr>
              <w:fldChar w:fldCharType="begin"/>
            </w:r>
            <w:r>
              <w:rPr>
                <w:noProof/>
                <w:webHidden/>
              </w:rPr>
              <w:instrText xml:space="preserve"> PAGEREF _Toc160465615 \h </w:instrText>
            </w:r>
            <w:r>
              <w:rPr>
                <w:noProof/>
                <w:webHidden/>
              </w:rPr>
            </w:r>
            <w:r>
              <w:rPr>
                <w:noProof/>
                <w:webHidden/>
              </w:rPr>
              <w:fldChar w:fldCharType="separate"/>
            </w:r>
            <w:r>
              <w:rPr>
                <w:noProof/>
                <w:webHidden/>
              </w:rPr>
              <w:t>26</w:t>
            </w:r>
            <w:r>
              <w:rPr>
                <w:noProof/>
                <w:webHidden/>
              </w:rPr>
              <w:fldChar w:fldCharType="end"/>
            </w:r>
          </w:hyperlink>
        </w:p>
        <w:p w14:paraId="3F3FD6E6" w14:textId="4055947E" w:rsidR="00206CE6" w:rsidRDefault="00206CE6">
          <w:pPr>
            <w:pStyle w:val="Inhopg2"/>
            <w:tabs>
              <w:tab w:val="left" w:pos="660"/>
              <w:tab w:val="right" w:leader="dot" w:pos="9016"/>
            </w:tabs>
            <w:rPr>
              <w:rFonts w:eastAsiaTheme="minorEastAsia"/>
              <w:noProof/>
              <w:kern w:val="2"/>
              <w:lang w:val="nl-BE" w:eastAsia="nl-BE"/>
              <w14:ligatures w14:val="standardContextual"/>
            </w:rPr>
          </w:pPr>
          <w:hyperlink w:anchor="_Toc160465616" w:history="1">
            <w:r>
              <w:rPr>
                <w:rFonts w:eastAsiaTheme="minorEastAsia"/>
                <w:noProof/>
                <w:kern w:val="2"/>
                <w:lang w:val="nl-BE" w:eastAsia="nl-BE"/>
                <w14:ligatures w14:val="standardContextual"/>
              </w:rPr>
              <w:tab/>
            </w:r>
            <w:r w:rsidRPr="00606EAE">
              <w:rPr>
                <w:rStyle w:val="Hyperlink"/>
                <w:noProof/>
              </w:rPr>
              <w:t>Hoe stelt men technische onhaalbaarheid of onredelijke kosten</w:t>
            </w:r>
            <w:r>
              <w:rPr>
                <w:noProof/>
                <w:webHidden/>
              </w:rPr>
              <w:tab/>
            </w:r>
            <w:r>
              <w:rPr>
                <w:noProof/>
                <w:webHidden/>
              </w:rPr>
              <w:fldChar w:fldCharType="begin"/>
            </w:r>
            <w:r>
              <w:rPr>
                <w:noProof/>
                <w:webHidden/>
              </w:rPr>
              <w:instrText xml:space="preserve"> PAGEREF _Toc160465616 \h </w:instrText>
            </w:r>
            <w:r>
              <w:rPr>
                <w:noProof/>
                <w:webHidden/>
              </w:rPr>
            </w:r>
            <w:r>
              <w:rPr>
                <w:noProof/>
                <w:webHidden/>
              </w:rPr>
              <w:fldChar w:fldCharType="separate"/>
            </w:r>
            <w:r>
              <w:rPr>
                <w:noProof/>
                <w:webHidden/>
              </w:rPr>
              <w:t>27</w:t>
            </w:r>
            <w:r>
              <w:rPr>
                <w:noProof/>
                <w:webHidden/>
              </w:rPr>
              <w:fldChar w:fldCharType="end"/>
            </w:r>
          </w:hyperlink>
        </w:p>
        <w:p w14:paraId="0F240E33" w14:textId="060058F8"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17" w:history="1">
            <w:r w:rsidRPr="00606EAE">
              <w:rPr>
                <w:rStyle w:val="Hyperlink"/>
                <w:noProof/>
                <w:lang w:val="nl-BE"/>
              </w:rPr>
              <w:t>4.2.</w:t>
            </w:r>
            <w:r>
              <w:rPr>
                <w:rFonts w:eastAsiaTheme="minorEastAsia"/>
                <w:noProof/>
                <w:kern w:val="2"/>
                <w:lang w:val="nl-BE" w:eastAsia="nl-BE"/>
                <w14:ligatures w14:val="standardContextual"/>
              </w:rPr>
              <w:tab/>
            </w:r>
            <w:r w:rsidRPr="00606EAE">
              <w:rPr>
                <w:rStyle w:val="Hyperlink"/>
                <w:noProof/>
                <w:lang w:val="nl-BE"/>
              </w:rPr>
              <w:t>vast?</w:t>
            </w:r>
            <w:r>
              <w:rPr>
                <w:noProof/>
                <w:webHidden/>
              </w:rPr>
              <w:tab/>
            </w:r>
            <w:r>
              <w:rPr>
                <w:noProof/>
                <w:webHidden/>
              </w:rPr>
              <w:fldChar w:fldCharType="begin"/>
            </w:r>
            <w:r>
              <w:rPr>
                <w:noProof/>
                <w:webHidden/>
              </w:rPr>
              <w:instrText xml:space="preserve"> PAGEREF _Toc160465617 \h </w:instrText>
            </w:r>
            <w:r>
              <w:rPr>
                <w:noProof/>
                <w:webHidden/>
              </w:rPr>
            </w:r>
            <w:r>
              <w:rPr>
                <w:noProof/>
                <w:webHidden/>
              </w:rPr>
              <w:fldChar w:fldCharType="separate"/>
            </w:r>
            <w:r>
              <w:rPr>
                <w:noProof/>
                <w:webHidden/>
              </w:rPr>
              <w:t>27</w:t>
            </w:r>
            <w:r>
              <w:rPr>
                <w:noProof/>
                <w:webHidden/>
              </w:rPr>
              <w:fldChar w:fldCharType="end"/>
            </w:r>
          </w:hyperlink>
        </w:p>
        <w:p w14:paraId="7541696E" w14:textId="5284CD84"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18" w:history="1">
            <w:r w:rsidRPr="00606EAE">
              <w:rPr>
                <w:rStyle w:val="Hyperlink"/>
                <w:rFonts w:cstheme="minorHAnsi"/>
                <w:noProof/>
                <w:lang w:val="nl-BE"/>
              </w:rPr>
              <w:t>4.2.1.</w:t>
            </w:r>
            <w:r>
              <w:rPr>
                <w:rFonts w:eastAsiaTheme="minorEastAsia"/>
                <w:noProof/>
                <w:kern w:val="2"/>
                <w:lang w:val="nl-BE" w:eastAsia="nl-BE"/>
                <w14:ligatures w14:val="standardContextual"/>
              </w:rPr>
              <w:tab/>
            </w:r>
            <w:r w:rsidRPr="00606EAE">
              <w:rPr>
                <w:rStyle w:val="Hyperlink"/>
                <w:rFonts w:cstheme="minorHAnsi"/>
                <w:noProof/>
                <w:lang w:val="nl-BE"/>
              </w:rPr>
              <w:t>Toetsing van technische onhaalbaarheid</w:t>
            </w:r>
            <w:r>
              <w:rPr>
                <w:noProof/>
                <w:webHidden/>
              </w:rPr>
              <w:tab/>
            </w:r>
            <w:r>
              <w:rPr>
                <w:noProof/>
                <w:webHidden/>
              </w:rPr>
              <w:fldChar w:fldCharType="begin"/>
            </w:r>
            <w:r>
              <w:rPr>
                <w:noProof/>
                <w:webHidden/>
              </w:rPr>
              <w:instrText xml:space="preserve"> PAGEREF _Toc160465618 \h </w:instrText>
            </w:r>
            <w:r>
              <w:rPr>
                <w:noProof/>
                <w:webHidden/>
              </w:rPr>
            </w:r>
            <w:r>
              <w:rPr>
                <w:noProof/>
                <w:webHidden/>
              </w:rPr>
              <w:fldChar w:fldCharType="separate"/>
            </w:r>
            <w:r>
              <w:rPr>
                <w:noProof/>
                <w:webHidden/>
              </w:rPr>
              <w:t>27</w:t>
            </w:r>
            <w:r>
              <w:rPr>
                <w:noProof/>
                <w:webHidden/>
              </w:rPr>
              <w:fldChar w:fldCharType="end"/>
            </w:r>
          </w:hyperlink>
        </w:p>
        <w:p w14:paraId="697695EC" w14:textId="44309784"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19" w:history="1">
            <w:r w:rsidRPr="00606EAE">
              <w:rPr>
                <w:rStyle w:val="Hyperlink"/>
                <w:rFonts w:cstheme="minorHAnsi"/>
                <w:noProof/>
                <w:lang w:val="nl-BE"/>
              </w:rPr>
              <w:t>4.2.2.</w:t>
            </w:r>
            <w:r>
              <w:rPr>
                <w:rFonts w:eastAsiaTheme="minorEastAsia"/>
                <w:noProof/>
                <w:kern w:val="2"/>
                <w:lang w:val="nl-BE" w:eastAsia="nl-BE"/>
                <w14:ligatures w14:val="standardContextual"/>
              </w:rPr>
              <w:tab/>
            </w:r>
            <w:r w:rsidRPr="00606EAE">
              <w:rPr>
                <w:rStyle w:val="Hyperlink"/>
                <w:rFonts w:cstheme="minorHAnsi"/>
                <w:noProof/>
                <w:lang w:val="nl-BE"/>
              </w:rPr>
              <w:t>Toetsing van onredelijke kosten</w:t>
            </w:r>
            <w:r>
              <w:rPr>
                <w:noProof/>
                <w:webHidden/>
              </w:rPr>
              <w:tab/>
            </w:r>
            <w:r>
              <w:rPr>
                <w:noProof/>
                <w:webHidden/>
              </w:rPr>
              <w:fldChar w:fldCharType="begin"/>
            </w:r>
            <w:r>
              <w:rPr>
                <w:noProof/>
                <w:webHidden/>
              </w:rPr>
              <w:instrText xml:space="preserve"> PAGEREF _Toc160465619 \h </w:instrText>
            </w:r>
            <w:r>
              <w:rPr>
                <w:noProof/>
                <w:webHidden/>
              </w:rPr>
            </w:r>
            <w:r>
              <w:rPr>
                <w:noProof/>
                <w:webHidden/>
              </w:rPr>
              <w:fldChar w:fldCharType="separate"/>
            </w:r>
            <w:r>
              <w:rPr>
                <w:noProof/>
                <w:webHidden/>
              </w:rPr>
              <w:t>28</w:t>
            </w:r>
            <w:r>
              <w:rPr>
                <w:noProof/>
                <w:webHidden/>
              </w:rPr>
              <w:fldChar w:fldCharType="end"/>
            </w:r>
          </w:hyperlink>
        </w:p>
        <w:p w14:paraId="05626D68" w14:textId="5E792AC2"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20" w:history="1">
            <w:r w:rsidRPr="00606EAE">
              <w:rPr>
                <w:rStyle w:val="Hyperlink"/>
                <w:rFonts w:cstheme="minorHAnsi"/>
                <w:noProof/>
                <w:lang w:val="nl-BE"/>
              </w:rPr>
              <w:t>4.3.</w:t>
            </w:r>
            <w:r>
              <w:rPr>
                <w:rFonts w:eastAsiaTheme="minorEastAsia"/>
                <w:noProof/>
                <w:kern w:val="2"/>
                <w:lang w:val="nl-BE" w:eastAsia="nl-BE"/>
                <w14:ligatures w14:val="standardContextual"/>
              </w:rPr>
              <w:tab/>
            </w:r>
            <w:r w:rsidRPr="00606EAE">
              <w:rPr>
                <w:rStyle w:val="Hyperlink"/>
                <w:rFonts w:cstheme="minorHAnsi"/>
                <w:noProof/>
                <w:lang w:val="nl-BE"/>
              </w:rPr>
              <w:t>Frequentie van bepaling technische onhaalbaarheid/onredelijke kosten</w:t>
            </w:r>
            <w:r>
              <w:rPr>
                <w:noProof/>
                <w:webHidden/>
              </w:rPr>
              <w:tab/>
            </w:r>
            <w:r>
              <w:rPr>
                <w:noProof/>
                <w:webHidden/>
              </w:rPr>
              <w:fldChar w:fldCharType="begin"/>
            </w:r>
            <w:r>
              <w:rPr>
                <w:noProof/>
                <w:webHidden/>
              </w:rPr>
              <w:instrText xml:space="preserve"> PAGEREF _Toc160465620 \h </w:instrText>
            </w:r>
            <w:r>
              <w:rPr>
                <w:noProof/>
                <w:webHidden/>
              </w:rPr>
            </w:r>
            <w:r>
              <w:rPr>
                <w:noProof/>
                <w:webHidden/>
              </w:rPr>
              <w:fldChar w:fldCharType="separate"/>
            </w:r>
            <w:r>
              <w:rPr>
                <w:noProof/>
                <w:webHidden/>
              </w:rPr>
              <w:t>30</w:t>
            </w:r>
            <w:r>
              <w:rPr>
                <w:noProof/>
                <w:webHidden/>
              </w:rPr>
              <w:fldChar w:fldCharType="end"/>
            </w:r>
          </w:hyperlink>
        </w:p>
        <w:p w14:paraId="2C0BED20" w14:textId="7E0333EE"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21" w:history="1">
            <w:r w:rsidRPr="00606EAE">
              <w:rPr>
                <w:rStyle w:val="Hyperlink"/>
                <w:rFonts w:cstheme="minorHAnsi"/>
                <w:noProof/>
                <w:lang w:val="nl-BE"/>
              </w:rPr>
              <w:t>4.4.</w:t>
            </w:r>
            <w:r>
              <w:rPr>
                <w:rFonts w:eastAsiaTheme="minorEastAsia"/>
                <w:noProof/>
                <w:kern w:val="2"/>
                <w:lang w:val="nl-BE" w:eastAsia="nl-BE"/>
                <w14:ligatures w14:val="standardContextual"/>
              </w:rPr>
              <w:tab/>
            </w:r>
            <w:r w:rsidRPr="00606EAE">
              <w:rPr>
                <w:rStyle w:val="Hyperlink"/>
                <w:rFonts w:cstheme="minorHAnsi"/>
                <w:noProof/>
                <w:lang w:val="nl-BE"/>
              </w:rPr>
              <w:t>Praktische uitvoering van de verbetering van de gegevensbronnen</w:t>
            </w:r>
            <w:r>
              <w:rPr>
                <w:noProof/>
                <w:webHidden/>
              </w:rPr>
              <w:tab/>
            </w:r>
            <w:r>
              <w:rPr>
                <w:noProof/>
                <w:webHidden/>
              </w:rPr>
              <w:fldChar w:fldCharType="begin"/>
            </w:r>
            <w:r>
              <w:rPr>
                <w:noProof/>
                <w:webHidden/>
              </w:rPr>
              <w:instrText xml:space="preserve"> PAGEREF _Toc160465621 \h </w:instrText>
            </w:r>
            <w:r>
              <w:rPr>
                <w:noProof/>
                <w:webHidden/>
              </w:rPr>
            </w:r>
            <w:r>
              <w:rPr>
                <w:noProof/>
                <w:webHidden/>
              </w:rPr>
              <w:fldChar w:fldCharType="separate"/>
            </w:r>
            <w:r>
              <w:rPr>
                <w:noProof/>
                <w:webHidden/>
              </w:rPr>
              <w:t>31</w:t>
            </w:r>
            <w:r>
              <w:rPr>
                <w:noProof/>
                <w:webHidden/>
              </w:rPr>
              <w:fldChar w:fldCharType="end"/>
            </w:r>
          </w:hyperlink>
        </w:p>
        <w:p w14:paraId="60949CE5" w14:textId="316EAE6F" w:rsidR="00206CE6" w:rsidRDefault="00206CE6" w:rsidP="001E069C">
          <w:pPr>
            <w:pStyle w:val="Inhopg1"/>
            <w:rPr>
              <w:rFonts w:eastAsiaTheme="minorEastAsia"/>
              <w:noProof/>
              <w:kern w:val="2"/>
              <w:lang w:val="nl-BE" w:eastAsia="nl-BE"/>
              <w14:ligatures w14:val="standardContextual"/>
            </w:rPr>
          </w:pPr>
          <w:hyperlink w:anchor="_Toc160465622" w:history="1">
            <w:r w:rsidRPr="00606EAE">
              <w:rPr>
                <w:rStyle w:val="Hyperlink"/>
                <w:rFonts w:cstheme="minorHAnsi"/>
                <w:noProof/>
                <w:lang w:val="nl-BE"/>
              </w:rPr>
              <w:t>5.</w:t>
            </w:r>
            <w:r>
              <w:rPr>
                <w:rFonts w:eastAsiaTheme="minorEastAsia"/>
                <w:noProof/>
                <w:kern w:val="2"/>
                <w:lang w:val="nl-BE" w:eastAsia="nl-BE"/>
                <w14:ligatures w14:val="standardContextual"/>
              </w:rPr>
              <w:tab/>
            </w:r>
            <w:r w:rsidRPr="00606EAE">
              <w:rPr>
                <w:rStyle w:val="Hyperlink"/>
                <w:rFonts w:cstheme="minorHAnsi"/>
                <w:noProof/>
                <w:lang w:val="nl-BE"/>
              </w:rPr>
              <w:t>Verduidelijking methodiek</w:t>
            </w:r>
            <w:r>
              <w:rPr>
                <w:noProof/>
                <w:webHidden/>
              </w:rPr>
              <w:tab/>
            </w:r>
            <w:r>
              <w:rPr>
                <w:noProof/>
                <w:webHidden/>
              </w:rPr>
              <w:fldChar w:fldCharType="begin"/>
            </w:r>
            <w:r>
              <w:rPr>
                <w:noProof/>
                <w:webHidden/>
              </w:rPr>
              <w:instrText xml:space="preserve"> PAGEREF _Toc160465622 \h </w:instrText>
            </w:r>
            <w:r>
              <w:rPr>
                <w:noProof/>
                <w:webHidden/>
              </w:rPr>
            </w:r>
            <w:r>
              <w:rPr>
                <w:noProof/>
                <w:webHidden/>
              </w:rPr>
              <w:fldChar w:fldCharType="separate"/>
            </w:r>
            <w:r>
              <w:rPr>
                <w:noProof/>
                <w:webHidden/>
              </w:rPr>
              <w:t>32</w:t>
            </w:r>
            <w:r>
              <w:rPr>
                <w:noProof/>
                <w:webHidden/>
              </w:rPr>
              <w:fldChar w:fldCharType="end"/>
            </w:r>
          </w:hyperlink>
        </w:p>
        <w:p w14:paraId="4053E6D7" w14:textId="002CEB10"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23" w:history="1">
            <w:r w:rsidRPr="00606EAE">
              <w:rPr>
                <w:rStyle w:val="Hyperlink"/>
                <w:rFonts w:cstheme="minorHAnsi"/>
                <w:noProof/>
                <w:lang w:val="nl-BE"/>
              </w:rPr>
              <w:t>5.1.</w:t>
            </w:r>
            <w:r>
              <w:rPr>
                <w:rFonts w:eastAsiaTheme="minorEastAsia"/>
                <w:noProof/>
                <w:kern w:val="2"/>
                <w:lang w:val="nl-BE" w:eastAsia="nl-BE"/>
                <w14:ligatures w14:val="standardContextual"/>
              </w:rPr>
              <w:tab/>
            </w:r>
            <w:r w:rsidRPr="00606EAE">
              <w:rPr>
                <w:rStyle w:val="Hyperlink"/>
                <w:rFonts w:cstheme="minorHAnsi"/>
                <w:noProof/>
                <w:lang w:val="nl-BE"/>
              </w:rPr>
              <w:t>Wat zijn de specifieke vereisten voor het MMP?</w:t>
            </w:r>
            <w:r>
              <w:rPr>
                <w:noProof/>
                <w:webHidden/>
              </w:rPr>
              <w:tab/>
            </w:r>
            <w:r>
              <w:rPr>
                <w:noProof/>
                <w:webHidden/>
              </w:rPr>
              <w:fldChar w:fldCharType="begin"/>
            </w:r>
            <w:r>
              <w:rPr>
                <w:noProof/>
                <w:webHidden/>
              </w:rPr>
              <w:instrText xml:space="preserve"> PAGEREF _Toc160465623 \h </w:instrText>
            </w:r>
            <w:r>
              <w:rPr>
                <w:noProof/>
                <w:webHidden/>
              </w:rPr>
            </w:r>
            <w:r>
              <w:rPr>
                <w:noProof/>
                <w:webHidden/>
              </w:rPr>
              <w:fldChar w:fldCharType="separate"/>
            </w:r>
            <w:r>
              <w:rPr>
                <w:noProof/>
                <w:webHidden/>
              </w:rPr>
              <w:t>32</w:t>
            </w:r>
            <w:r>
              <w:rPr>
                <w:noProof/>
                <w:webHidden/>
              </w:rPr>
              <w:fldChar w:fldCharType="end"/>
            </w:r>
          </w:hyperlink>
        </w:p>
        <w:p w14:paraId="6DCBA44A" w14:textId="3CD9A746"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24" w:history="1">
            <w:r w:rsidRPr="00606EAE">
              <w:rPr>
                <w:rStyle w:val="Hyperlink"/>
                <w:rFonts w:cstheme="minorHAnsi"/>
                <w:noProof/>
                <w:lang w:val="nl-BE"/>
              </w:rPr>
              <w:t>5.2.</w:t>
            </w:r>
            <w:r>
              <w:rPr>
                <w:rFonts w:eastAsiaTheme="minorEastAsia"/>
                <w:noProof/>
                <w:kern w:val="2"/>
                <w:lang w:val="nl-BE" w:eastAsia="nl-BE"/>
                <w14:ligatures w14:val="standardContextual"/>
              </w:rPr>
              <w:tab/>
            </w:r>
            <w:r w:rsidRPr="00606EAE">
              <w:rPr>
                <w:rStyle w:val="Hyperlink"/>
                <w:rFonts w:cstheme="minorHAnsi"/>
                <w:noProof/>
                <w:lang w:val="nl-BE"/>
              </w:rPr>
              <w:t>Wat kan in sommige gevallen nog verbeterd worden in de MMP’s?</w:t>
            </w:r>
            <w:r>
              <w:rPr>
                <w:noProof/>
                <w:webHidden/>
              </w:rPr>
              <w:tab/>
            </w:r>
            <w:r>
              <w:rPr>
                <w:noProof/>
                <w:webHidden/>
              </w:rPr>
              <w:fldChar w:fldCharType="begin"/>
            </w:r>
            <w:r>
              <w:rPr>
                <w:noProof/>
                <w:webHidden/>
              </w:rPr>
              <w:instrText xml:space="preserve"> PAGEREF _Toc160465624 \h </w:instrText>
            </w:r>
            <w:r>
              <w:rPr>
                <w:noProof/>
                <w:webHidden/>
              </w:rPr>
            </w:r>
            <w:r>
              <w:rPr>
                <w:noProof/>
                <w:webHidden/>
              </w:rPr>
              <w:fldChar w:fldCharType="separate"/>
            </w:r>
            <w:r>
              <w:rPr>
                <w:noProof/>
                <w:webHidden/>
              </w:rPr>
              <w:t>33</w:t>
            </w:r>
            <w:r>
              <w:rPr>
                <w:noProof/>
                <w:webHidden/>
              </w:rPr>
              <w:fldChar w:fldCharType="end"/>
            </w:r>
          </w:hyperlink>
        </w:p>
        <w:p w14:paraId="386A9116" w14:textId="0817DF9F"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25" w:history="1">
            <w:r w:rsidRPr="00606EAE">
              <w:rPr>
                <w:rStyle w:val="Hyperlink"/>
                <w:rFonts w:cstheme="minorHAnsi"/>
                <w:noProof/>
                <w:lang w:val="nl-BE"/>
              </w:rPr>
              <w:t>5.2.1.</w:t>
            </w:r>
            <w:r>
              <w:rPr>
                <w:rFonts w:eastAsiaTheme="minorEastAsia"/>
                <w:noProof/>
                <w:kern w:val="2"/>
                <w:lang w:val="nl-BE" w:eastAsia="nl-BE"/>
                <w14:ligatures w14:val="standardContextual"/>
              </w:rPr>
              <w:tab/>
            </w:r>
            <w:r w:rsidRPr="00606EAE">
              <w:rPr>
                <w:rStyle w:val="Hyperlink"/>
                <w:rFonts w:cstheme="minorHAnsi"/>
                <w:noProof/>
                <w:lang w:val="nl-BE"/>
              </w:rPr>
              <w:t>Rekenvoorbeelden</w:t>
            </w:r>
            <w:r>
              <w:rPr>
                <w:noProof/>
                <w:webHidden/>
              </w:rPr>
              <w:tab/>
            </w:r>
            <w:r>
              <w:rPr>
                <w:noProof/>
                <w:webHidden/>
              </w:rPr>
              <w:fldChar w:fldCharType="begin"/>
            </w:r>
            <w:r>
              <w:rPr>
                <w:noProof/>
                <w:webHidden/>
              </w:rPr>
              <w:instrText xml:space="preserve"> PAGEREF _Toc160465625 \h </w:instrText>
            </w:r>
            <w:r>
              <w:rPr>
                <w:noProof/>
                <w:webHidden/>
              </w:rPr>
            </w:r>
            <w:r>
              <w:rPr>
                <w:noProof/>
                <w:webHidden/>
              </w:rPr>
              <w:fldChar w:fldCharType="separate"/>
            </w:r>
            <w:r>
              <w:rPr>
                <w:noProof/>
                <w:webHidden/>
              </w:rPr>
              <w:t>33</w:t>
            </w:r>
            <w:r>
              <w:rPr>
                <w:noProof/>
                <w:webHidden/>
              </w:rPr>
              <w:fldChar w:fldCharType="end"/>
            </w:r>
          </w:hyperlink>
        </w:p>
        <w:p w14:paraId="6B4CC98A" w14:textId="3AE6A46D"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26" w:history="1">
            <w:r w:rsidRPr="00606EAE">
              <w:rPr>
                <w:rStyle w:val="Hyperlink"/>
                <w:rFonts w:cstheme="minorHAnsi"/>
                <w:noProof/>
                <w:lang w:val="nl-BE"/>
              </w:rPr>
              <w:t>5.2.2.</w:t>
            </w:r>
            <w:r>
              <w:rPr>
                <w:rFonts w:eastAsiaTheme="minorEastAsia"/>
                <w:noProof/>
                <w:kern w:val="2"/>
                <w:lang w:val="nl-BE" w:eastAsia="nl-BE"/>
                <w14:ligatures w14:val="standardContextual"/>
              </w:rPr>
              <w:tab/>
            </w:r>
            <w:r w:rsidRPr="00606EAE">
              <w:rPr>
                <w:rStyle w:val="Hyperlink"/>
                <w:rFonts w:cstheme="minorHAnsi"/>
                <w:noProof/>
                <w:lang w:val="nl-BE"/>
              </w:rPr>
              <w:t>Kwaliteitsborging van meetapparatuur</w:t>
            </w:r>
            <w:r>
              <w:rPr>
                <w:noProof/>
                <w:webHidden/>
              </w:rPr>
              <w:tab/>
            </w:r>
            <w:r>
              <w:rPr>
                <w:noProof/>
                <w:webHidden/>
              </w:rPr>
              <w:fldChar w:fldCharType="begin"/>
            </w:r>
            <w:r>
              <w:rPr>
                <w:noProof/>
                <w:webHidden/>
              </w:rPr>
              <w:instrText xml:space="preserve"> PAGEREF _Toc160465626 \h </w:instrText>
            </w:r>
            <w:r>
              <w:rPr>
                <w:noProof/>
                <w:webHidden/>
              </w:rPr>
            </w:r>
            <w:r>
              <w:rPr>
                <w:noProof/>
                <w:webHidden/>
              </w:rPr>
              <w:fldChar w:fldCharType="separate"/>
            </w:r>
            <w:r>
              <w:rPr>
                <w:noProof/>
                <w:webHidden/>
              </w:rPr>
              <w:t>34</w:t>
            </w:r>
            <w:r>
              <w:rPr>
                <w:noProof/>
                <w:webHidden/>
              </w:rPr>
              <w:fldChar w:fldCharType="end"/>
            </w:r>
          </w:hyperlink>
        </w:p>
        <w:p w14:paraId="7BDC9715" w14:textId="12132A0B"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27" w:history="1">
            <w:r w:rsidRPr="00606EAE">
              <w:rPr>
                <w:rStyle w:val="Hyperlink"/>
                <w:rFonts w:cstheme="minorHAnsi"/>
                <w:noProof/>
                <w:lang w:val="nl-BE"/>
              </w:rPr>
              <w:t>5.2.3.</w:t>
            </w:r>
            <w:r>
              <w:rPr>
                <w:rFonts w:eastAsiaTheme="minorEastAsia"/>
                <w:noProof/>
                <w:kern w:val="2"/>
                <w:lang w:val="nl-BE" w:eastAsia="nl-BE"/>
                <w14:ligatures w14:val="standardContextual"/>
              </w:rPr>
              <w:tab/>
            </w:r>
            <w:r w:rsidRPr="00606EAE">
              <w:rPr>
                <w:rStyle w:val="Hyperlink"/>
                <w:rFonts w:cstheme="minorHAnsi"/>
                <w:noProof/>
                <w:lang w:val="nl-BE"/>
              </w:rPr>
              <w:t>Correct invullen van de methodieken</w:t>
            </w:r>
            <w:r>
              <w:rPr>
                <w:noProof/>
                <w:webHidden/>
              </w:rPr>
              <w:tab/>
            </w:r>
            <w:r>
              <w:rPr>
                <w:noProof/>
                <w:webHidden/>
              </w:rPr>
              <w:fldChar w:fldCharType="begin"/>
            </w:r>
            <w:r>
              <w:rPr>
                <w:noProof/>
                <w:webHidden/>
              </w:rPr>
              <w:instrText xml:space="preserve"> PAGEREF _Toc160465627 \h </w:instrText>
            </w:r>
            <w:r>
              <w:rPr>
                <w:noProof/>
                <w:webHidden/>
              </w:rPr>
            </w:r>
            <w:r>
              <w:rPr>
                <w:noProof/>
                <w:webHidden/>
              </w:rPr>
              <w:fldChar w:fldCharType="separate"/>
            </w:r>
            <w:r>
              <w:rPr>
                <w:noProof/>
                <w:webHidden/>
              </w:rPr>
              <w:t>34</w:t>
            </w:r>
            <w:r>
              <w:rPr>
                <w:noProof/>
                <w:webHidden/>
              </w:rPr>
              <w:fldChar w:fldCharType="end"/>
            </w:r>
          </w:hyperlink>
        </w:p>
        <w:p w14:paraId="589D0CD2" w14:textId="1C36CA01"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28" w:history="1">
            <w:r w:rsidRPr="00606EAE">
              <w:rPr>
                <w:rStyle w:val="Hyperlink"/>
                <w:rFonts w:cstheme="minorHAnsi"/>
                <w:noProof/>
                <w:lang w:val="nl-BE"/>
              </w:rPr>
              <w:t>5.2.4.</w:t>
            </w:r>
            <w:r>
              <w:rPr>
                <w:rFonts w:eastAsiaTheme="minorEastAsia"/>
                <w:noProof/>
                <w:kern w:val="2"/>
                <w:lang w:val="nl-BE" w:eastAsia="nl-BE"/>
                <w14:ligatures w14:val="standardContextual"/>
              </w:rPr>
              <w:tab/>
            </w:r>
            <w:r w:rsidRPr="00606EAE">
              <w:rPr>
                <w:rStyle w:val="Hyperlink"/>
                <w:rFonts w:cstheme="minorHAnsi"/>
                <w:noProof/>
                <w:lang w:val="nl-BE"/>
              </w:rPr>
              <w:t>Procedures in TAB_D II</w:t>
            </w:r>
            <w:r>
              <w:rPr>
                <w:noProof/>
                <w:webHidden/>
              </w:rPr>
              <w:tab/>
            </w:r>
            <w:r>
              <w:rPr>
                <w:noProof/>
                <w:webHidden/>
              </w:rPr>
              <w:fldChar w:fldCharType="begin"/>
            </w:r>
            <w:r>
              <w:rPr>
                <w:noProof/>
                <w:webHidden/>
              </w:rPr>
              <w:instrText xml:space="preserve"> PAGEREF _Toc160465628 \h </w:instrText>
            </w:r>
            <w:r>
              <w:rPr>
                <w:noProof/>
                <w:webHidden/>
              </w:rPr>
            </w:r>
            <w:r>
              <w:rPr>
                <w:noProof/>
                <w:webHidden/>
              </w:rPr>
              <w:fldChar w:fldCharType="separate"/>
            </w:r>
            <w:r>
              <w:rPr>
                <w:noProof/>
                <w:webHidden/>
              </w:rPr>
              <w:t>34</w:t>
            </w:r>
            <w:r>
              <w:rPr>
                <w:noProof/>
                <w:webHidden/>
              </w:rPr>
              <w:fldChar w:fldCharType="end"/>
            </w:r>
          </w:hyperlink>
        </w:p>
        <w:p w14:paraId="1C01A870" w14:textId="4E381D56"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29" w:history="1">
            <w:r w:rsidRPr="00606EAE">
              <w:rPr>
                <w:rStyle w:val="Hyperlink"/>
                <w:rFonts w:cstheme="minorHAnsi"/>
                <w:noProof/>
                <w:lang w:val="nl-BE"/>
              </w:rPr>
              <w:t>5.2.5.</w:t>
            </w:r>
            <w:r>
              <w:rPr>
                <w:rFonts w:eastAsiaTheme="minorEastAsia"/>
                <w:noProof/>
                <w:kern w:val="2"/>
                <w:lang w:val="nl-BE" w:eastAsia="nl-BE"/>
                <w14:ligatures w14:val="standardContextual"/>
              </w:rPr>
              <w:tab/>
            </w:r>
            <w:r w:rsidRPr="00606EAE">
              <w:rPr>
                <w:rStyle w:val="Hyperlink"/>
                <w:rFonts w:cstheme="minorHAnsi"/>
                <w:noProof/>
                <w:lang w:val="nl-BE"/>
              </w:rPr>
              <w:t>Informatie over het herrekenen van benchmarkwaarden</w:t>
            </w:r>
            <w:r>
              <w:rPr>
                <w:noProof/>
                <w:webHidden/>
              </w:rPr>
              <w:tab/>
            </w:r>
            <w:r>
              <w:rPr>
                <w:noProof/>
                <w:webHidden/>
              </w:rPr>
              <w:fldChar w:fldCharType="begin"/>
            </w:r>
            <w:r>
              <w:rPr>
                <w:noProof/>
                <w:webHidden/>
              </w:rPr>
              <w:instrText xml:space="preserve"> PAGEREF _Toc160465629 \h </w:instrText>
            </w:r>
            <w:r>
              <w:rPr>
                <w:noProof/>
                <w:webHidden/>
              </w:rPr>
            </w:r>
            <w:r>
              <w:rPr>
                <w:noProof/>
                <w:webHidden/>
              </w:rPr>
              <w:fldChar w:fldCharType="separate"/>
            </w:r>
            <w:r>
              <w:rPr>
                <w:noProof/>
                <w:webHidden/>
              </w:rPr>
              <w:t>35</w:t>
            </w:r>
            <w:r>
              <w:rPr>
                <w:noProof/>
                <w:webHidden/>
              </w:rPr>
              <w:fldChar w:fldCharType="end"/>
            </w:r>
          </w:hyperlink>
        </w:p>
        <w:p w14:paraId="06A7837E" w14:textId="00E5AF0D" w:rsidR="00206CE6" w:rsidRDefault="00206CE6">
          <w:pPr>
            <w:pStyle w:val="Inhopg3"/>
            <w:tabs>
              <w:tab w:val="left" w:pos="1320"/>
              <w:tab w:val="right" w:leader="dot" w:pos="9016"/>
            </w:tabs>
            <w:rPr>
              <w:rFonts w:eastAsiaTheme="minorEastAsia"/>
              <w:noProof/>
              <w:kern w:val="2"/>
              <w:lang w:val="nl-BE" w:eastAsia="nl-BE"/>
              <w14:ligatures w14:val="standardContextual"/>
            </w:rPr>
          </w:pPr>
          <w:hyperlink w:anchor="_Toc160465630" w:history="1">
            <w:r w:rsidRPr="00606EAE">
              <w:rPr>
                <w:rStyle w:val="Hyperlink"/>
                <w:rFonts w:cstheme="minorHAnsi"/>
                <w:noProof/>
                <w:lang w:val="nl-BE"/>
              </w:rPr>
              <w:t>5.2.6.</w:t>
            </w:r>
            <w:r>
              <w:rPr>
                <w:rFonts w:eastAsiaTheme="minorEastAsia"/>
                <w:noProof/>
                <w:kern w:val="2"/>
                <w:lang w:val="nl-BE" w:eastAsia="nl-BE"/>
                <w14:ligatures w14:val="standardContextual"/>
              </w:rPr>
              <w:tab/>
            </w:r>
            <w:r w:rsidRPr="00606EAE">
              <w:rPr>
                <w:rStyle w:val="Hyperlink"/>
                <w:rFonts w:cstheme="minorHAnsi"/>
                <w:noProof/>
                <w:lang w:val="nl-BE"/>
              </w:rPr>
              <w:t>Fysieke onderdelen die onder meerdere subinstallaties vallen</w:t>
            </w:r>
            <w:r>
              <w:rPr>
                <w:noProof/>
                <w:webHidden/>
              </w:rPr>
              <w:tab/>
            </w:r>
            <w:r>
              <w:rPr>
                <w:noProof/>
                <w:webHidden/>
              </w:rPr>
              <w:fldChar w:fldCharType="begin"/>
            </w:r>
            <w:r>
              <w:rPr>
                <w:noProof/>
                <w:webHidden/>
              </w:rPr>
              <w:instrText xml:space="preserve"> PAGEREF _Toc160465630 \h </w:instrText>
            </w:r>
            <w:r>
              <w:rPr>
                <w:noProof/>
                <w:webHidden/>
              </w:rPr>
            </w:r>
            <w:r>
              <w:rPr>
                <w:noProof/>
                <w:webHidden/>
              </w:rPr>
              <w:fldChar w:fldCharType="separate"/>
            </w:r>
            <w:r>
              <w:rPr>
                <w:noProof/>
                <w:webHidden/>
              </w:rPr>
              <w:t>35</w:t>
            </w:r>
            <w:r>
              <w:rPr>
                <w:noProof/>
                <w:webHidden/>
              </w:rPr>
              <w:fldChar w:fldCharType="end"/>
            </w:r>
          </w:hyperlink>
        </w:p>
        <w:p w14:paraId="636C3217" w14:textId="5962B8B9" w:rsidR="00206CE6" w:rsidRDefault="00206CE6">
          <w:pPr>
            <w:pStyle w:val="Inhopg2"/>
            <w:tabs>
              <w:tab w:val="left" w:pos="880"/>
              <w:tab w:val="right" w:leader="dot" w:pos="9016"/>
            </w:tabs>
            <w:rPr>
              <w:rFonts w:eastAsiaTheme="minorEastAsia"/>
              <w:noProof/>
              <w:kern w:val="2"/>
              <w:lang w:val="nl-BE" w:eastAsia="nl-BE"/>
              <w14:ligatures w14:val="standardContextual"/>
            </w:rPr>
          </w:pPr>
          <w:hyperlink w:anchor="_Toc160465631" w:history="1">
            <w:r w:rsidRPr="00606EAE">
              <w:rPr>
                <w:rStyle w:val="Hyperlink"/>
                <w:rFonts w:cstheme="minorHAnsi"/>
                <w:noProof/>
                <w:lang w:val="nl-BE"/>
              </w:rPr>
              <w:t>5.3.</w:t>
            </w:r>
            <w:r>
              <w:rPr>
                <w:rFonts w:eastAsiaTheme="minorEastAsia"/>
                <w:noProof/>
                <w:kern w:val="2"/>
                <w:lang w:val="nl-BE" w:eastAsia="nl-BE"/>
                <w14:ligatures w14:val="standardContextual"/>
              </w:rPr>
              <w:tab/>
            </w:r>
            <w:r w:rsidRPr="00606EAE">
              <w:rPr>
                <w:rStyle w:val="Hyperlink"/>
                <w:rFonts w:cstheme="minorHAnsi"/>
                <w:noProof/>
                <w:lang w:val="nl-BE"/>
              </w:rPr>
              <w:t>Voorbeelden</w:t>
            </w:r>
            <w:r>
              <w:rPr>
                <w:noProof/>
                <w:webHidden/>
              </w:rPr>
              <w:tab/>
            </w:r>
            <w:r>
              <w:rPr>
                <w:noProof/>
                <w:webHidden/>
              </w:rPr>
              <w:fldChar w:fldCharType="begin"/>
            </w:r>
            <w:r>
              <w:rPr>
                <w:noProof/>
                <w:webHidden/>
              </w:rPr>
              <w:instrText xml:space="preserve"> PAGEREF _Toc160465631 \h </w:instrText>
            </w:r>
            <w:r>
              <w:rPr>
                <w:noProof/>
                <w:webHidden/>
              </w:rPr>
            </w:r>
            <w:r>
              <w:rPr>
                <w:noProof/>
                <w:webHidden/>
              </w:rPr>
              <w:fldChar w:fldCharType="separate"/>
            </w:r>
            <w:r>
              <w:rPr>
                <w:noProof/>
                <w:webHidden/>
              </w:rPr>
              <w:t>37</w:t>
            </w:r>
            <w:r>
              <w:rPr>
                <w:noProof/>
                <w:webHidden/>
              </w:rPr>
              <w:fldChar w:fldCharType="end"/>
            </w:r>
          </w:hyperlink>
        </w:p>
        <w:p w14:paraId="48CA9AD6" w14:textId="19AF3D6D" w:rsidR="00206CE6" w:rsidRDefault="00206CE6" w:rsidP="001E069C">
          <w:pPr>
            <w:pStyle w:val="Inhopg1"/>
            <w:rPr>
              <w:rFonts w:eastAsiaTheme="minorEastAsia"/>
              <w:noProof/>
              <w:kern w:val="2"/>
              <w:lang w:val="nl-BE" w:eastAsia="nl-BE"/>
              <w14:ligatures w14:val="standardContextual"/>
            </w:rPr>
          </w:pPr>
          <w:hyperlink w:anchor="_Toc160465632" w:history="1">
            <w:r w:rsidRPr="00606EAE">
              <w:rPr>
                <w:rStyle w:val="Hyperlink"/>
                <w:rFonts w:cstheme="minorHAnsi"/>
                <w:noProof/>
                <w:lang w:val="nl-BE"/>
              </w:rPr>
              <w:t>6.</w:t>
            </w:r>
            <w:r>
              <w:rPr>
                <w:rFonts w:eastAsiaTheme="minorEastAsia"/>
                <w:noProof/>
                <w:kern w:val="2"/>
                <w:lang w:val="nl-BE" w:eastAsia="nl-BE"/>
                <w14:ligatures w14:val="standardContextual"/>
              </w:rPr>
              <w:tab/>
            </w:r>
            <w:r w:rsidRPr="00606EAE">
              <w:rPr>
                <w:rStyle w:val="Hyperlink"/>
                <w:rFonts w:cstheme="minorHAnsi"/>
                <w:noProof/>
                <w:lang w:val="nl-BE"/>
              </w:rPr>
              <w:t>Checklist</w:t>
            </w:r>
            <w:r>
              <w:rPr>
                <w:noProof/>
                <w:webHidden/>
              </w:rPr>
              <w:tab/>
            </w:r>
            <w:r>
              <w:rPr>
                <w:noProof/>
                <w:webHidden/>
              </w:rPr>
              <w:fldChar w:fldCharType="begin"/>
            </w:r>
            <w:r>
              <w:rPr>
                <w:noProof/>
                <w:webHidden/>
              </w:rPr>
              <w:instrText xml:space="preserve"> PAGEREF _Toc160465632 \h </w:instrText>
            </w:r>
            <w:r>
              <w:rPr>
                <w:noProof/>
                <w:webHidden/>
              </w:rPr>
            </w:r>
            <w:r>
              <w:rPr>
                <w:noProof/>
                <w:webHidden/>
              </w:rPr>
              <w:fldChar w:fldCharType="separate"/>
            </w:r>
            <w:r>
              <w:rPr>
                <w:noProof/>
                <w:webHidden/>
              </w:rPr>
              <w:t>38</w:t>
            </w:r>
            <w:r>
              <w:rPr>
                <w:noProof/>
                <w:webHidden/>
              </w:rPr>
              <w:fldChar w:fldCharType="end"/>
            </w:r>
          </w:hyperlink>
        </w:p>
        <w:p w14:paraId="11607615" w14:textId="1F5BB562" w:rsidR="007476CC" w:rsidRDefault="007476CC">
          <w:r>
            <w:rPr>
              <w:b/>
              <w:bCs/>
              <w:lang w:val="nl-NL"/>
            </w:rPr>
            <w:fldChar w:fldCharType="end"/>
          </w:r>
        </w:p>
      </w:sdtContent>
    </w:sdt>
    <w:p w14:paraId="4B94E6EF" w14:textId="77777777"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11BA8038" w14:textId="77777777" w:rsidR="008F10F2" w:rsidRDefault="008F10F2">
      <w:pPr>
        <w:rPr>
          <w:rFonts w:asciiTheme="majorHAnsi" w:eastAsiaTheme="majorEastAsia" w:hAnsiTheme="majorHAnsi" w:cstheme="majorBidi"/>
          <w:color w:val="2F5496" w:themeColor="accent1" w:themeShade="BF"/>
          <w:sz w:val="32"/>
          <w:szCs w:val="32"/>
          <w:lang w:val="nl-BE"/>
        </w:rPr>
      </w:pPr>
      <w:r>
        <w:rPr>
          <w:lang w:val="nl-BE"/>
        </w:rPr>
        <w:br w:type="page"/>
      </w:r>
    </w:p>
    <w:p w14:paraId="6376B9F6" w14:textId="02BEF37B" w:rsidR="00B1207E" w:rsidRPr="005364F7" w:rsidRDefault="00D5046C" w:rsidP="001E069C">
      <w:pPr>
        <w:pStyle w:val="Kop1"/>
        <w:numPr>
          <w:ilvl w:val="0"/>
          <w:numId w:val="35"/>
        </w:numPr>
        <w:rPr>
          <w:lang w:val="nl-BE"/>
        </w:rPr>
      </w:pPr>
      <w:bookmarkStart w:id="0" w:name="_Toc160465588"/>
      <w:r w:rsidRPr="005364F7">
        <w:rPr>
          <w:lang w:val="nl-BE"/>
        </w:rPr>
        <w:lastRenderedPageBreak/>
        <w:t xml:space="preserve">Wie moet er tegen </w:t>
      </w:r>
      <w:r w:rsidR="006656AD">
        <w:rPr>
          <w:lang w:val="nl-BE"/>
        </w:rPr>
        <w:t>15</w:t>
      </w:r>
      <w:r w:rsidRPr="005364F7">
        <w:rPr>
          <w:lang w:val="nl-BE"/>
        </w:rPr>
        <w:t>/</w:t>
      </w:r>
      <w:r w:rsidR="006656AD">
        <w:rPr>
          <w:lang w:val="nl-BE"/>
        </w:rPr>
        <w:t>04</w:t>
      </w:r>
      <w:r w:rsidRPr="005364F7">
        <w:rPr>
          <w:lang w:val="nl-BE"/>
        </w:rPr>
        <w:t>/</w:t>
      </w:r>
      <w:r w:rsidR="006656AD">
        <w:rPr>
          <w:lang w:val="nl-BE"/>
        </w:rPr>
        <w:t>2024</w:t>
      </w:r>
      <w:r w:rsidR="006656AD" w:rsidRPr="005364F7">
        <w:rPr>
          <w:lang w:val="nl-BE"/>
        </w:rPr>
        <w:t xml:space="preserve"> </w:t>
      </w:r>
      <w:r w:rsidRPr="005364F7">
        <w:rPr>
          <w:lang w:val="nl-BE"/>
        </w:rPr>
        <w:t>een MMP</w:t>
      </w:r>
      <w:r w:rsidR="006656AD">
        <w:rPr>
          <w:lang w:val="nl-BE"/>
        </w:rPr>
        <w:t>26-30</w:t>
      </w:r>
      <w:r w:rsidRPr="005364F7">
        <w:rPr>
          <w:lang w:val="nl-BE"/>
        </w:rPr>
        <w:t xml:space="preserve"> indienen?</w:t>
      </w:r>
      <w:bookmarkEnd w:id="0"/>
    </w:p>
    <w:p w14:paraId="12C9DA53" w14:textId="77777777"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1293BAE6" w14:textId="64F6854E" w:rsidR="00935D90" w:rsidRDefault="00935D90" w:rsidP="005364F7">
      <w:pPr>
        <w:autoSpaceDE w:val="0"/>
        <w:autoSpaceDN w:val="0"/>
        <w:adjustRightInd w:val="0"/>
        <w:spacing w:after="0" w:line="240" w:lineRule="auto"/>
        <w:jc w:val="both"/>
        <w:rPr>
          <w:rFonts w:cstheme="minorHAnsi"/>
          <w:color w:val="1C1A15"/>
          <w:lang w:val="nl-BE"/>
        </w:rPr>
      </w:pPr>
      <w:r>
        <w:rPr>
          <w:rFonts w:cstheme="minorHAnsi"/>
          <w:color w:val="1C1A15"/>
          <w:lang w:val="nl-BE"/>
        </w:rPr>
        <w:t>“</w:t>
      </w:r>
      <w:r w:rsidR="00B1207E" w:rsidRPr="001E069C">
        <w:rPr>
          <w:rFonts w:cstheme="minorHAnsi"/>
          <w:color w:val="1C1A15"/>
          <w:lang w:val="nl-BE"/>
        </w:rPr>
        <w:t>Bestaande installaties</w:t>
      </w:r>
      <w:r>
        <w:rPr>
          <w:rFonts w:cstheme="minorHAnsi"/>
          <w:color w:val="1C1A15"/>
          <w:lang w:val="nl-BE"/>
        </w:rPr>
        <w:t>”</w:t>
      </w:r>
      <w:r w:rsidR="00391DB6">
        <w:rPr>
          <w:rFonts w:cstheme="minorHAnsi"/>
          <w:color w:val="1C1A15"/>
          <w:lang w:val="nl-BE"/>
        </w:rPr>
        <w:t xml:space="preserve"> in de toewijzingsperiode 2026-2030</w:t>
      </w:r>
      <w:r w:rsidR="009D17D1">
        <w:rPr>
          <w:rStyle w:val="Voetnootmarkering"/>
          <w:rFonts w:cstheme="minorHAnsi"/>
          <w:color w:val="1C1A15"/>
          <w:lang w:val="nl-BE"/>
        </w:rPr>
        <w:footnoteReference w:id="4"/>
      </w:r>
      <w:r w:rsidR="00391DB6">
        <w:rPr>
          <w:rFonts w:cstheme="minorHAnsi"/>
          <w:color w:val="1C1A15"/>
          <w:lang w:val="nl-BE"/>
        </w:rPr>
        <w:t>,</w:t>
      </w:r>
      <w:r w:rsidR="00B1207E" w:rsidRPr="001E069C">
        <w:rPr>
          <w:rFonts w:cstheme="minorHAnsi"/>
          <w:color w:val="1C1A15"/>
          <w:lang w:val="nl-BE"/>
        </w:rPr>
        <w:t xml:space="preserve"> die in aanmerking willen komen voor een</w:t>
      </w:r>
      <w:r w:rsidR="00B1207E">
        <w:rPr>
          <w:rFonts w:cstheme="minorHAnsi"/>
          <w:color w:val="1C1A15"/>
          <w:lang w:val="nl-BE"/>
        </w:rPr>
        <w:t xml:space="preserve"> </w:t>
      </w:r>
      <w:r w:rsidR="001F487C">
        <w:rPr>
          <w:rFonts w:cstheme="minorHAnsi"/>
          <w:color w:val="1C1A15"/>
          <w:lang w:val="nl-BE"/>
        </w:rPr>
        <w:t>kosteloze</w:t>
      </w:r>
      <w:r w:rsidR="00B1207E" w:rsidRPr="001E069C">
        <w:rPr>
          <w:rFonts w:cstheme="minorHAnsi"/>
          <w:color w:val="1C1A15"/>
          <w:lang w:val="nl-BE"/>
        </w:rPr>
        <w:t xml:space="preserve"> toewijzing in de periode 202</w:t>
      </w:r>
      <w:r w:rsidR="006656AD" w:rsidRPr="001E069C">
        <w:rPr>
          <w:rFonts w:cstheme="minorHAnsi"/>
          <w:color w:val="1C1A15"/>
          <w:lang w:val="nl-BE"/>
        </w:rPr>
        <w:t>6</w:t>
      </w:r>
      <w:r w:rsidR="00B1207E" w:rsidRPr="001E069C">
        <w:rPr>
          <w:rFonts w:cstheme="minorHAnsi"/>
          <w:color w:val="1C1A15"/>
          <w:lang w:val="nl-BE"/>
        </w:rPr>
        <w:t xml:space="preserve">-2030 </w:t>
      </w:r>
      <w:r w:rsidR="00D5046C" w:rsidRPr="001E069C">
        <w:rPr>
          <w:rFonts w:cstheme="minorHAnsi"/>
          <w:color w:val="1C1A15"/>
          <w:lang w:val="nl-BE"/>
        </w:rPr>
        <w:t>hebben</w:t>
      </w:r>
      <w:r w:rsidR="00B1207E" w:rsidRPr="001E069C">
        <w:rPr>
          <w:rFonts w:cstheme="minorHAnsi"/>
          <w:color w:val="1C1A15"/>
          <w:lang w:val="nl-BE"/>
        </w:rPr>
        <w:t xml:space="preserve"> </w:t>
      </w:r>
      <w:r w:rsidR="00D5046C" w:rsidRPr="001E069C">
        <w:rPr>
          <w:rFonts w:cstheme="minorHAnsi"/>
          <w:color w:val="1C1A15"/>
          <w:lang w:val="nl-BE"/>
        </w:rPr>
        <w:t>uiterlijk</w:t>
      </w:r>
      <w:r w:rsidR="008F367F" w:rsidRPr="001E069C">
        <w:rPr>
          <w:rFonts w:cstheme="minorHAnsi"/>
          <w:color w:val="1C1A15"/>
          <w:lang w:val="nl-BE"/>
        </w:rPr>
        <w:t xml:space="preserve"> tot</w:t>
      </w:r>
      <w:r w:rsidR="00D5046C" w:rsidRPr="001E069C">
        <w:rPr>
          <w:rFonts w:cstheme="minorHAnsi"/>
          <w:color w:val="1C1A15"/>
          <w:lang w:val="nl-BE"/>
        </w:rPr>
        <w:t xml:space="preserve"> </w:t>
      </w:r>
      <w:r w:rsidR="00B1207E" w:rsidRPr="001E069C">
        <w:rPr>
          <w:rFonts w:cstheme="minorHAnsi"/>
          <w:color w:val="1C1A15"/>
          <w:lang w:val="nl-BE"/>
        </w:rPr>
        <w:t xml:space="preserve">30 juni </w:t>
      </w:r>
      <w:r w:rsidR="006656AD" w:rsidRPr="001E069C">
        <w:rPr>
          <w:rFonts w:cstheme="minorHAnsi"/>
          <w:color w:val="1C1A15"/>
          <w:lang w:val="nl-BE"/>
        </w:rPr>
        <w:t>2024</w:t>
      </w:r>
      <w:r w:rsidR="008F367F" w:rsidRPr="001E069C">
        <w:rPr>
          <w:rFonts w:cstheme="minorHAnsi"/>
          <w:color w:val="1C1A15"/>
          <w:lang w:val="nl-BE"/>
        </w:rPr>
        <w:t xml:space="preserve"> om</w:t>
      </w:r>
      <w:r w:rsidR="006656AD" w:rsidRPr="001E069C">
        <w:rPr>
          <w:rFonts w:cstheme="minorHAnsi"/>
          <w:color w:val="1C1A15"/>
          <w:lang w:val="nl-BE"/>
        </w:rPr>
        <w:t xml:space="preserve"> </w:t>
      </w:r>
      <w:r w:rsidR="00B1207E" w:rsidRPr="001E069C">
        <w:rPr>
          <w:rFonts w:cstheme="minorHAnsi"/>
          <w:color w:val="1C1A15"/>
          <w:lang w:val="nl-BE"/>
        </w:rPr>
        <w:t>een geverifieerd baseline</w:t>
      </w:r>
      <w:r w:rsidR="008F367F" w:rsidRPr="001E069C">
        <w:rPr>
          <w:rFonts w:cstheme="minorHAnsi"/>
          <w:color w:val="1C1A15"/>
          <w:lang w:val="nl-BE"/>
        </w:rPr>
        <w:t xml:space="preserve"> data</w:t>
      </w:r>
      <w:r w:rsidR="00B1207E" w:rsidRPr="001E069C">
        <w:rPr>
          <w:rFonts w:cstheme="minorHAnsi"/>
          <w:color w:val="1C1A15"/>
          <w:lang w:val="nl-BE"/>
        </w:rPr>
        <w:t xml:space="preserve"> rapport</w:t>
      </w:r>
      <w:r w:rsidR="008F367F" w:rsidRPr="001E069C">
        <w:rPr>
          <w:rFonts w:cstheme="minorHAnsi"/>
          <w:color w:val="1C1A15"/>
          <w:lang w:val="nl-BE"/>
        </w:rPr>
        <w:t xml:space="preserve"> (BDR)</w:t>
      </w:r>
      <w:r w:rsidR="00B1207E" w:rsidRPr="001E069C">
        <w:rPr>
          <w:rFonts w:cstheme="minorHAnsi"/>
          <w:color w:val="1C1A15"/>
          <w:lang w:val="nl-BE"/>
        </w:rPr>
        <w:t xml:space="preserve"> </w:t>
      </w:r>
      <w:r w:rsidR="008F367F" w:rsidRPr="001E069C">
        <w:rPr>
          <w:rFonts w:cstheme="minorHAnsi"/>
          <w:color w:val="1C1A15"/>
          <w:lang w:val="nl-BE"/>
        </w:rPr>
        <w:t xml:space="preserve">in te dienen </w:t>
      </w:r>
      <w:r w:rsidR="00B1207E" w:rsidRPr="001E069C">
        <w:rPr>
          <w:rFonts w:cstheme="minorHAnsi"/>
          <w:color w:val="1C1A15"/>
          <w:lang w:val="nl-BE"/>
        </w:rPr>
        <w:t xml:space="preserve">bij het </w:t>
      </w:r>
      <w:r w:rsidR="006656AD" w:rsidRPr="001E069C">
        <w:rPr>
          <w:rFonts w:cstheme="minorHAnsi"/>
          <w:color w:val="1C1A15"/>
          <w:lang w:val="nl-BE"/>
        </w:rPr>
        <w:t>VEKA</w:t>
      </w:r>
      <w:r w:rsidR="00B1207E" w:rsidRPr="001E069C">
        <w:rPr>
          <w:rFonts w:cstheme="minorHAnsi"/>
          <w:color w:val="1C1A15"/>
          <w:lang w:val="nl-BE"/>
        </w:rPr>
        <w:t xml:space="preserve">. </w:t>
      </w:r>
    </w:p>
    <w:p w14:paraId="6A565E10" w14:textId="77777777" w:rsidR="00935D90" w:rsidRDefault="00935D90" w:rsidP="005364F7">
      <w:pPr>
        <w:autoSpaceDE w:val="0"/>
        <w:autoSpaceDN w:val="0"/>
        <w:adjustRightInd w:val="0"/>
        <w:spacing w:after="0" w:line="240" w:lineRule="auto"/>
        <w:jc w:val="both"/>
        <w:rPr>
          <w:rFonts w:cstheme="minorHAnsi"/>
          <w:color w:val="1C1A15"/>
          <w:lang w:val="nl-BE"/>
        </w:rPr>
      </w:pPr>
    </w:p>
    <w:p w14:paraId="5D2E27BB" w14:textId="36AF8987" w:rsidR="00D5046C" w:rsidRPr="001E069C" w:rsidRDefault="00B1207E"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Dit baseline </w:t>
      </w:r>
      <w:r w:rsidR="008F367F" w:rsidRPr="001E069C">
        <w:rPr>
          <w:rFonts w:cstheme="minorHAnsi"/>
          <w:color w:val="1C1A15"/>
          <w:lang w:val="nl-BE"/>
        </w:rPr>
        <w:t xml:space="preserve">data </w:t>
      </w:r>
      <w:r w:rsidRPr="001E069C">
        <w:rPr>
          <w:rFonts w:cstheme="minorHAnsi"/>
          <w:color w:val="1C1A15"/>
          <w:lang w:val="nl-BE"/>
        </w:rPr>
        <w:t xml:space="preserve">rapport </w:t>
      </w:r>
      <w:r w:rsidR="006656AD" w:rsidRPr="001E069C">
        <w:rPr>
          <w:rFonts w:cstheme="minorHAnsi"/>
          <w:color w:val="1C1A15"/>
          <w:lang w:val="nl-BE"/>
        </w:rPr>
        <w:t xml:space="preserve">moet </w:t>
      </w:r>
      <w:r w:rsidRPr="001E069C">
        <w:rPr>
          <w:rFonts w:cstheme="minorHAnsi"/>
          <w:color w:val="1C1A15"/>
          <w:lang w:val="nl-BE"/>
        </w:rPr>
        <w:t xml:space="preserve">opgesteld worden aan de hand van </w:t>
      </w:r>
      <w:r w:rsidR="00D5046C" w:rsidRPr="001E069C">
        <w:rPr>
          <w:rFonts w:cstheme="minorHAnsi"/>
          <w:color w:val="1C1A15"/>
          <w:lang w:val="nl-BE"/>
        </w:rPr>
        <w:t>een goedgekeurd MMP</w:t>
      </w:r>
      <w:r w:rsidR="006656AD" w:rsidRPr="001E069C">
        <w:rPr>
          <w:rFonts w:cstheme="minorHAnsi"/>
          <w:color w:val="1C1A15"/>
          <w:lang w:val="nl-BE"/>
        </w:rPr>
        <w:t>26-30</w:t>
      </w:r>
      <w:r w:rsidR="00D5046C" w:rsidRPr="001E069C">
        <w:rPr>
          <w:rFonts w:cstheme="minorHAnsi"/>
          <w:color w:val="1C1A15"/>
          <w:lang w:val="nl-BE"/>
        </w:rPr>
        <w:t xml:space="preserve">. </w:t>
      </w:r>
      <w:r w:rsidR="00C4501B" w:rsidRPr="001E069C">
        <w:rPr>
          <w:rFonts w:cstheme="minorHAnsi"/>
          <w:color w:val="1C1A15"/>
          <w:lang w:val="nl-BE"/>
        </w:rPr>
        <w:t>Dit</w:t>
      </w:r>
      <w:r w:rsidR="00D5046C" w:rsidRPr="001E069C">
        <w:rPr>
          <w:rFonts w:cstheme="minorHAnsi"/>
          <w:color w:val="1C1A15"/>
          <w:lang w:val="nl-BE"/>
        </w:rPr>
        <w:t xml:space="preserve"> document geeft meer toelichting over het </w:t>
      </w:r>
      <w:r w:rsidR="008F367F" w:rsidRPr="001E069C">
        <w:rPr>
          <w:rFonts w:cstheme="minorHAnsi"/>
          <w:color w:val="1C1A15"/>
          <w:lang w:val="nl-BE"/>
        </w:rPr>
        <w:t>opmaken van een</w:t>
      </w:r>
      <w:r w:rsidR="00D5046C" w:rsidRPr="001E069C">
        <w:rPr>
          <w:rFonts w:cstheme="minorHAnsi"/>
          <w:color w:val="1C1A15"/>
          <w:lang w:val="nl-BE"/>
        </w:rPr>
        <w:t xml:space="preserve"> MMP</w:t>
      </w:r>
      <w:r w:rsidR="008F367F" w:rsidRPr="001E069C">
        <w:rPr>
          <w:rFonts w:cstheme="minorHAnsi"/>
          <w:color w:val="1C1A15"/>
          <w:lang w:val="nl-BE"/>
        </w:rPr>
        <w:t>26-30</w:t>
      </w:r>
      <w:r w:rsidR="00D5046C" w:rsidRPr="001E069C">
        <w:rPr>
          <w:rFonts w:cstheme="minorHAnsi"/>
          <w:color w:val="1C1A15"/>
          <w:lang w:val="nl-BE"/>
        </w:rPr>
        <w:t xml:space="preserve">, en wat er moet aangepast worden t.o.v. </w:t>
      </w:r>
      <w:r w:rsidR="008F367F" w:rsidRPr="001E069C">
        <w:rPr>
          <w:rFonts w:cstheme="minorHAnsi"/>
          <w:color w:val="1C1A15"/>
          <w:lang w:val="nl-BE"/>
        </w:rPr>
        <w:t>het huidige MMP21-25</w:t>
      </w:r>
      <w:r w:rsidR="00D5046C" w:rsidRPr="001E069C">
        <w:rPr>
          <w:rFonts w:cstheme="minorHAnsi"/>
          <w:color w:val="1C1A15"/>
          <w:lang w:val="nl-BE"/>
        </w:rPr>
        <w:t xml:space="preserve">. </w:t>
      </w:r>
    </w:p>
    <w:p w14:paraId="34277E82" w14:textId="6A2D2029" w:rsidR="00D5046C" w:rsidRPr="001E069C" w:rsidRDefault="00D5046C" w:rsidP="005364F7">
      <w:pPr>
        <w:autoSpaceDE w:val="0"/>
        <w:autoSpaceDN w:val="0"/>
        <w:adjustRightInd w:val="0"/>
        <w:spacing w:after="0" w:line="240" w:lineRule="auto"/>
        <w:jc w:val="both"/>
        <w:rPr>
          <w:rFonts w:cstheme="minorHAnsi"/>
          <w:color w:val="1C1A15"/>
          <w:lang w:val="nl-BE"/>
        </w:rPr>
      </w:pPr>
    </w:p>
    <w:p w14:paraId="6024B09A" w14:textId="6615BD91" w:rsidR="00D5046C" w:rsidRPr="001E069C" w:rsidRDefault="008F367F"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Nieuwkomers die voor het eerst aanspraak maken op kosteloze toewijzing na 1/01/2024, dienen enkel een </w:t>
      </w:r>
      <w:r w:rsidR="00223205">
        <w:rPr>
          <w:rFonts w:cstheme="minorHAnsi"/>
          <w:color w:val="1C1A15"/>
          <w:lang w:val="nl-BE"/>
        </w:rPr>
        <w:t xml:space="preserve">MMP op basis van het sjabloon </w:t>
      </w:r>
      <w:r w:rsidRPr="001E069C">
        <w:rPr>
          <w:rFonts w:cstheme="minorHAnsi"/>
          <w:color w:val="1C1A15"/>
          <w:lang w:val="nl-BE"/>
        </w:rPr>
        <w:t>MMP26-30 op te maken</w:t>
      </w:r>
      <w:r w:rsidR="00F615E4">
        <w:rPr>
          <w:rFonts w:cstheme="minorHAnsi"/>
          <w:color w:val="1C1A15"/>
          <w:lang w:val="nl-BE"/>
        </w:rPr>
        <w:t xml:space="preserve"> aangezien voor hen onmiddellijk alle nieuwe regels van de FAR gelden</w:t>
      </w:r>
      <w:r w:rsidR="001D6118">
        <w:rPr>
          <w:rFonts w:cstheme="minorHAnsi"/>
          <w:color w:val="1C1A15"/>
          <w:lang w:val="nl-BE"/>
        </w:rPr>
        <w:t>, zelfs voor toewijzing op het einde van de periode toewijzingsperiode 2</w:t>
      </w:r>
      <w:r w:rsidR="0068732E">
        <w:rPr>
          <w:rFonts w:cstheme="minorHAnsi"/>
          <w:color w:val="1C1A15"/>
          <w:lang w:val="nl-BE"/>
        </w:rPr>
        <w:t>021</w:t>
      </w:r>
      <w:r w:rsidR="001D6118">
        <w:rPr>
          <w:rFonts w:cstheme="minorHAnsi"/>
          <w:color w:val="1C1A15"/>
          <w:lang w:val="nl-BE"/>
        </w:rPr>
        <w:t>-</w:t>
      </w:r>
      <w:r w:rsidR="0068732E">
        <w:rPr>
          <w:rFonts w:cstheme="minorHAnsi"/>
          <w:color w:val="1C1A15"/>
          <w:lang w:val="nl-BE"/>
        </w:rPr>
        <w:t>20</w:t>
      </w:r>
      <w:r w:rsidR="001D6118">
        <w:rPr>
          <w:rFonts w:cstheme="minorHAnsi"/>
          <w:color w:val="1C1A15"/>
          <w:lang w:val="nl-BE"/>
        </w:rPr>
        <w:t>25</w:t>
      </w:r>
      <w:r w:rsidR="00F615E4">
        <w:rPr>
          <w:rFonts w:cstheme="minorHAnsi"/>
          <w:color w:val="1C1A15"/>
          <w:lang w:val="nl-BE"/>
        </w:rPr>
        <w:t>.</w:t>
      </w:r>
    </w:p>
    <w:p w14:paraId="2FEF983C" w14:textId="15B01449" w:rsidR="00D5046C" w:rsidRPr="001E069C" w:rsidRDefault="00D5046C" w:rsidP="005364F7">
      <w:pPr>
        <w:autoSpaceDE w:val="0"/>
        <w:autoSpaceDN w:val="0"/>
        <w:adjustRightInd w:val="0"/>
        <w:spacing w:after="0" w:line="240" w:lineRule="auto"/>
        <w:jc w:val="both"/>
        <w:rPr>
          <w:rFonts w:cstheme="minorHAnsi"/>
          <w:color w:val="1C1A15"/>
          <w:lang w:val="nl-BE"/>
        </w:rPr>
      </w:pPr>
    </w:p>
    <w:p w14:paraId="1F06E9DF" w14:textId="110300DC" w:rsidR="00D5046C" w:rsidRPr="001E069C" w:rsidRDefault="00D5046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Het ingevulde sjabloon moet in </w:t>
      </w:r>
      <w:r w:rsidR="00C4501B" w:rsidRPr="001E069C">
        <w:rPr>
          <w:rFonts w:cstheme="minorHAnsi"/>
          <w:color w:val="1C1A15"/>
          <w:lang w:val="nl-BE"/>
        </w:rPr>
        <w:t>Excel</w:t>
      </w:r>
      <w:r w:rsidRPr="001E069C">
        <w:rPr>
          <w:rFonts w:cstheme="minorHAnsi"/>
          <w:color w:val="1C1A15"/>
          <w:lang w:val="nl-BE"/>
        </w:rPr>
        <w:t xml:space="preserve">-formaat samen met alle bijlagen opgestuurd worden naar </w:t>
      </w:r>
      <w:hyperlink r:id="rId14" w:history="1">
        <w:r w:rsidRPr="001E069C">
          <w:rPr>
            <w:rStyle w:val="Hyperlink"/>
            <w:rFonts w:cstheme="minorHAnsi"/>
            <w:lang w:val="nl-BE"/>
          </w:rPr>
          <w:t>vbbv@vbbv.be</w:t>
        </w:r>
      </w:hyperlink>
      <w:r w:rsidRPr="001E069C">
        <w:rPr>
          <w:rFonts w:cstheme="minorHAnsi"/>
          <w:color w:val="1C1A15"/>
          <w:lang w:val="nl-BE"/>
        </w:rPr>
        <w:t>.</w:t>
      </w:r>
    </w:p>
    <w:p w14:paraId="5CB6FA61" w14:textId="7202A04D" w:rsidR="00D5046C" w:rsidRPr="001E069C" w:rsidRDefault="00D5046C" w:rsidP="005364F7">
      <w:pPr>
        <w:autoSpaceDE w:val="0"/>
        <w:autoSpaceDN w:val="0"/>
        <w:adjustRightInd w:val="0"/>
        <w:spacing w:after="0" w:line="240" w:lineRule="auto"/>
        <w:jc w:val="both"/>
        <w:rPr>
          <w:rFonts w:cstheme="minorHAnsi"/>
          <w:color w:val="1C1A15"/>
          <w:lang w:val="nl-BE"/>
        </w:rPr>
      </w:pPr>
    </w:p>
    <w:p w14:paraId="69CC9ABD" w14:textId="70175D9D" w:rsidR="00D5046C" w:rsidRPr="001E069C" w:rsidRDefault="00D5046C" w:rsidP="005364F7">
      <w:pPr>
        <w:autoSpaceDE w:val="0"/>
        <w:autoSpaceDN w:val="0"/>
        <w:adjustRightInd w:val="0"/>
        <w:spacing w:after="0" w:line="240" w:lineRule="auto"/>
        <w:jc w:val="both"/>
        <w:rPr>
          <w:rFonts w:cstheme="minorHAnsi"/>
          <w:color w:val="1C1A15"/>
          <w:lang w:val="nl-BE"/>
        </w:rPr>
      </w:pPr>
    </w:p>
    <w:p w14:paraId="5A299B2A" w14:textId="77777777" w:rsidR="00D87999" w:rsidRPr="001E069C" w:rsidRDefault="00D87999">
      <w:pPr>
        <w:rPr>
          <w:rFonts w:cstheme="minorHAnsi"/>
          <w:b/>
          <w:color w:val="1C1A15"/>
          <w:sz w:val="32"/>
          <w:szCs w:val="32"/>
          <w:u w:val="single"/>
          <w:lang w:val="nl-BE"/>
        </w:rPr>
      </w:pPr>
      <w:r w:rsidRPr="001E069C">
        <w:rPr>
          <w:rFonts w:cstheme="minorHAnsi"/>
          <w:b/>
          <w:color w:val="1C1A15"/>
          <w:sz w:val="32"/>
          <w:szCs w:val="32"/>
          <w:u w:val="single"/>
          <w:lang w:val="nl-BE"/>
        </w:rPr>
        <w:br w:type="page"/>
      </w:r>
    </w:p>
    <w:p w14:paraId="08FE5EFB" w14:textId="511488DE" w:rsidR="00D5046C" w:rsidRPr="005364F7" w:rsidRDefault="00D5046C" w:rsidP="001E069C">
      <w:pPr>
        <w:pStyle w:val="Kop1"/>
        <w:numPr>
          <w:ilvl w:val="0"/>
          <w:numId w:val="35"/>
        </w:numPr>
        <w:rPr>
          <w:lang w:val="nl-BE"/>
        </w:rPr>
      </w:pPr>
      <w:bookmarkStart w:id="1" w:name="_Toc160465589"/>
      <w:r w:rsidRPr="005364F7">
        <w:rPr>
          <w:lang w:val="nl-BE"/>
        </w:rPr>
        <w:lastRenderedPageBreak/>
        <w:t>Waarvoor dient het MMP</w:t>
      </w:r>
      <w:r w:rsidR="00395247">
        <w:rPr>
          <w:lang w:val="nl-BE"/>
        </w:rPr>
        <w:t>26-30</w:t>
      </w:r>
      <w:r w:rsidRPr="005364F7">
        <w:rPr>
          <w:lang w:val="nl-BE"/>
        </w:rPr>
        <w:t>?</w:t>
      </w:r>
      <w:bookmarkEnd w:id="1"/>
    </w:p>
    <w:p w14:paraId="4B6F5435" w14:textId="77777777" w:rsidR="00D5046C" w:rsidRPr="005364F7" w:rsidRDefault="00D5046C" w:rsidP="005364F7">
      <w:pPr>
        <w:autoSpaceDE w:val="0"/>
        <w:autoSpaceDN w:val="0"/>
        <w:adjustRightInd w:val="0"/>
        <w:spacing w:after="0" w:line="240" w:lineRule="auto"/>
        <w:jc w:val="both"/>
        <w:rPr>
          <w:rFonts w:ascii="Arial" w:hAnsi="Arial" w:cs="Arial"/>
          <w:color w:val="1C1A15"/>
          <w:lang w:val="nl-BE"/>
        </w:rPr>
      </w:pPr>
    </w:p>
    <w:p w14:paraId="46A44423" w14:textId="1D9A8CCC" w:rsidR="00D5046C" w:rsidRPr="001E069C" w:rsidRDefault="00D5046C" w:rsidP="005364F7">
      <w:pPr>
        <w:jc w:val="both"/>
        <w:rPr>
          <w:rFonts w:cstheme="minorHAnsi"/>
        </w:rPr>
      </w:pPr>
      <w:r w:rsidRPr="001E069C">
        <w:rPr>
          <w:rFonts w:cstheme="minorHAnsi"/>
        </w:rPr>
        <w:t xml:space="preserve">Voor de periode </w:t>
      </w:r>
      <w:r w:rsidR="008F367F" w:rsidRPr="001E069C">
        <w:rPr>
          <w:rFonts w:cstheme="minorHAnsi"/>
        </w:rPr>
        <w:t>202</w:t>
      </w:r>
      <w:r w:rsidR="008F367F" w:rsidRPr="001E069C">
        <w:rPr>
          <w:rFonts w:cstheme="minorHAnsi"/>
          <w:lang w:val="nl-BE"/>
        </w:rPr>
        <w:t>6</w:t>
      </w:r>
      <w:r w:rsidRPr="001E069C">
        <w:rPr>
          <w:rFonts w:cstheme="minorHAnsi"/>
        </w:rPr>
        <w:t>-</w:t>
      </w:r>
      <w:r w:rsidR="008F367F" w:rsidRPr="001E069C">
        <w:rPr>
          <w:rFonts w:cstheme="minorHAnsi"/>
        </w:rPr>
        <w:t>20</w:t>
      </w:r>
      <w:r w:rsidR="008F367F" w:rsidRPr="001E069C">
        <w:rPr>
          <w:rFonts w:cstheme="minorHAnsi"/>
          <w:lang w:val="nl-BE"/>
        </w:rPr>
        <w:t>30</w:t>
      </w:r>
      <w:r w:rsidR="008F367F" w:rsidRPr="001E069C">
        <w:rPr>
          <w:rFonts w:cstheme="minorHAnsi"/>
        </w:rPr>
        <w:t xml:space="preserve"> </w:t>
      </w:r>
      <w:r w:rsidRPr="001E069C">
        <w:rPr>
          <w:rFonts w:cstheme="minorHAnsi"/>
        </w:rPr>
        <w:t xml:space="preserve">zal de </w:t>
      </w:r>
      <w:r w:rsidR="0068732E">
        <w:rPr>
          <w:rFonts w:cstheme="minorHAnsi"/>
          <w:lang w:val="nl-BE"/>
        </w:rPr>
        <w:t>initiële</w:t>
      </w:r>
      <w:r w:rsidR="0068732E" w:rsidRPr="001E069C">
        <w:rPr>
          <w:rFonts w:cstheme="minorHAnsi"/>
        </w:rPr>
        <w:t xml:space="preserve"> </w:t>
      </w:r>
      <w:r w:rsidR="00F219A4">
        <w:rPr>
          <w:rFonts w:cstheme="minorHAnsi"/>
          <w:lang w:val="nl-BE"/>
        </w:rPr>
        <w:t xml:space="preserve">kosteloze </w:t>
      </w:r>
      <w:r w:rsidRPr="001E069C">
        <w:rPr>
          <w:rFonts w:cstheme="minorHAnsi"/>
        </w:rPr>
        <w:t xml:space="preserve">toewijzing voor elke BKG-installatie vastgesteld worden o.b.v. </w:t>
      </w:r>
      <w:r w:rsidR="008F367F" w:rsidRPr="001E069C">
        <w:rPr>
          <w:rFonts w:cstheme="minorHAnsi"/>
          <w:lang w:val="nl-BE"/>
        </w:rPr>
        <w:t xml:space="preserve">de mediaan </w:t>
      </w:r>
      <w:r w:rsidR="00643A74">
        <w:rPr>
          <w:rFonts w:cstheme="minorHAnsi"/>
          <w:lang w:val="nl-BE"/>
        </w:rPr>
        <w:t xml:space="preserve">(i.p.v. het rekenkundig gemiddelde) </w:t>
      </w:r>
      <w:r w:rsidR="008F367F" w:rsidRPr="001E069C">
        <w:rPr>
          <w:rFonts w:cstheme="minorHAnsi"/>
          <w:lang w:val="nl-BE"/>
        </w:rPr>
        <w:t>van het</w:t>
      </w:r>
      <w:r w:rsidRPr="001E069C">
        <w:rPr>
          <w:rFonts w:cstheme="minorHAnsi"/>
        </w:rPr>
        <w:t xml:space="preserve"> activiteitsniveau van elke </w:t>
      </w:r>
      <w:proofErr w:type="spellStart"/>
      <w:r w:rsidR="005E6A36">
        <w:rPr>
          <w:rFonts w:cstheme="minorHAnsi"/>
        </w:rPr>
        <w:t>subinstallatie</w:t>
      </w:r>
      <w:proofErr w:type="spellEnd"/>
      <w:r w:rsidRPr="001E069C">
        <w:rPr>
          <w:rFonts w:cstheme="minorHAnsi"/>
        </w:rPr>
        <w:t xml:space="preserve"> in de referentieperiode 201</w:t>
      </w:r>
      <w:r w:rsidR="008F367F" w:rsidRPr="001E069C">
        <w:rPr>
          <w:rFonts w:cstheme="minorHAnsi"/>
          <w:lang w:val="nl-BE"/>
        </w:rPr>
        <w:t>9</w:t>
      </w:r>
      <w:r w:rsidRPr="001E069C">
        <w:rPr>
          <w:rFonts w:cstheme="minorHAnsi"/>
        </w:rPr>
        <w:t>-20</w:t>
      </w:r>
      <w:r w:rsidR="008F367F" w:rsidRPr="001E069C">
        <w:rPr>
          <w:rFonts w:cstheme="minorHAnsi"/>
          <w:lang w:val="nl-BE"/>
        </w:rPr>
        <w:t>23</w:t>
      </w:r>
      <w:r w:rsidRPr="001E069C">
        <w:rPr>
          <w:rFonts w:cstheme="minorHAnsi"/>
        </w:rPr>
        <w:t xml:space="preserve"> (= historisch activiteitsniveau)</w:t>
      </w:r>
      <w:r w:rsidR="00B113E6" w:rsidRPr="001E069C">
        <w:rPr>
          <w:rFonts w:cstheme="minorHAnsi"/>
          <w:lang w:val="nl-BE"/>
        </w:rPr>
        <w:t xml:space="preserve">, zoals opgenomen in het baseline </w:t>
      </w:r>
      <w:r w:rsidR="000C3D26" w:rsidRPr="001E069C">
        <w:rPr>
          <w:rFonts w:cstheme="minorHAnsi"/>
          <w:lang w:val="nl-BE"/>
        </w:rPr>
        <w:t>data</w:t>
      </w:r>
      <w:r w:rsidR="00B113E6" w:rsidRPr="001E069C">
        <w:rPr>
          <w:rFonts w:cstheme="minorHAnsi"/>
          <w:lang w:val="nl-BE"/>
        </w:rPr>
        <w:t xml:space="preserve"> rapport</w:t>
      </w:r>
      <w:r w:rsidRPr="001E069C">
        <w:rPr>
          <w:rFonts w:cstheme="minorHAnsi"/>
        </w:rPr>
        <w:t>. Tijdens de periode 202</w:t>
      </w:r>
      <w:r w:rsidR="008F367F" w:rsidRPr="001E069C">
        <w:rPr>
          <w:rFonts w:cstheme="minorHAnsi"/>
          <w:lang w:val="nl-BE"/>
        </w:rPr>
        <w:t>6</w:t>
      </w:r>
      <w:r w:rsidRPr="001E069C">
        <w:rPr>
          <w:rFonts w:cstheme="minorHAnsi"/>
        </w:rPr>
        <w:t>-20</w:t>
      </w:r>
      <w:r w:rsidR="008F367F" w:rsidRPr="001E069C">
        <w:rPr>
          <w:rFonts w:cstheme="minorHAnsi"/>
          <w:lang w:val="nl-BE"/>
        </w:rPr>
        <w:t>30</w:t>
      </w:r>
      <w:r w:rsidRPr="001E069C">
        <w:rPr>
          <w:rFonts w:cstheme="minorHAnsi"/>
        </w:rPr>
        <w:t xml:space="preserve"> kan de </w:t>
      </w:r>
      <w:r w:rsidR="00C20690">
        <w:rPr>
          <w:rFonts w:cstheme="minorHAnsi"/>
          <w:lang w:val="nl-BE"/>
        </w:rPr>
        <w:t>kosteloze</w:t>
      </w:r>
      <w:r>
        <w:rPr>
          <w:rFonts w:cstheme="minorHAnsi"/>
          <w:lang w:val="nl-BE"/>
        </w:rPr>
        <w:t xml:space="preserve"> </w:t>
      </w:r>
      <w:r w:rsidRPr="001E069C">
        <w:rPr>
          <w:rFonts w:cstheme="minorHAnsi"/>
        </w:rPr>
        <w:t xml:space="preserve">toewijzing echter nog aangepast worden indien het activiteitsniveau afwijkt van dit historische activiteitsniveau. De exacte regels hierrond </w:t>
      </w:r>
      <w:r w:rsidRPr="001E069C">
        <w:rPr>
          <w:rFonts w:cstheme="minorHAnsi"/>
          <w:lang w:val="nl-BE"/>
        </w:rPr>
        <w:t xml:space="preserve">zijn uitgewerkt in de </w:t>
      </w:r>
      <w:hyperlink r:id="rId15" w:history="1">
        <w:r w:rsidRPr="001E069C">
          <w:rPr>
            <w:rStyle w:val="Hyperlink"/>
            <w:rFonts w:cstheme="minorHAnsi"/>
            <w:lang w:val="nl-BE"/>
          </w:rPr>
          <w:t>Activity Level Change verordening</w:t>
        </w:r>
      </w:hyperlink>
      <w:r w:rsidRPr="001E069C">
        <w:rPr>
          <w:rFonts w:cstheme="minorHAnsi"/>
          <w:lang w:val="nl-BE"/>
        </w:rPr>
        <w:t xml:space="preserve"> (of ALC verordening)</w:t>
      </w:r>
      <w:r w:rsidR="008F367F" w:rsidRPr="001E069C">
        <w:rPr>
          <w:rFonts w:cstheme="minorHAnsi"/>
          <w:lang w:val="nl-BE"/>
        </w:rPr>
        <w:t>. De regels van de huidige ALC verordening</w:t>
      </w:r>
      <w:r w:rsidR="006D5A64" w:rsidRPr="001E069C">
        <w:rPr>
          <w:rFonts w:cstheme="minorHAnsi"/>
          <w:lang w:val="nl-BE"/>
        </w:rPr>
        <w:t xml:space="preserve"> worden in de loop van 20</w:t>
      </w:r>
      <w:r w:rsidR="0084038C" w:rsidRPr="001E069C">
        <w:rPr>
          <w:rFonts w:cstheme="minorHAnsi"/>
          <w:lang w:val="nl-BE"/>
        </w:rPr>
        <w:t xml:space="preserve">24-2025 herzien naar aanleiding van de </w:t>
      </w:r>
      <w:r w:rsidR="00B9791E">
        <w:rPr>
          <w:rFonts w:cstheme="minorHAnsi"/>
          <w:lang w:val="nl-BE"/>
        </w:rPr>
        <w:t>herziene</w:t>
      </w:r>
      <w:r w:rsidR="0084038C" w:rsidRPr="001E069C">
        <w:rPr>
          <w:rFonts w:cstheme="minorHAnsi"/>
          <w:lang w:val="nl-BE"/>
        </w:rPr>
        <w:t xml:space="preserve"> FAR. De huidige regels</w:t>
      </w:r>
      <w:r w:rsidR="008F367F" w:rsidRPr="001E069C">
        <w:rPr>
          <w:rFonts w:cstheme="minorHAnsi"/>
          <w:lang w:val="nl-BE"/>
        </w:rPr>
        <w:t xml:space="preserve"> zijn als volgt:</w:t>
      </w:r>
    </w:p>
    <w:p w14:paraId="17E866FA" w14:textId="3F699F46" w:rsidR="00D5046C" w:rsidRPr="001E069C" w:rsidRDefault="00D5046C" w:rsidP="005364F7">
      <w:pPr>
        <w:pStyle w:val="Lijstalinea"/>
        <w:numPr>
          <w:ilvl w:val="0"/>
          <w:numId w:val="24"/>
        </w:numPr>
        <w:jc w:val="both"/>
        <w:rPr>
          <w:rFonts w:cstheme="minorHAnsi"/>
        </w:rPr>
      </w:pPr>
      <w:r w:rsidRPr="001E069C">
        <w:rPr>
          <w:rFonts w:cstheme="minorHAnsi"/>
        </w:rPr>
        <w:t xml:space="preserve">De </w:t>
      </w:r>
      <w:r w:rsidR="003C0757">
        <w:rPr>
          <w:rFonts w:cstheme="minorHAnsi"/>
          <w:lang w:val="nl-BE"/>
        </w:rPr>
        <w:t>kosteloze</w:t>
      </w:r>
      <w:r>
        <w:rPr>
          <w:rFonts w:cstheme="minorHAnsi"/>
          <w:lang w:val="nl-BE"/>
        </w:rPr>
        <w:t xml:space="preserve"> </w:t>
      </w:r>
      <w:r w:rsidRPr="001E069C">
        <w:rPr>
          <w:rFonts w:cstheme="minorHAnsi"/>
        </w:rPr>
        <w:t xml:space="preserve">toewijzing voor een </w:t>
      </w:r>
      <w:proofErr w:type="spellStart"/>
      <w:r w:rsidR="005E6A36">
        <w:rPr>
          <w:rFonts w:cstheme="minorHAnsi"/>
        </w:rPr>
        <w:t>subinstallatie</w:t>
      </w:r>
      <w:proofErr w:type="spellEnd"/>
      <w:r w:rsidRPr="001E069C">
        <w:rPr>
          <w:rFonts w:cstheme="minorHAnsi"/>
        </w:rPr>
        <w:t xml:space="preserve"> wordt aangepast indien het activiteitsniveau met </w:t>
      </w:r>
      <w:r w:rsidRPr="001E069C">
        <w:rPr>
          <w:rFonts w:cstheme="minorHAnsi"/>
          <w:lang w:val="nl-BE"/>
        </w:rPr>
        <w:t>meer dan</w:t>
      </w:r>
      <w:r w:rsidRPr="001E069C">
        <w:rPr>
          <w:rFonts w:cstheme="minorHAnsi"/>
        </w:rPr>
        <w:t xml:space="preserve"> 15% afwijkt van het historische activiteitsniveau. Dit werkt in twee richtingen: in geval van een stijging van </w:t>
      </w:r>
      <w:r w:rsidRPr="001E069C">
        <w:rPr>
          <w:rFonts w:cstheme="minorHAnsi"/>
          <w:lang w:val="nl-BE"/>
        </w:rPr>
        <w:t xml:space="preserve">meer dan </w:t>
      </w:r>
      <w:r w:rsidRPr="001E069C">
        <w:rPr>
          <w:rFonts w:cstheme="minorHAnsi"/>
        </w:rPr>
        <w:t xml:space="preserve">15% t.o.v. het historische activiteitsniveau, </w:t>
      </w:r>
      <w:r w:rsidR="008F367F" w:rsidRPr="001E069C">
        <w:rPr>
          <w:rFonts w:cstheme="minorHAnsi"/>
          <w:lang w:val="nl-BE"/>
        </w:rPr>
        <w:t>wordt</w:t>
      </w:r>
      <w:r w:rsidR="008F367F" w:rsidRPr="001E069C">
        <w:rPr>
          <w:rFonts w:cstheme="minorHAnsi"/>
        </w:rPr>
        <w:t xml:space="preserve"> </w:t>
      </w:r>
      <w:r w:rsidRPr="001E069C">
        <w:rPr>
          <w:rFonts w:cstheme="minorHAnsi"/>
        </w:rPr>
        <w:t xml:space="preserve">de </w:t>
      </w:r>
      <w:r w:rsidR="00892DFA">
        <w:rPr>
          <w:rFonts w:cstheme="minorHAnsi"/>
          <w:lang w:val="nl-BE"/>
        </w:rPr>
        <w:t xml:space="preserve">kosteloze </w:t>
      </w:r>
      <w:r w:rsidRPr="001E069C">
        <w:rPr>
          <w:rFonts w:cstheme="minorHAnsi"/>
        </w:rPr>
        <w:t xml:space="preserve">toewijzing verhoogd, in geval van een daling van </w:t>
      </w:r>
      <w:r w:rsidRPr="001E069C">
        <w:rPr>
          <w:rFonts w:cstheme="minorHAnsi"/>
          <w:lang w:val="nl-BE"/>
        </w:rPr>
        <w:t xml:space="preserve">meer dan </w:t>
      </w:r>
      <w:r w:rsidRPr="001E069C">
        <w:rPr>
          <w:rFonts w:cstheme="minorHAnsi"/>
        </w:rPr>
        <w:t xml:space="preserve">15% wordt de </w:t>
      </w:r>
      <w:r w:rsidR="00892DFA">
        <w:rPr>
          <w:rFonts w:cstheme="minorHAnsi"/>
          <w:lang w:val="nl-BE"/>
        </w:rPr>
        <w:t xml:space="preserve">kosteloze </w:t>
      </w:r>
      <w:r w:rsidRPr="001E069C">
        <w:rPr>
          <w:rFonts w:cstheme="minorHAnsi"/>
        </w:rPr>
        <w:t>toewijzing verlaagd</w:t>
      </w:r>
      <w:r w:rsidR="003D2408" w:rsidRPr="001E069C">
        <w:rPr>
          <w:rFonts w:cstheme="minorHAnsi"/>
          <w:lang w:val="nl-BE"/>
        </w:rPr>
        <w:t xml:space="preserve">. </w:t>
      </w:r>
      <w:r w:rsidRPr="001E069C">
        <w:rPr>
          <w:rFonts w:cstheme="minorHAnsi"/>
        </w:rPr>
        <w:t xml:space="preserve">Om te veel fluctuaties te vermijden, </w:t>
      </w:r>
      <w:r w:rsidR="008F367F" w:rsidRPr="001E069C">
        <w:rPr>
          <w:rFonts w:cstheme="minorHAnsi"/>
          <w:lang w:val="nl-BE"/>
        </w:rPr>
        <w:t>wordt</w:t>
      </w:r>
      <w:r w:rsidR="008F367F" w:rsidRPr="001E069C">
        <w:rPr>
          <w:rFonts w:cstheme="minorHAnsi"/>
        </w:rPr>
        <w:t xml:space="preserve"> </w:t>
      </w:r>
      <w:r w:rsidRPr="001E069C">
        <w:rPr>
          <w:rFonts w:cstheme="minorHAnsi"/>
        </w:rPr>
        <w:t xml:space="preserve">voor de toepassing van </w:t>
      </w:r>
      <w:r w:rsidRPr="001E069C">
        <w:rPr>
          <w:rFonts w:cstheme="minorHAnsi"/>
          <w:lang w:val="nl-BE"/>
        </w:rPr>
        <w:t xml:space="preserve">deze regel </w:t>
      </w:r>
      <w:r w:rsidR="008F367F" w:rsidRPr="001E069C">
        <w:rPr>
          <w:rFonts w:cstheme="minorHAnsi"/>
          <w:lang w:val="nl-BE"/>
        </w:rPr>
        <w:t xml:space="preserve"> gewerkt</w:t>
      </w:r>
      <w:r w:rsidRPr="001E069C">
        <w:rPr>
          <w:rFonts w:cstheme="minorHAnsi"/>
        </w:rPr>
        <w:t xml:space="preserve"> met een rollend tweejaarlijks gemiddelde. In 202</w:t>
      </w:r>
      <w:r w:rsidR="008F367F" w:rsidRPr="001E069C">
        <w:rPr>
          <w:rFonts w:cstheme="minorHAnsi"/>
          <w:lang w:val="nl-BE"/>
        </w:rPr>
        <w:t>6</w:t>
      </w:r>
      <w:r w:rsidRPr="001E069C">
        <w:rPr>
          <w:rFonts w:cstheme="minorHAnsi"/>
        </w:rPr>
        <w:t xml:space="preserve"> wordt dus bekeken of het gemiddelde activiteitsniveau in </w:t>
      </w:r>
      <w:r w:rsidR="008F367F" w:rsidRPr="001E069C">
        <w:rPr>
          <w:rFonts w:cstheme="minorHAnsi"/>
          <w:lang w:val="nl-BE"/>
        </w:rPr>
        <w:t>2024</w:t>
      </w:r>
      <w:r w:rsidRPr="001E069C">
        <w:rPr>
          <w:rFonts w:cstheme="minorHAnsi"/>
        </w:rPr>
        <w:t>-202</w:t>
      </w:r>
      <w:r w:rsidR="008F367F" w:rsidRPr="001E069C">
        <w:rPr>
          <w:rFonts w:cstheme="minorHAnsi"/>
          <w:lang w:val="nl-BE"/>
        </w:rPr>
        <w:t>5</w:t>
      </w:r>
      <w:r w:rsidRPr="001E069C">
        <w:rPr>
          <w:rFonts w:cstheme="minorHAnsi"/>
        </w:rPr>
        <w:t xml:space="preserve"> met meer dan 15% afwijkt van het historische activiteitsniveau (</w:t>
      </w:r>
      <w:r w:rsidR="00631626" w:rsidRPr="001E069C">
        <w:rPr>
          <w:rFonts w:cstheme="minorHAnsi"/>
          <w:lang w:val="nl-BE"/>
        </w:rPr>
        <w:t xml:space="preserve">op basis van de </w:t>
      </w:r>
      <w:proofErr w:type="spellStart"/>
      <w:r w:rsidR="00631626" w:rsidRPr="001E069C">
        <w:rPr>
          <w:rFonts w:cstheme="minorHAnsi"/>
          <w:lang w:val="nl-BE"/>
        </w:rPr>
        <w:t>activiteitsgegevens</w:t>
      </w:r>
      <w:proofErr w:type="spellEnd"/>
      <w:r w:rsidR="00D87999" w:rsidRPr="001E069C">
        <w:rPr>
          <w:rFonts w:cstheme="minorHAnsi"/>
        </w:rPr>
        <w:t xml:space="preserve"> </w:t>
      </w:r>
      <w:r w:rsidR="00D87999" w:rsidRPr="001E069C">
        <w:rPr>
          <w:rFonts w:cstheme="minorHAnsi"/>
          <w:lang w:val="nl-BE"/>
        </w:rPr>
        <w:t>van</w:t>
      </w:r>
      <w:r w:rsidRPr="001E069C">
        <w:rPr>
          <w:rFonts w:cstheme="minorHAnsi"/>
        </w:rPr>
        <w:t xml:space="preserve"> 201</w:t>
      </w:r>
      <w:r w:rsidR="00D87999" w:rsidRPr="001E069C">
        <w:rPr>
          <w:rFonts w:cstheme="minorHAnsi"/>
          <w:lang w:val="nl-BE"/>
        </w:rPr>
        <w:t>9</w:t>
      </w:r>
      <w:r w:rsidRPr="001E069C">
        <w:rPr>
          <w:rFonts w:cstheme="minorHAnsi"/>
        </w:rPr>
        <w:t>-20</w:t>
      </w:r>
      <w:r w:rsidR="00D87999" w:rsidRPr="001E069C">
        <w:rPr>
          <w:rFonts w:cstheme="minorHAnsi"/>
          <w:lang w:val="nl-BE"/>
        </w:rPr>
        <w:t>23</w:t>
      </w:r>
      <w:r w:rsidRPr="001E069C">
        <w:rPr>
          <w:rFonts w:cstheme="minorHAnsi"/>
        </w:rPr>
        <w:t>), in 202</w:t>
      </w:r>
      <w:r w:rsidR="00D87999" w:rsidRPr="001E069C">
        <w:rPr>
          <w:rFonts w:cstheme="minorHAnsi"/>
          <w:lang w:val="nl-BE"/>
        </w:rPr>
        <w:t>7</w:t>
      </w:r>
      <w:r w:rsidRPr="001E069C">
        <w:rPr>
          <w:rFonts w:cstheme="minorHAnsi"/>
        </w:rPr>
        <w:t xml:space="preserve"> </w:t>
      </w:r>
      <w:r w:rsidR="00D87999" w:rsidRPr="001E069C">
        <w:rPr>
          <w:rFonts w:cstheme="minorHAnsi"/>
          <w:lang w:val="nl-BE"/>
        </w:rPr>
        <w:t>wordt</w:t>
      </w:r>
      <w:r w:rsidRPr="001E069C">
        <w:rPr>
          <w:rFonts w:cstheme="minorHAnsi"/>
        </w:rPr>
        <w:t xml:space="preserve"> bekeken of het gemiddelde activiteitsniveau in </w:t>
      </w:r>
      <w:r w:rsidR="00D87999" w:rsidRPr="001E069C">
        <w:rPr>
          <w:rFonts w:cstheme="minorHAnsi"/>
          <w:lang w:val="nl-BE"/>
        </w:rPr>
        <w:t>2025</w:t>
      </w:r>
      <w:r w:rsidRPr="001E069C">
        <w:rPr>
          <w:rFonts w:cstheme="minorHAnsi"/>
        </w:rPr>
        <w:t>-202</w:t>
      </w:r>
      <w:r w:rsidR="00D87999" w:rsidRPr="001E069C">
        <w:rPr>
          <w:rFonts w:cstheme="minorHAnsi"/>
          <w:lang w:val="nl-BE"/>
        </w:rPr>
        <w:t>6</w:t>
      </w:r>
      <w:r w:rsidRPr="001E069C">
        <w:rPr>
          <w:rFonts w:cstheme="minorHAnsi"/>
        </w:rPr>
        <w:t xml:space="preserve"> met meer dan 15% afwijkt van het historische activiteitsniveau, enz</w:t>
      </w:r>
      <w:r w:rsidR="00D02D66">
        <w:rPr>
          <w:rFonts w:cstheme="minorHAnsi"/>
          <w:lang w:val="nl-BE"/>
        </w:rPr>
        <w:t>ovoort</w:t>
      </w:r>
      <w:r w:rsidR="0019642D">
        <w:rPr>
          <w:rFonts w:cstheme="minorHAnsi"/>
          <w:lang w:val="nl-BE"/>
        </w:rPr>
        <w:t>.</w:t>
      </w:r>
      <w:r w:rsidRPr="001E069C">
        <w:rPr>
          <w:rFonts w:cstheme="minorHAnsi"/>
        </w:rPr>
        <w:t xml:space="preserve"> De basis waarmee vergeleken wordt </w:t>
      </w:r>
      <w:r w:rsidR="00631626" w:rsidRPr="001E069C">
        <w:rPr>
          <w:rFonts w:cstheme="minorHAnsi"/>
          <w:lang w:val="nl-BE"/>
        </w:rPr>
        <w:t>is in de periode 2026-</w:t>
      </w:r>
      <w:r w:rsidR="00D87999" w:rsidRPr="001E069C">
        <w:rPr>
          <w:rFonts w:cstheme="minorHAnsi"/>
          <w:lang w:val="nl-BE"/>
        </w:rPr>
        <w:t>2030</w:t>
      </w:r>
      <w:r w:rsidR="00D87999" w:rsidRPr="001E069C">
        <w:rPr>
          <w:rFonts w:cstheme="minorHAnsi"/>
        </w:rPr>
        <w:t xml:space="preserve"> </w:t>
      </w:r>
      <w:r w:rsidRPr="001E069C">
        <w:rPr>
          <w:rFonts w:cstheme="minorHAnsi"/>
        </w:rPr>
        <w:t xml:space="preserve">steeds </w:t>
      </w:r>
      <w:r w:rsidR="00D87999" w:rsidRPr="001E069C">
        <w:rPr>
          <w:rFonts w:cstheme="minorHAnsi"/>
          <w:lang w:val="nl-BE"/>
        </w:rPr>
        <w:t>de mediaan van de</w:t>
      </w:r>
      <w:r w:rsidRPr="001E069C">
        <w:rPr>
          <w:rFonts w:cstheme="minorHAnsi"/>
        </w:rPr>
        <w:t xml:space="preserve"> activiteitsniveau</w:t>
      </w:r>
      <w:r w:rsidR="00F605BE" w:rsidRPr="001E069C">
        <w:rPr>
          <w:rFonts w:cstheme="minorHAnsi"/>
          <w:lang w:val="nl-BE"/>
        </w:rPr>
        <w:t>s</w:t>
      </w:r>
      <w:r w:rsidR="00D87999" w:rsidRPr="001E069C">
        <w:rPr>
          <w:rFonts w:cstheme="minorHAnsi"/>
          <w:lang w:val="nl-BE"/>
        </w:rPr>
        <w:t xml:space="preserve"> van</w:t>
      </w:r>
      <w:r w:rsidRPr="001E069C">
        <w:rPr>
          <w:rFonts w:cstheme="minorHAnsi"/>
        </w:rPr>
        <w:t xml:space="preserve"> </w:t>
      </w:r>
      <w:r w:rsidR="00D87999" w:rsidRPr="001E069C">
        <w:rPr>
          <w:rFonts w:cstheme="minorHAnsi"/>
          <w:lang w:val="nl-BE"/>
        </w:rPr>
        <w:t>2019</w:t>
      </w:r>
      <w:r w:rsidRPr="001E069C">
        <w:rPr>
          <w:rFonts w:cstheme="minorHAnsi"/>
        </w:rPr>
        <w:t>-20</w:t>
      </w:r>
      <w:r w:rsidR="00D87999" w:rsidRPr="001E069C">
        <w:rPr>
          <w:rFonts w:cstheme="minorHAnsi"/>
          <w:lang w:val="nl-BE"/>
        </w:rPr>
        <w:t>23</w:t>
      </w:r>
      <w:r w:rsidRPr="001E069C">
        <w:rPr>
          <w:rFonts w:cstheme="minorHAnsi"/>
        </w:rPr>
        <w:t>;</w:t>
      </w:r>
    </w:p>
    <w:p w14:paraId="49C35358" w14:textId="3449D5F3" w:rsidR="00D5046C" w:rsidRPr="001E069C" w:rsidRDefault="00D5046C" w:rsidP="005364F7">
      <w:pPr>
        <w:pStyle w:val="Lijstalinea"/>
        <w:numPr>
          <w:ilvl w:val="0"/>
          <w:numId w:val="24"/>
        </w:numPr>
        <w:jc w:val="both"/>
        <w:rPr>
          <w:rFonts w:cstheme="minorHAnsi"/>
        </w:rPr>
      </w:pPr>
      <w:r w:rsidRPr="001E069C">
        <w:rPr>
          <w:rFonts w:cstheme="minorHAnsi"/>
          <w:lang w:val="nl-BE"/>
        </w:rPr>
        <w:t xml:space="preserve">Ook in geval van bepaalde wijzigingen in de installatie (bv. wijzigingen in de oorsprong van warmte, meer of minder </w:t>
      </w:r>
      <w:proofErr w:type="spellStart"/>
      <w:r w:rsidRPr="001E069C">
        <w:rPr>
          <w:rFonts w:cstheme="minorHAnsi"/>
          <w:lang w:val="nl-BE"/>
        </w:rPr>
        <w:t>affakkeling</w:t>
      </w:r>
      <w:proofErr w:type="spellEnd"/>
      <w:r w:rsidRPr="001E069C">
        <w:rPr>
          <w:rFonts w:cstheme="minorHAnsi"/>
          <w:lang w:val="nl-BE"/>
        </w:rPr>
        <w:t xml:space="preserve"> van afgassen voor andere redenen dan veiligheidsredenen, …) </w:t>
      </w:r>
      <w:r w:rsidR="00D87999" w:rsidRPr="001E069C">
        <w:rPr>
          <w:rFonts w:cstheme="minorHAnsi"/>
          <w:lang w:val="nl-BE"/>
        </w:rPr>
        <w:t xml:space="preserve">wordt </w:t>
      </w:r>
      <w:r w:rsidRPr="001E069C">
        <w:rPr>
          <w:rFonts w:cstheme="minorHAnsi"/>
          <w:lang w:val="nl-BE"/>
        </w:rPr>
        <w:t xml:space="preserve">de </w:t>
      </w:r>
      <w:r w:rsidR="00A558FD">
        <w:rPr>
          <w:rFonts w:cstheme="minorHAnsi"/>
          <w:lang w:val="nl-BE"/>
        </w:rPr>
        <w:t xml:space="preserve">kosteloze </w:t>
      </w:r>
      <w:r w:rsidRPr="001E069C">
        <w:rPr>
          <w:rFonts w:cstheme="minorHAnsi"/>
          <w:lang w:val="nl-BE"/>
        </w:rPr>
        <w:t>toewijzing aangepast</w:t>
      </w:r>
      <w:r w:rsidR="00A558FD">
        <w:rPr>
          <w:rFonts w:cstheme="minorHAnsi"/>
          <w:lang w:val="nl-BE"/>
        </w:rPr>
        <w:t>.</w:t>
      </w:r>
    </w:p>
    <w:p w14:paraId="65613E98" w14:textId="20856964" w:rsidR="00D5046C" w:rsidRPr="001E069C" w:rsidRDefault="003D2408" w:rsidP="00D87999">
      <w:pPr>
        <w:jc w:val="both"/>
        <w:rPr>
          <w:rFonts w:cstheme="minorHAnsi"/>
          <w:lang w:val="nl-BE"/>
        </w:rPr>
      </w:pPr>
      <w:r w:rsidRPr="001E069C">
        <w:rPr>
          <w:rFonts w:cstheme="minorHAnsi"/>
          <w:lang w:val="nl-BE"/>
        </w:rPr>
        <w:t xml:space="preserve">Om bovenstaande regels te kunnen implementeren, </w:t>
      </w:r>
      <w:r w:rsidR="00436BD5" w:rsidRPr="001E069C">
        <w:rPr>
          <w:rFonts w:cstheme="minorHAnsi"/>
          <w:lang w:val="nl-BE"/>
        </w:rPr>
        <w:t>moeten</w:t>
      </w:r>
      <w:r w:rsidR="00D87999" w:rsidRPr="001E069C">
        <w:rPr>
          <w:rFonts w:cstheme="minorHAnsi"/>
          <w:lang w:val="nl-BE"/>
        </w:rPr>
        <w:t xml:space="preserve"> </w:t>
      </w:r>
      <w:r w:rsidR="00D5046C" w:rsidRPr="001E069C">
        <w:rPr>
          <w:rFonts w:cstheme="minorHAnsi"/>
          <w:lang w:val="nl-BE"/>
        </w:rPr>
        <w:t xml:space="preserve">bepaalde gegevens </w:t>
      </w:r>
      <w:r w:rsidR="00D5046C" w:rsidRPr="001E069C">
        <w:rPr>
          <w:rFonts w:cstheme="minorHAnsi"/>
        </w:rPr>
        <w:t>jaarlijks gemonitord, gerapporteerd en geverifieerd</w:t>
      </w:r>
      <w:r w:rsidRPr="001E069C">
        <w:rPr>
          <w:rFonts w:cstheme="minorHAnsi"/>
          <w:lang w:val="nl-BE"/>
        </w:rPr>
        <w:t xml:space="preserve"> </w:t>
      </w:r>
      <w:r w:rsidR="00436BD5" w:rsidRPr="001E069C">
        <w:rPr>
          <w:rFonts w:cstheme="minorHAnsi"/>
          <w:lang w:val="nl-BE"/>
        </w:rPr>
        <w:t>worden</w:t>
      </w:r>
      <w:r w:rsidR="00D5046C" w:rsidRPr="001E069C">
        <w:rPr>
          <w:rFonts w:cstheme="minorHAnsi"/>
          <w:lang w:val="nl-BE"/>
        </w:rPr>
        <w:t>, waaronder het activiteitsniveau</w:t>
      </w:r>
      <w:r w:rsidR="00C421D1">
        <w:rPr>
          <w:rFonts w:cstheme="minorHAnsi"/>
          <w:lang w:val="nl-BE"/>
        </w:rPr>
        <w:t xml:space="preserve"> en emissies</w:t>
      </w:r>
      <w:r w:rsidR="00D5046C" w:rsidRPr="001E069C">
        <w:rPr>
          <w:rFonts w:cstheme="minorHAnsi"/>
          <w:lang w:val="nl-BE"/>
        </w:rPr>
        <w:t xml:space="preserve"> per </w:t>
      </w:r>
      <w:proofErr w:type="spellStart"/>
      <w:r w:rsidR="005E6A36">
        <w:rPr>
          <w:rFonts w:cstheme="minorHAnsi"/>
          <w:lang w:val="nl-BE"/>
        </w:rPr>
        <w:t>subinstallatie</w:t>
      </w:r>
      <w:proofErr w:type="spellEnd"/>
      <w:r w:rsidR="00D5046C" w:rsidRPr="001E069C">
        <w:rPr>
          <w:rFonts w:cstheme="minorHAnsi"/>
          <w:lang w:val="nl-BE"/>
        </w:rPr>
        <w:t xml:space="preserve">, de warmtebalans, </w:t>
      </w:r>
      <w:r w:rsidR="00D02D66">
        <w:rPr>
          <w:rFonts w:cstheme="minorHAnsi"/>
          <w:lang w:val="nl-BE"/>
        </w:rPr>
        <w:t>enzovoort</w:t>
      </w:r>
      <w:r w:rsidR="0019642D">
        <w:rPr>
          <w:rFonts w:cstheme="minorHAnsi"/>
          <w:lang w:val="nl-BE"/>
        </w:rPr>
        <w:t xml:space="preserve">. </w:t>
      </w:r>
      <w:r w:rsidR="00D5046C" w:rsidRPr="001E069C">
        <w:rPr>
          <w:rFonts w:cstheme="minorHAnsi"/>
        </w:rPr>
        <w:t xml:space="preserve"> </w:t>
      </w:r>
      <w:r w:rsidR="00D87999" w:rsidRPr="001E069C">
        <w:rPr>
          <w:rFonts w:cstheme="minorHAnsi"/>
          <w:lang w:val="nl-BE"/>
        </w:rPr>
        <w:t xml:space="preserve">Dit gebeurt </w:t>
      </w:r>
      <w:r w:rsidR="0019642D">
        <w:rPr>
          <w:rFonts w:cstheme="minorHAnsi"/>
          <w:lang w:val="nl-BE"/>
        </w:rPr>
        <w:t>op basis</w:t>
      </w:r>
      <w:r w:rsidR="00D87999" w:rsidRPr="001E069C">
        <w:rPr>
          <w:rFonts w:cstheme="minorHAnsi"/>
          <w:lang w:val="nl-BE"/>
        </w:rPr>
        <w:t xml:space="preserve"> van de jaarlijkse rapportering van activiteitsniveau</w:t>
      </w:r>
      <w:r w:rsidR="004C1A0B" w:rsidRPr="001E069C">
        <w:rPr>
          <w:rFonts w:cstheme="minorHAnsi"/>
          <w:lang w:val="nl-BE"/>
        </w:rPr>
        <w:t>s</w:t>
      </w:r>
      <w:r w:rsidR="00D87999" w:rsidRPr="001E069C">
        <w:rPr>
          <w:rFonts w:cstheme="minorHAnsi"/>
          <w:lang w:val="nl-BE"/>
        </w:rPr>
        <w:t xml:space="preserve"> in het ALC-rapport.</w:t>
      </w:r>
    </w:p>
    <w:p w14:paraId="5EAB2F13" w14:textId="13EE23CC" w:rsidR="00D5046C" w:rsidRPr="001E069C" w:rsidRDefault="00D5046C" w:rsidP="005364F7">
      <w:pPr>
        <w:jc w:val="both"/>
        <w:rPr>
          <w:rFonts w:cstheme="minorHAnsi"/>
          <w:lang w:val="nl-BE"/>
        </w:rPr>
      </w:pPr>
      <w:r w:rsidRPr="001E069C">
        <w:rPr>
          <w:rFonts w:cstheme="minorHAnsi"/>
        </w:rPr>
        <w:t xml:space="preserve">Het </w:t>
      </w:r>
      <w:r w:rsidR="00D87999" w:rsidRPr="001E069C">
        <w:rPr>
          <w:rFonts w:cstheme="minorHAnsi"/>
          <w:lang w:val="nl-BE"/>
        </w:rPr>
        <w:t xml:space="preserve">nieuwe </w:t>
      </w:r>
      <w:r w:rsidRPr="001E069C">
        <w:rPr>
          <w:rFonts w:cstheme="minorHAnsi"/>
        </w:rPr>
        <w:t>MMP</w:t>
      </w:r>
      <w:r w:rsidR="00D87999" w:rsidRPr="001E069C">
        <w:rPr>
          <w:rFonts w:cstheme="minorHAnsi"/>
          <w:lang w:val="nl-BE"/>
        </w:rPr>
        <w:t>26-30</w:t>
      </w:r>
      <w:r w:rsidRPr="001E069C">
        <w:rPr>
          <w:rFonts w:cstheme="minorHAnsi"/>
        </w:rPr>
        <w:t xml:space="preserve"> moet beschrijven hoe de</w:t>
      </w:r>
      <w:r w:rsidRPr="001E069C">
        <w:rPr>
          <w:rFonts w:cstheme="minorHAnsi"/>
          <w:lang w:val="nl-BE"/>
        </w:rPr>
        <w:t>ze</w:t>
      </w:r>
      <w:r w:rsidRPr="001E069C">
        <w:rPr>
          <w:rFonts w:cstheme="minorHAnsi"/>
        </w:rPr>
        <w:t xml:space="preserve"> </w:t>
      </w:r>
      <w:r w:rsidRPr="001E069C">
        <w:rPr>
          <w:rFonts w:cstheme="minorHAnsi"/>
          <w:lang w:val="nl-BE"/>
        </w:rPr>
        <w:t>gegevens</w:t>
      </w:r>
      <w:r w:rsidRPr="001E069C">
        <w:rPr>
          <w:rFonts w:cstheme="minorHAnsi"/>
        </w:rPr>
        <w:t xml:space="preserve"> zullen gemonitord worden in de periode 20</w:t>
      </w:r>
      <w:r w:rsidR="00D87999" w:rsidRPr="001E069C">
        <w:rPr>
          <w:rFonts w:cstheme="minorHAnsi"/>
          <w:lang w:val="nl-BE"/>
        </w:rPr>
        <w:t>26</w:t>
      </w:r>
      <w:r w:rsidRPr="001E069C">
        <w:rPr>
          <w:rFonts w:cstheme="minorHAnsi"/>
        </w:rPr>
        <w:t>-20</w:t>
      </w:r>
      <w:r w:rsidR="00D87999" w:rsidRPr="001E069C">
        <w:rPr>
          <w:rFonts w:cstheme="minorHAnsi"/>
          <w:lang w:val="nl-BE"/>
        </w:rPr>
        <w:t>30</w:t>
      </w:r>
      <w:r w:rsidRPr="001E069C">
        <w:rPr>
          <w:rFonts w:cstheme="minorHAnsi"/>
        </w:rPr>
        <w:t>.</w:t>
      </w:r>
      <w:r w:rsidRPr="001E069C">
        <w:rPr>
          <w:rFonts w:cstheme="minorHAnsi"/>
          <w:lang w:val="nl-BE"/>
        </w:rPr>
        <w:t xml:space="preserve"> </w:t>
      </w:r>
    </w:p>
    <w:p w14:paraId="0A7A4103" w14:textId="77777777" w:rsidR="00D5046C" w:rsidRPr="001E069C" w:rsidRDefault="00D5046C" w:rsidP="005364F7">
      <w:pPr>
        <w:autoSpaceDE w:val="0"/>
        <w:autoSpaceDN w:val="0"/>
        <w:adjustRightInd w:val="0"/>
        <w:spacing w:after="0" w:line="240" w:lineRule="auto"/>
        <w:jc w:val="both"/>
        <w:rPr>
          <w:rFonts w:cstheme="minorHAnsi"/>
          <w:color w:val="1C1A15"/>
        </w:rPr>
      </w:pPr>
    </w:p>
    <w:p w14:paraId="71DE061F" w14:textId="6D9DB9B0" w:rsidR="00B1207E" w:rsidRPr="001E069C" w:rsidRDefault="00B1207E" w:rsidP="005364F7">
      <w:pPr>
        <w:autoSpaceDE w:val="0"/>
        <w:autoSpaceDN w:val="0"/>
        <w:adjustRightInd w:val="0"/>
        <w:spacing w:after="0" w:line="240" w:lineRule="auto"/>
        <w:jc w:val="both"/>
        <w:rPr>
          <w:rFonts w:cstheme="minorHAnsi"/>
          <w:color w:val="1C1A15"/>
          <w:lang w:val="nl-BE"/>
        </w:rPr>
      </w:pPr>
    </w:p>
    <w:p w14:paraId="42BB2F1F" w14:textId="77777777" w:rsidR="00EE3A4C" w:rsidRPr="001E069C" w:rsidRDefault="00EE3A4C">
      <w:pPr>
        <w:rPr>
          <w:rFonts w:eastAsiaTheme="majorEastAsia" w:cstheme="minorHAnsi"/>
          <w:color w:val="2F5496" w:themeColor="accent1" w:themeShade="BF"/>
          <w:lang w:val="nl-BE"/>
        </w:rPr>
      </w:pPr>
      <w:r>
        <w:rPr>
          <w:lang w:val="nl-BE"/>
        </w:rPr>
        <w:br w:type="page"/>
      </w:r>
    </w:p>
    <w:p w14:paraId="5A4A802F" w14:textId="2CB93CF0" w:rsidR="00B113E6" w:rsidRPr="005364F7" w:rsidRDefault="00B113E6" w:rsidP="001E069C">
      <w:pPr>
        <w:pStyle w:val="Kop1"/>
        <w:numPr>
          <w:ilvl w:val="0"/>
          <w:numId w:val="35"/>
        </w:numPr>
        <w:rPr>
          <w:lang w:val="nl-BE"/>
        </w:rPr>
      </w:pPr>
      <w:bookmarkStart w:id="2" w:name="_Toc160465590"/>
      <w:r w:rsidRPr="005364F7">
        <w:rPr>
          <w:lang w:val="nl-BE"/>
        </w:rPr>
        <w:lastRenderedPageBreak/>
        <w:t xml:space="preserve">Wat </w:t>
      </w:r>
      <w:r w:rsidR="00A41F03">
        <w:rPr>
          <w:lang w:val="nl-BE"/>
        </w:rPr>
        <w:t>zijn de belangrijkste verschillen</w:t>
      </w:r>
      <w:r w:rsidRPr="005364F7">
        <w:rPr>
          <w:lang w:val="nl-BE"/>
        </w:rPr>
        <w:t xml:space="preserve"> t.o.v. het MMP</w:t>
      </w:r>
      <w:r w:rsidR="00D87999">
        <w:rPr>
          <w:lang w:val="nl-BE"/>
        </w:rPr>
        <w:t>21-25</w:t>
      </w:r>
      <w:r w:rsidRPr="005364F7">
        <w:rPr>
          <w:lang w:val="nl-BE"/>
        </w:rPr>
        <w:t>?</w:t>
      </w:r>
      <w:bookmarkEnd w:id="2"/>
    </w:p>
    <w:p w14:paraId="21C29030" w14:textId="77777777" w:rsidR="00DA3A9F" w:rsidRDefault="00DA3A9F" w:rsidP="005364F7">
      <w:pPr>
        <w:autoSpaceDE w:val="0"/>
        <w:autoSpaceDN w:val="0"/>
        <w:adjustRightInd w:val="0"/>
        <w:spacing w:after="0" w:line="240" w:lineRule="auto"/>
        <w:jc w:val="both"/>
        <w:rPr>
          <w:rFonts w:ascii="Arial" w:hAnsi="Arial" w:cs="Arial"/>
          <w:lang w:val="nl-BE"/>
        </w:rPr>
      </w:pPr>
    </w:p>
    <w:p w14:paraId="27576BEC" w14:textId="3C014C46" w:rsidR="008B5394" w:rsidRDefault="003C0016" w:rsidP="008B5394">
      <w:pPr>
        <w:pStyle w:val="Kop2"/>
        <w:numPr>
          <w:ilvl w:val="1"/>
          <w:numId w:val="35"/>
        </w:numPr>
        <w:rPr>
          <w:lang w:val="nl-BE"/>
        </w:rPr>
      </w:pPr>
      <w:bookmarkStart w:id="3" w:name="_Toc160465591"/>
      <w:r>
        <w:rPr>
          <w:lang w:val="nl-BE"/>
        </w:rPr>
        <w:t>Energie-</w:t>
      </w:r>
      <w:proofErr w:type="spellStart"/>
      <w:r>
        <w:rPr>
          <w:lang w:val="nl-BE"/>
        </w:rPr>
        <w:t>efficiëntieconditionaliteit</w:t>
      </w:r>
      <w:bookmarkEnd w:id="3"/>
      <w:proofErr w:type="spellEnd"/>
    </w:p>
    <w:p w14:paraId="3F3CDD6A" w14:textId="6115CC97" w:rsidR="00EA7BDA" w:rsidRDefault="006358A3" w:rsidP="001E069C">
      <w:pPr>
        <w:rPr>
          <w:lang w:val="nl-BE"/>
        </w:rPr>
      </w:pPr>
      <w:r>
        <w:rPr>
          <w:lang w:val="nl-BE"/>
        </w:rPr>
        <w:t>H</w:t>
      </w:r>
      <w:r w:rsidR="003C0016">
        <w:rPr>
          <w:lang w:val="nl-BE"/>
        </w:rPr>
        <w:t xml:space="preserve">et nieuwe artikel 22bis van de </w:t>
      </w:r>
      <w:r w:rsidR="00AA759C">
        <w:rPr>
          <w:lang w:val="nl-BE"/>
        </w:rPr>
        <w:t xml:space="preserve">herziene </w:t>
      </w:r>
      <w:r w:rsidR="003C0016">
        <w:rPr>
          <w:lang w:val="nl-BE"/>
        </w:rPr>
        <w:t xml:space="preserve">FAR, </w:t>
      </w:r>
      <w:r>
        <w:rPr>
          <w:lang w:val="nl-BE"/>
        </w:rPr>
        <w:t xml:space="preserve">voegt </w:t>
      </w:r>
      <w:r w:rsidR="00D8676B">
        <w:rPr>
          <w:lang w:val="nl-BE"/>
        </w:rPr>
        <w:t xml:space="preserve"> </w:t>
      </w:r>
      <w:r w:rsidR="003C0016">
        <w:rPr>
          <w:lang w:val="nl-BE"/>
        </w:rPr>
        <w:t>een</w:t>
      </w:r>
      <w:r w:rsidR="00D8676B">
        <w:rPr>
          <w:lang w:val="nl-BE"/>
        </w:rPr>
        <w:t xml:space="preserve"> voorwaarde</w:t>
      </w:r>
      <w:r w:rsidR="003C0016">
        <w:rPr>
          <w:lang w:val="nl-BE"/>
        </w:rPr>
        <w:t xml:space="preserve"> toe</w:t>
      </w:r>
      <w:r w:rsidR="00D8676B">
        <w:rPr>
          <w:lang w:val="nl-BE"/>
        </w:rPr>
        <w:t xml:space="preserve"> voor het verkrijgen van een volledige kosteloze </w:t>
      </w:r>
      <w:r w:rsidR="003C0016">
        <w:rPr>
          <w:lang w:val="nl-BE"/>
        </w:rPr>
        <w:t>toewijzing.</w:t>
      </w:r>
    </w:p>
    <w:p w14:paraId="6EDB9131" w14:textId="1ACB6496" w:rsidR="00EA7BDA" w:rsidRPr="001E069C" w:rsidRDefault="00EA7BDA" w:rsidP="00EA7BDA">
      <w:pPr>
        <w:rPr>
          <w:rFonts w:cstheme="minorHAnsi"/>
          <w:color w:val="222222"/>
          <w:shd w:val="clear" w:color="auto" w:fill="FFFFFF"/>
          <w:lang w:val="nl-BE"/>
        </w:rPr>
      </w:pPr>
      <w:r w:rsidRPr="001E069C">
        <w:rPr>
          <w:rFonts w:cstheme="minorHAnsi"/>
          <w:color w:val="222222"/>
          <w:shd w:val="clear" w:color="auto" w:fill="FFFFFF"/>
        </w:rPr>
        <w:t>De energie-</w:t>
      </w:r>
      <w:proofErr w:type="spellStart"/>
      <w:r w:rsidRPr="001E069C">
        <w:rPr>
          <w:rFonts w:cstheme="minorHAnsi"/>
          <w:color w:val="222222"/>
          <w:shd w:val="clear" w:color="auto" w:fill="FFFFFF"/>
        </w:rPr>
        <w:t>efficiëntieconditionaliteit</w:t>
      </w:r>
      <w:proofErr w:type="spellEnd"/>
      <w:r w:rsidRPr="001E069C">
        <w:rPr>
          <w:rFonts w:cstheme="minorHAnsi"/>
          <w:color w:val="222222"/>
          <w:shd w:val="clear" w:color="auto" w:fill="FFFFFF"/>
        </w:rPr>
        <w:t xml:space="preserve"> </w:t>
      </w:r>
      <w:r w:rsidRPr="001E069C">
        <w:rPr>
          <w:rFonts w:cstheme="minorHAnsi"/>
          <w:color w:val="222222"/>
          <w:shd w:val="clear" w:color="auto" w:fill="FFFFFF"/>
          <w:lang w:val="nl-BE"/>
        </w:rPr>
        <w:t xml:space="preserve">heeft </w:t>
      </w:r>
      <w:r w:rsidR="00276089">
        <w:rPr>
          <w:rFonts w:cstheme="minorHAnsi"/>
          <w:color w:val="222222"/>
          <w:shd w:val="clear" w:color="auto" w:fill="FFFFFF"/>
          <w:lang w:val="nl-BE"/>
        </w:rPr>
        <w:t xml:space="preserve">een </w:t>
      </w:r>
      <w:r w:rsidRPr="001E069C">
        <w:rPr>
          <w:rFonts w:cstheme="minorHAnsi"/>
          <w:color w:val="222222"/>
          <w:shd w:val="clear" w:color="auto" w:fill="FFFFFF"/>
          <w:lang w:val="nl-BE"/>
        </w:rPr>
        <w:t>impact</w:t>
      </w:r>
      <w:r w:rsidRPr="001E069C">
        <w:rPr>
          <w:rFonts w:cstheme="minorHAnsi"/>
          <w:color w:val="222222"/>
          <w:shd w:val="clear" w:color="auto" w:fill="FFFFFF"/>
        </w:rPr>
        <w:t xml:space="preserve"> op de kosteloze toewijzing vanaf het ALC-rapport van 2026. In dit rapport </w:t>
      </w:r>
      <w:r w:rsidRPr="001E069C">
        <w:rPr>
          <w:rFonts w:cstheme="minorHAnsi"/>
          <w:color w:val="222222"/>
          <w:shd w:val="clear" w:color="auto" w:fill="FFFFFF"/>
          <w:lang w:val="nl-BE"/>
        </w:rPr>
        <w:t>wordt nagegaan</w:t>
      </w:r>
      <w:r w:rsidRPr="001E069C">
        <w:rPr>
          <w:rFonts w:cstheme="minorHAnsi"/>
          <w:color w:val="222222"/>
          <w:shd w:val="clear" w:color="auto" w:fill="FFFFFF"/>
        </w:rPr>
        <w:t xml:space="preserve"> of alle energie-efficiëntiemaatregelen</w:t>
      </w:r>
      <w:r w:rsidR="001F5CF4">
        <w:rPr>
          <w:rFonts w:cstheme="minorHAnsi"/>
          <w:color w:val="222222"/>
          <w:shd w:val="clear" w:color="auto" w:fill="FFFFFF"/>
          <w:lang w:val="nl-BE"/>
        </w:rPr>
        <w:t xml:space="preserve"> uit een energieaudit in de periode 2019-2022</w:t>
      </w:r>
      <w:r w:rsidRPr="001E069C">
        <w:rPr>
          <w:rFonts w:cstheme="minorHAnsi"/>
          <w:color w:val="222222"/>
          <w:shd w:val="clear" w:color="auto" w:fill="FFFFFF"/>
        </w:rPr>
        <w:t xml:space="preserve"> met een terugverdientijd tot 3 jaar reeds uitgevoerd zijn. </w:t>
      </w:r>
      <w:r w:rsidRPr="001E069C">
        <w:rPr>
          <w:rFonts w:cstheme="minorHAnsi"/>
          <w:color w:val="222222"/>
          <w:shd w:val="clear" w:color="auto" w:fill="FFFFFF"/>
          <w:lang w:val="nl-BE"/>
        </w:rPr>
        <w:t>In principe is er dus tijd tot de verificatie van het ALC-rapport van 2026</w:t>
      </w:r>
      <w:r w:rsidRPr="001E069C">
        <w:rPr>
          <w:rFonts w:cstheme="minorHAnsi"/>
          <w:color w:val="222222"/>
          <w:shd w:val="clear" w:color="auto" w:fill="FFFFFF"/>
        </w:rPr>
        <w:t xml:space="preserve"> om alle relevante maatregelen uit te voeren. Indien dit niet het geval is, zal dit leiden tot een </w:t>
      </w:r>
      <w:r w:rsidRPr="001E069C">
        <w:rPr>
          <w:rFonts w:cstheme="minorHAnsi"/>
          <w:color w:val="222222"/>
          <w:shd w:val="clear" w:color="auto" w:fill="FFFFFF"/>
          <w:lang w:val="nl-BE"/>
        </w:rPr>
        <w:t xml:space="preserve">effectieve </w:t>
      </w:r>
      <w:r w:rsidRPr="001E069C">
        <w:rPr>
          <w:rFonts w:cstheme="minorHAnsi"/>
          <w:color w:val="222222"/>
          <w:shd w:val="clear" w:color="auto" w:fill="FFFFFF"/>
        </w:rPr>
        <w:t xml:space="preserve">reductie van de kosteloze toewijzing van 20%. De </w:t>
      </w:r>
      <w:r w:rsidR="00AA759C">
        <w:rPr>
          <w:rFonts w:cstheme="minorHAnsi"/>
          <w:color w:val="222222"/>
          <w:shd w:val="clear" w:color="auto" w:fill="FFFFFF"/>
          <w:lang w:val="nl-BE"/>
        </w:rPr>
        <w:t>herziene</w:t>
      </w:r>
      <w:r>
        <w:rPr>
          <w:rFonts w:cstheme="minorHAnsi"/>
          <w:color w:val="222222"/>
          <w:shd w:val="clear" w:color="auto" w:fill="FFFFFF"/>
          <w:lang w:val="nl-BE"/>
        </w:rPr>
        <w:t xml:space="preserve"> </w:t>
      </w:r>
      <w:r w:rsidRPr="001E069C">
        <w:rPr>
          <w:rFonts w:cstheme="minorHAnsi"/>
          <w:color w:val="222222"/>
          <w:shd w:val="clear" w:color="auto" w:fill="FFFFFF"/>
        </w:rPr>
        <w:t xml:space="preserve">FAR </w:t>
      </w:r>
      <w:r w:rsidRPr="001E069C">
        <w:rPr>
          <w:rFonts w:cstheme="minorHAnsi"/>
          <w:color w:val="222222"/>
          <w:shd w:val="clear" w:color="auto" w:fill="FFFFFF"/>
          <w:lang w:val="nl-BE"/>
        </w:rPr>
        <w:t>houdt</w:t>
      </w:r>
      <w:r w:rsidRPr="001E069C">
        <w:rPr>
          <w:rFonts w:cstheme="minorHAnsi"/>
          <w:color w:val="222222"/>
          <w:shd w:val="clear" w:color="auto" w:fill="FFFFFF"/>
        </w:rPr>
        <w:t xml:space="preserve"> in deze ook rekening met het concept van disproportionele kosten (a.d.h.v. bepaalde drempels) en </w:t>
      </w:r>
      <w:r w:rsidRPr="001E069C">
        <w:rPr>
          <w:rFonts w:cstheme="minorHAnsi"/>
          <w:color w:val="222222"/>
          <w:shd w:val="clear" w:color="auto" w:fill="FFFFFF"/>
          <w:lang w:val="nl-BE"/>
        </w:rPr>
        <w:t>biedt</w:t>
      </w:r>
      <w:r w:rsidRPr="001E069C">
        <w:rPr>
          <w:rFonts w:cstheme="minorHAnsi"/>
          <w:color w:val="222222"/>
          <w:shd w:val="clear" w:color="auto" w:fill="FFFFFF"/>
        </w:rPr>
        <w:t xml:space="preserve"> eveneens de mogelijkheid voor uitvoering van “equivalente” maatregelen, namelijk maatregelen die leiden tot een equivalente reductie van broeikasgasemissies.</w:t>
      </w:r>
      <w:r w:rsidRPr="001E069C">
        <w:rPr>
          <w:rFonts w:cstheme="minorHAnsi"/>
          <w:color w:val="222222"/>
          <w:shd w:val="clear" w:color="auto" w:fill="FFFFFF"/>
          <w:lang w:val="nl-BE"/>
        </w:rPr>
        <w:t xml:space="preserve"> </w:t>
      </w:r>
    </w:p>
    <w:p w14:paraId="58C9C990" w14:textId="2FB0DC94" w:rsidR="00EA7BDA" w:rsidRPr="001E069C" w:rsidRDefault="00EA7BDA" w:rsidP="00EA7BDA">
      <w:pPr>
        <w:rPr>
          <w:rFonts w:cstheme="minorHAnsi"/>
          <w:color w:val="222222"/>
          <w:shd w:val="clear" w:color="auto" w:fill="FFFFFF"/>
          <w:lang w:val="nl-BE"/>
        </w:rPr>
      </w:pPr>
      <w:r w:rsidRPr="001E069C">
        <w:rPr>
          <w:rFonts w:cstheme="minorHAnsi"/>
          <w:color w:val="222222"/>
          <w:shd w:val="clear" w:color="auto" w:fill="FFFFFF"/>
          <w:lang w:val="nl-BE"/>
        </w:rPr>
        <w:t xml:space="preserve">Een volledige Vlaamse </w:t>
      </w:r>
      <w:r w:rsidR="00F06484">
        <w:rPr>
          <w:rFonts w:cstheme="minorHAnsi"/>
          <w:color w:val="222222"/>
          <w:shd w:val="clear" w:color="auto" w:fill="FFFFFF"/>
          <w:lang w:val="nl-BE"/>
        </w:rPr>
        <w:t>toelichting</w:t>
      </w:r>
      <w:r w:rsidRPr="001E069C">
        <w:rPr>
          <w:rFonts w:cstheme="minorHAnsi"/>
          <w:color w:val="222222"/>
          <w:shd w:val="clear" w:color="auto" w:fill="FFFFFF"/>
          <w:lang w:val="nl-BE"/>
        </w:rPr>
        <w:t xml:space="preserve"> rond de energie-</w:t>
      </w:r>
      <w:proofErr w:type="spellStart"/>
      <w:r w:rsidRPr="001E069C">
        <w:rPr>
          <w:rFonts w:cstheme="minorHAnsi"/>
          <w:color w:val="222222"/>
          <w:shd w:val="clear" w:color="auto" w:fill="FFFFFF"/>
          <w:lang w:val="nl-BE"/>
        </w:rPr>
        <w:t>efficiëntieconditionaliteit</w:t>
      </w:r>
      <w:proofErr w:type="spellEnd"/>
      <w:r w:rsidRPr="001E069C">
        <w:rPr>
          <w:rFonts w:cstheme="minorHAnsi"/>
          <w:color w:val="222222"/>
          <w:shd w:val="clear" w:color="auto" w:fill="FFFFFF"/>
          <w:lang w:val="nl-BE"/>
        </w:rPr>
        <w:t xml:space="preserve"> </w:t>
      </w:r>
      <w:r w:rsidR="008A16A4">
        <w:rPr>
          <w:rFonts w:cstheme="minorHAnsi"/>
          <w:color w:val="222222"/>
          <w:shd w:val="clear" w:color="auto" w:fill="FFFFFF"/>
          <w:lang w:val="nl-BE"/>
        </w:rPr>
        <w:t xml:space="preserve">is beschikbaar op de website van het VEKA op de pagina </w:t>
      </w:r>
      <w:hyperlink r:id="rId16" w:history="1">
        <w:r w:rsidR="008A16A4" w:rsidRPr="008A16A4">
          <w:rPr>
            <w:rStyle w:val="Hyperlink"/>
            <w:rFonts w:cstheme="minorHAnsi"/>
            <w:shd w:val="clear" w:color="auto" w:fill="FFFFFF"/>
            <w:lang w:val="nl-BE"/>
          </w:rPr>
          <w:t>ETS-verplichtingen voor vaste installaties</w:t>
        </w:r>
      </w:hyperlink>
      <w:r w:rsidR="008A16A4">
        <w:rPr>
          <w:rFonts w:cstheme="minorHAnsi"/>
          <w:color w:val="222222"/>
          <w:shd w:val="clear" w:color="auto" w:fill="FFFFFF"/>
          <w:lang w:val="nl-BE"/>
        </w:rPr>
        <w:t>, onder “verplichtingen</w:t>
      </w:r>
      <w:r w:rsidR="002B3BD6">
        <w:rPr>
          <w:rFonts w:cstheme="minorHAnsi"/>
          <w:color w:val="222222"/>
          <w:shd w:val="clear" w:color="auto" w:fill="FFFFFF"/>
          <w:lang w:val="nl-BE"/>
        </w:rPr>
        <w:t xml:space="preserve"> in de context van de kosteloze toewijzing van emissierechten”</w:t>
      </w:r>
      <w:r w:rsidR="00693A07" w:rsidRPr="001E069C">
        <w:rPr>
          <w:rFonts w:cstheme="minorHAnsi"/>
          <w:color w:val="222222"/>
          <w:shd w:val="clear" w:color="auto" w:fill="FFFFFF"/>
          <w:lang w:val="nl-BE"/>
        </w:rPr>
        <w:t>.</w:t>
      </w:r>
    </w:p>
    <w:p w14:paraId="131AD5C6" w14:textId="676561FF" w:rsidR="00693A07" w:rsidRPr="001E069C" w:rsidRDefault="00693A07" w:rsidP="00EA7BDA">
      <w:pPr>
        <w:rPr>
          <w:rFonts w:cstheme="minorHAnsi"/>
          <w:color w:val="222222"/>
          <w:shd w:val="clear" w:color="auto" w:fill="FFFFFF"/>
          <w:lang w:val="nl-BE"/>
        </w:rPr>
      </w:pPr>
      <w:r w:rsidRPr="001E069C">
        <w:rPr>
          <w:rFonts w:cstheme="minorHAnsi"/>
          <w:color w:val="222222"/>
          <w:shd w:val="clear" w:color="auto" w:fill="FFFFFF"/>
          <w:lang w:val="nl-BE"/>
        </w:rPr>
        <w:t xml:space="preserve">In het MMP26-30 dient </w:t>
      </w:r>
      <w:r w:rsidR="00A075AD" w:rsidRPr="001E069C">
        <w:rPr>
          <w:rFonts w:cstheme="minorHAnsi"/>
          <w:color w:val="222222"/>
          <w:shd w:val="clear" w:color="auto" w:fill="FFFFFF"/>
          <w:lang w:val="nl-BE"/>
        </w:rPr>
        <w:t>een procedure toegevoegd te worden in tabblad “</w:t>
      </w:r>
      <w:proofErr w:type="spellStart"/>
      <w:r w:rsidR="00A075AD" w:rsidRPr="001E069C">
        <w:rPr>
          <w:rFonts w:cstheme="minorHAnsi"/>
          <w:i/>
          <w:iCs/>
          <w:color w:val="222222"/>
          <w:shd w:val="clear" w:color="auto" w:fill="FFFFFF"/>
          <w:lang w:val="nl-BE"/>
        </w:rPr>
        <w:t>D_MethodsProcedures</w:t>
      </w:r>
      <w:proofErr w:type="spellEnd"/>
      <w:r w:rsidR="00A075AD" w:rsidRPr="001E069C">
        <w:rPr>
          <w:rFonts w:cstheme="minorHAnsi"/>
          <w:color w:val="222222"/>
          <w:shd w:val="clear" w:color="auto" w:fill="FFFFFF"/>
          <w:lang w:val="nl-BE"/>
        </w:rPr>
        <w:t>”</w:t>
      </w:r>
      <w:r w:rsidR="00901C8E" w:rsidRPr="001E069C">
        <w:rPr>
          <w:rFonts w:cstheme="minorHAnsi"/>
          <w:color w:val="222222"/>
          <w:shd w:val="clear" w:color="auto" w:fill="FFFFFF"/>
          <w:lang w:val="nl-BE"/>
        </w:rPr>
        <w:t xml:space="preserve"> onder </w:t>
      </w:r>
      <w:r w:rsidR="00901C8E" w:rsidRPr="001E069C">
        <w:rPr>
          <w:rFonts w:cstheme="minorHAnsi"/>
          <w:i/>
          <w:iCs/>
          <w:color w:val="222222"/>
          <w:shd w:val="clear" w:color="auto" w:fill="FFFFFF"/>
          <w:lang w:val="nl-BE"/>
        </w:rPr>
        <w:t>“II Procedures (e)”</w:t>
      </w:r>
      <w:r w:rsidR="00901C8E" w:rsidRPr="001E069C">
        <w:rPr>
          <w:rFonts w:cstheme="minorHAnsi"/>
          <w:color w:val="222222"/>
          <w:shd w:val="clear" w:color="auto" w:fill="FFFFFF"/>
          <w:lang w:val="nl-BE"/>
        </w:rPr>
        <w:t>.</w:t>
      </w:r>
    </w:p>
    <w:p w14:paraId="6BCBB354" w14:textId="1B520AB9" w:rsidR="00F93926" w:rsidRDefault="00A80729" w:rsidP="00EA7BDA">
      <w:pPr>
        <w:rPr>
          <w:lang w:val="en-GB"/>
        </w:rPr>
      </w:pPr>
      <w:r>
        <w:rPr>
          <w:noProof/>
        </w:rPr>
        <w:drawing>
          <wp:inline distT="0" distB="0" distL="0" distR="0" wp14:anchorId="36A1C30C" wp14:editId="1B544326">
            <wp:extent cx="5731510" cy="2004695"/>
            <wp:effectExtent l="19050" t="19050" r="21590" b="146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2004695"/>
                    </a:xfrm>
                    <a:prstGeom prst="rect">
                      <a:avLst/>
                    </a:prstGeom>
                  </pic:spPr>
                </pic:pic>
              </a:graphicData>
            </a:graphic>
          </wp:inline>
        </w:drawing>
      </w:r>
    </w:p>
    <w:p w14:paraId="57CA679D" w14:textId="41BBBE20" w:rsidR="002D3F18" w:rsidRDefault="002D3F18" w:rsidP="00EA7BDA">
      <w:pPr>
        <w:rPr>
          <w:lang w:val="nl-BE"/>
        </w:rPr>
      </w:pPr>
      <w:r w:rsidRPr="001E069C">
        <w:rPr>
          <w:lang w:val="nl-BE"/>
        </w:rPr>
        <w:t>De</w:t>
      </w:r>
      <w:r w:rsidR="0040284C">
        <w:rPr>
          <w:lang w:val="nl-BE"/>
        </w:rPr>
        <w:t>ze procedure heeft geen vormvereisten maar moet voldoen aan de voorwaarde zoals opgelegd in artikel 22</w:t>
      </w:r>
      <w:r w:rsidR="003C0016">
        <w:rPr>
          <w:lang w:val="nl-BE"/>
        </w:rPr>
        <w:t>bis</w:t>
      </w:r>
      <w:r w:rsidR="00AB49D7">
        <w:rPr>
          <w:lang w:val="nl-BE"/>
        </w:rPr>
        <w:t>,</w:t>
      </w:r>
      <w:r w:rsidR="0049314B">
        <w:rPr>
          <w:lang w:val="nl-BE"/>
        </w:rPr>
        <w:t xml:space="preserve"> §2</w:t>
      </w:r>
      <w:r w:rsidR="00AB49D7">
        <w:rPr>
          <w:lang w:val="nl-BE"/>
        </w:rPr>
        <w:t>,</w:t>
      </w:r>
      <w:r w:rsidR="0040284C">
        <w:rPr>
          <w:lang w:val="nl-BE"/>
        </w:rPr>
        <w:t xml:space="preserve"> van de </w:t>
      </w:r>
      <w:r w:rsidR="00AA759C">
        <w:rPr>
          <w:lang w:val="nl-BE"/>
        </w:rPr>
        <w:t xml:space="preserve">herziene </w:t>
      </w:r>
      <w:r w:rsidR="0040284C">
        <w:rPr>
          <w:lang w:val="nl-BE"/>
        </w:rPr>
        <w:t>FAR:</w:t>
      </w:r>
    </w:p>
    <w:tbl>
      <w:tblPr>
        <w:tblStyle w:val="Tabelraster"/>
        <w:tblW w:w="0" w:type="auto"/>
        <w:tblLook w:val="04A0" w:firstRow="1" w:lastRow="0" w:firstColumn="1" w:lastColumn="0" w:noHBand="0" w:noVBand="1"/>
      </w:tblPr>
      <w:tblGrid>
        <w:gridCol w:w="9016"/>
      </w:tblGrid>
      <w:tr w:rsidR="00EE3A4C" w14:paraId="4B2E9F7E" w14:textId="77777777" w:rsidTr="00EE3A4C">
        <w:tc>
          <w:tcPr>
            <w:tcW w:w="9016" w:type="dxa"/>
          </w:tcPr>
          <w:p w14:paraId="021A6F5B" w14:textId="3AA260BF" w:rsidR="00EE3A4C" w:rsidRDefault="00EE3A4C" w:rsidP="00EA7BDA">
            <w:pPr>
              <w:rPr>
                <w:lang w:val="nl-BE"/>
              </w:rPr>
            </w:pPr>
            <w:r w:rsidRPr="00B9657A">
              <w:rPr>
                <w:i/>
                <w:iCs/>
                <w:lang w:val="nl-BE"/>
              </w:rPr>
              <w:t>“</w:t>
            </w:r>
            <w:r w:rsidRPr="00B9657A">
              <w:rPr>
                <w:i/>
                <w:iCs/>
              </w:rPr>
              <w:t>De exploitant dient een procedure vast te stellen, uit te voeren, te documenteren en bij te houden voor de uitvoering van de aanbevelingen en, indien van toepassing, het aantonen van de toepassing van de in lid 1 bedoelde voorwaarden.</w:t>
            </w:r>
            <w:r w:rsidRPr="00B9657A">
              <w:rPr>
                <w:i/>
                <w:iCs/>
                <w:lang w:val="nl-BE"/>
              </w:rPr>
              <w:t>”</w:t>
            </w:r>
          </w:p>
        </w:tc>
      </w:tr>
    </w:tbl>
    <w:p w14:paraId="7A09E952" w14:textId="77777777" w:rsidR="003C0016" w:rsidRDefault="003C0016" w:rsidP="003C0016">
      <w:pPr>
        <w:rPr>
          <w:rFonts w:asciiTheme="majorHAnsi" w:eastAsiaTheme="majorEastAsia" w:hAnsiTheme="majorHAnsi" w:cstheme="majorBidi"/>
          <w:color w:val="1F3763" w:themeColor="accent1" w:themeShade="7F"/>
          <w:sz w:val="24"/>
          <w:szCs w:val="24"/>
          <w:lang w:val="nl-BE"/>
        </w:rPr>
      </w:pPr>
    </w:p>
    <w:p w14:paraId="0C276F16" w14:textId="77777777" w:rsidR="00A80729" w:rsidRDefault="00A80729">
      <w:pPr>
        <w:rPr>
          <w:rFonts w:asciiTheme="majorHAnsi" w:eastAsiaTheme="majorEastAsia" w:hAnsiTheme="majorHAnsi" w:cstheme="majorBidi"/>
          <w:color w:val="2F5496" w:themeColor="accent1" w:themeShade="BF"/>
          <w:sz w:val="26"/>
          <w:szCs w:val="26"/>
          <w:lang w:val="nl-BE"/>
        </w:rPr>
      </w:pPr>
      <w:r>
        <w:rPr>
          <w:lang w:val="nl-BE"/>
        </w:rPr>
        <w:br w:type="page"/>
      </w:r>
    </w:p>
    <w:p w14:paraId="3BAB462C" w14:textId="1140FB77" w:rsidR="003C0016" w:rsidRDefault="00AE40CF" w:rsidP="003C0016">
      <w:pPr>
        <w:pStyle w:val="Kop2"/>
        <w:numPr>
          <w:ilvl w:val="1"/>
          <w:numId w:val="35"/>
        </w:numPr>
        <w:rPr>
          <w:lang w:val="nl-BE"/>
        </w:rPr>
      </w:pPr>
      <w:bookmarkStart w:id="4" w:name="_Toc160465592"/>
      <w:r>
        <w:rPr>
          <w:lang w:val="nl-BE"/>
        </w:rPr>
        <w:lastRenderedPageBreak/>
        <w:t xml:space="preserve">Productbenchmarks </w:t>
      </w:r>
      <w:r w:rsidRPr="00AE40CF">
        <w:rPr>
          <w:lang w:val="nl-BE"/>
        </w:rPr>
        <w:t>met verzameling van gegevens over elektriciteitsverbruik</w:t>
      </w:r>
      <w:bookmarkEnd w:id="4"/>
    </w:p>
    <w:p w14:paraId="1DE11CB0" w14:textId="63E1C2A0" w:rsidR="008A373D" w:rsidRPr="001E069C" w:rsidRDefault="008A373D" w:rsidP="008A373D">
      <w:pPr>
        <w:shd w:val="clear" w:color="auto" w:fill="FFFFFF"/>
        <w:spacing w:after="0" w:line="285" w:lineRule="atLeast"/>
        <w:textAlignment w:val="top"/>
        <w:rPr>
          <w:rFonts w:eastAsia="Times New Roman" w:cstheme="minorHAnsi"/>
          <w:color w:val="222222"/>
          <w:lang w:val="nl-BE" w:eastAsia="nl-BE"/>
        </w:rPr>
      </w:pPr>
      <w:r w:rsidRPr="001E069C">
        <w:rPr>
          <w:rFonts w:eastAsia="Times New Roman" w:cstheme="minorHAnsi"/>
          <w:color w:val="222222"/>
          <w:lang w:val="nl-BE" w:eastAsia="nl-BE"/>
        </w:rPr>
        <w:t xml:space="preserve">Binnen de productbenchmarks bestaan in de periode </w:t>
      </w:r>
      <w:r w:rsidR="00AB49D7">
        <w:rPr>
          <w:rFonts w:eastAsia="Times New Roman" w:cstheme="minorHAnsi"/>
          <w:color w:val="222222"/>
          <w:lang w:val="nl-BE" w:eastAsia="nl-BE"/>
        </w:rPr>
        <w:t>20</w:t>
      </w:r>
      <w:r w:rsidRPr="001E069C">
        <w:rPr>
          <w:rFonts w:eastAsia="Times New Roman" w:cstheme="minorHAnsi"/>
          <w:color w:val="222222"/>
          <w:lang w:val="nl-BE" w:eastAsia="nl-BE"/>
        </w:rPr>
        <w:t>21-</w:t>
      </w:r>
      <w:r w:rsidR="00AB49D7">
        <w:rPr>
          <w:rFonts w:eastAsia="Times New Roman" w:cstheme="minorHAnsi"/>
          <w:color w:val="222222"/>
          <w:lang w:val="nl-BE" w:eastAsia="nl-BE"/>
        </w:rPr>
        <w:t>20</w:t>
      </w:r>
      <w:r w:rsidRPr="001E069C">
        <w:rPr>
          <w:rFonts w:eastAsia="Times New Roman" w:cstheme="minorHAnsi"/>
          <w:color w:val="222222"/>
          <w:lang w:val="nl-BE" w:eastAsia="nl-BE"/>
        </w:rPr>
        <w:t>25 twee grote groepen:</w:t>
      </w:r>
    </w:p>
    <w:p w14:paraId="60164076" w14:textId="77777777" w:rsidR="008A373D" w:rsidRPr="001E069C" w:rsidRDefault="008A373D" w:rsidP="008A373D">
      <w:pPr>
        <w:numPr>
          <w:ilvl w:val="0"/>
          <w:numId w:val="36"/>
        </w:numPr>
        <w:shd w:val="clear" w:color="auto" w:fill="FFFFFF"/>
        <w:spacing w:before="100" w:beforeAutospacing="1" w:after="100" w:afterAutospacing="1" w:line="240" w:lineRule="auto"/>
        <w:rPr>
          <w:rFonts w:eastAsia="Times New Roman" w:cstheme="minorHAnsi"/>
          <w:lang w:val="nl-BE" w:eastAsia="nl-BE"/>
        </w:rPr>
      </w:pPr>
      <w:r w:rsidRPr="001E069C">
        <w:rPr>
          <w:rFonts w:eastAsia="Times New Roman" w:cstheme="minorHAnsi"/>
          <w:lang w:val="nl-BE" w:eastAsia="nl-BE"/>
        </w:rPr>
        <w:t xml:space="preserve">Groep 1: benchmarks zonder </w:t>
      </w:r>
      <w:r w:rsidRPr="001E069C">
        <w:rPr>
          <w:rFonts w:eastAsia="Times New Roman" w:cstheme="minorHAnsi"/>
          <w:i/>
          <w:iCs/>
          <w:lang w:val="nl-BE" w:eastAsia="nl-BE"/>
        </w:rPr>
        <w:t>uitwisselbaarheid</w:t>
      </w:r>
      <w:r w:rsidRPr="001E069C">
        <w:rPr>
          <w:rFonts w:eastAsia="Times New Roman" w:cstheme="minorHAnsi"/>
          <w:lang w:val="nl-BE" w:eastAsia="nl-BE"/>
        </w:rPr>
        <w:t xml:space="preserve"> van brandstof en elektriciteit. Hier wordt vooral rekening gehouden met de directe emissies;</w:t>
      </w:r>
    </w:p>
    <w:p w14:paraId="50B3D55E" w14:textId="77777777" w:rsidR="008A373D" w:rsidRPr="001E069C" w:rsidRDefault="008A373D" w:rsidP="008A373D">
      <w:pPr>
        <w:numPr>
          <w:ilvl w:val="0"/>
          <w:numId w:val="36"/>
        </w:numPr>
        <w:shd w:val="clear" w:color="auto" w:fill="FFFFFF"/>
        <w:spacing w:before="100" w:beforeAutospacing="1" w:after="100" w:afterAutospacing="1" w:line="240" w:lineRule="auto"/>
        <w:rPr>
          <w:rFonts w:eastAsia="Times New Roman" w:cstheme="minorHAnsi"/>
          <w:lang w:val="nl-BE" w:eastAsia="nl-BE"/>
        </w:rPr>
      </w:pPr>
      <w:r w:rsidRPr="001E069C">
        <w:rPr>
          <w:rFonts w:eastAsia="Times New Roman" w:cstheme="minorHAnsi"/>
          <w:lang w:val="nl-BE" w:eastAsia="nl-BE"/>
        </w:rPr>
        <w:t xml:space="preserve">Groep 2: benchmarks met </w:t>
      </w:r>
      <w:r w:rsidRPr="001E069C">
        <w:rPr>
          <w:rFonts w:eastAsia="Times New Roman" w:cstheme="minorHAnsi"/>
          <w:i/>
          <w:iCs/>
          <w:lang w:val="nl-BE" w:eastAsia="nl-BE"/>
        </w:rPr>
        <w:t>uitwisselbaarheid</w:t>
      </w:r>
      <w:r w:rsidRPr="001E069C">
        <w:rPr>
          <w:rFonts w:eastAsia="Times New Roman" w:cstheme="minorHAnsi"/>
          <w:lang w:val="nl-BE" w:eastAsia="nl-BE"/>
        </w:rPr>
        <w:t xml:space="preserve"> van brandstof en elektriciteit. Hier wordt ook rekening gehouden met indirecte emissies van elektriciteitsgebruik.</w:t>
      </w:r>
    </w:p>
    <w:p w14:paraId="46A0C756" w14:textId="6F679EA2" w:rsidR="00C01F61" w:rsidRDefault="008A373D" w:rsidP="008A373D">
      <w:pPr>
        <w:shd w:val="clear" w:color="auto" w:fill="FFFFFF"/>
        <w:spacing w:after="0" w:line="285" w:lineRule="atLeast"/>
        <w:textAlignment w:val="top"/>
        <w:rPr>
          <w:rFonts w:eastAsia="Times New Roman" w:cstheme="minorHAnsi"/>
          <w:color w:val="222222"/>
          <w:lang w:val="nl-BE" w:eastAsia="nl-BE"/>
        </w:rPr>
      </w:pPr>
      <w:r w:rsidRPr="001E069C">
        <w:rPr>
          <w:rFonts w:eastAsia="Times New Roman" w:cstheme="minorHAnsi"/>
          <w:color w:val="222222"/>
          <w:lang w:val="nl-BE" w:eastAsia="nl-BE"/>
        </w:rPr>
        <w:t xml:space="preserve">Het principe van uitwisselbaarheid van brandstof en elektriciteit </w:t>
      </w:r>
      <w:r w:rsidR="008216D9">
        <w:rPr>
          <w:rFonts w:eastAsia="Times New Roman" w:cstheme="minorHAnsi"/>
          <w:color w:val="222222"/>
          <w:lang w:val="nl-BE" w:eastAsia="nl-BE"/>
        </w:rPr>
        <w:t>is</w:t>
      </w:r>
      <w:r w:rsidRPr="001E069C">
        <w:rPr>
          <w:rFonts w:eastAsia="Times New Roman" w:cstheme="minorHAnsi"/>
          <w:color w:val="222222"/>
          <w:lang w:val="nl-BE" w:eastAsia="nl-BE"/>
        </w:rPr>
        <w:t xml:space="preserve"> geschrapt in de </w:t>
      </w:r>
      <w:r w:rsidR="00453A98">
        <w:rPr>
          <w:rFonts w:eastAsia="Times New Roman" w:cstheme="minorHAnsi"/>
          <w:color w:val="222222"/>
          <w:lang w:val="nl-BE" w:eastAsia="nl-BE"/>
        </w:rPr>
        <w:t xml:space="preserve">herziene </w:t>
      </w:r>
      <w:r w:rsidR="008216D9">
        <w:rPr>
          <w:rFonts w:eastAsia="Times New Roman" w:cstheme="minorHAnsi"/>
          <w:color w:val="222222"/>
          <w:lang w:val="nl-BE" w:eastAsia="nl-BE"/>
        </w:rPr>
        <w:t>FAR</w:t>
      </w:r>
      <w:r w:rsidRPr="001E069C">
        <w:rPr>
          <w:rFonts w:eastAsia="Times New Roman" w:cstheme="minorHAnsi"/>
          <w:color w:val="222222"/>
          <w:lang w:val="nl-BE" w:eastAsia="nl-BE"/>
        </w:rPr>
        <w:t>, zowel voor de update van de benchmarkwaardes als voor de berekening van de kosteloze toewijzing.</w:t>
      </w:r>
      <w:r w:rsidR="008216D9">
        <w:rPr>
          <w:rFonts w:eastAsia="Times New Roman" w:cstheme="minorHAnsi"/>
          <w:color w:val="222222"/>
          <w:lang w:val="nl-BE" w:eastAsia="nl-BE"/>
        </w:rPr>
        <w:t xml:space="preserve"> </w:t>
      </w:r>
    </w:p>
    <w:p w14:paraId="64DBD8B6" w14:textId="77777777" w:rsidR="00C01F61" w:rsidRDefault="00C01F61" w:rsidP="008A373D">
      <w:pPr>
        <w:shd w:val="clear" w:color="auto" w:fill="FFFFFF"/>
        <w:spacing w:after="0" w:line="285" w:lineRule="atLeast"/>
        <w:textAlignment w:val="top"/>
        <w:rPr>
          <w:rFonts w:eastAsia="Times New Roman" w:cstheme="minorHAnsi"/>
          <w:color w:val="222222"/>
          <w:lang w:val="nl-BE" w:eastAsia="nl-BE"/>
        </w:rPr>
      </w:pPr>
    </w:p>
    <w:p w14:paraId="7D8199F5" w14:textId="66F45F32" w:rsidR="00AE40CF" w:rsidRDefault="008355CE" w:rsidP="008A373D">
      <w:pPr>
        <w:shd w:val="clear" w:color="auto" w:fill="FFFFFF"/>
        <w:spacing w:after="0" w:line="285" w:lineRule="atLeast"/>
        <w:textAlignment w:val="top"/>
        <w:rPr>
          <w:rFonts w:eastAsia="Times New Roman" w:cstheme="minorHAnsi"/>
          <w:color w:val="222222"/>
          <w:lang w:val="nl-BE" w:eastAsia="nl-BE"/>
        </w:rPr>
      </w:pPr>
      <w:r>
        <w:rPr>
          <w:rFonts w:eastAsia="Times New Roman" w:cstheme="minorHAnsi"/>
          <w:color w:val="222222"/>
          <w:lang w:val="nl-BE" w:eastAsia="nl-BE"/>
        </w:rPr>
        <w:t xml:space="preserve">In de </w:t>
      </w:r>
      <w:r w:rsidR="00453A98">
        <w:rPr>
          <w:rFonts w:eastAsia="Times New Roman" w:cstheme="minorHAnsi"/>
          <w:color w:val="222222"/>
          <w:lang w:val="nl-BE" w:eastAsia="nl-BE"/>
        </w:rPr>
        <w:t>herziene</w:t>
      </w:r>
      <w:r>
        <w:rPr>
          <w:rFonts w:eastAsia="Times New Roman" w:cstheme="minorHAnsi"/>
          <w:color w:val="222222"/>
          <w:lang w:val="nl-BE" w:eastAsia="nl-BE"/>
        </w:rPr>
        <w:t xml:space="preserve"> FAR wordt gesproken over volgende groepen:</w:t>
      </w:r>
    </w:p>
    <w:p w14:paraId="5736B7F6" w14:textId="573B01D6" w:rsidR="008355CE" w:rsidRDefault="008355CE" w:rsidP="008355CE">
      <w:pPr>
        <w:pStyle w:val="Lijstalinea"/>
        <w:numPr>
          <w:ilvl w:val="0"/>
          <w:numId w:val="37"/>
        </w:numPr>
        <w:shd w:val="clear" w:color="auto" w:fill="FFFFFF"/>
        <w:spacing w:after="0" w:line="285" w:lineRule="atLeast"/>
        <w:textAlignment w:val="top"/>
        <w:rPr>
          <w:rFonts w:eastAsia="Times New Roman" w:cstheme="minorHAnsi"/>
          <w:color w:val="222222"/>
          <w:lang w:val="nl-BE" w:eastAsia="nl-BE"/>
        </w:rPr>
      </w:pPr>
      <w:r>
        <w:rPr>
          <w:rFonts w:eastAsia="Times New Roman" w:cstheme="minorHAnsi"/>
          <w:color w:val="222222"/>
          <w:lang w:val="nl-BE" w:eastAsia="nl-BE"/>
        </w:rPr>
        <w:t xml:space="preserve">Groep 1: </w:t>
      </w:r>
      <w:r w:rsidR="00C01F61">
        <w:rPr>
          <w:rFonts w:eastAsia="Times New Roman" w:cstheme="minorHAnsi"/>
          <w:color w:val="222222"/>
          <w:lang w:val="nl-BE" w:eastAsia="nl-BE"/>
        </w:rPr>
        <w:t xml:space="preserve">benchmarks zonder </w:t>
      </w:r>
      <w:r w:rsidR="00C01F61" w:rsidRPr="001E069C">
        <w:rPr>
          <w:rFonts w:eastAsia="Times New Roman" w:cstheme="minorHAnsi"/>
          <w:i/>
          <w:iCs/>
          <w:color w:val="222222"/>
          <w:lang w:val="nl-BE" w:eastAsia="nl-BE"/>
        </w:rPr>
        <w:t>verzameling van gegevens</w:t>
      </w:r>
      <w:r w:rsidR="00C01F61" w:rsidRPr="00C01F61">
        <w:rPr>
          <w:rFonts w:eastAsia="Times New Roman" w:cstheme="minorHAnsi"/>
          <w:color w:val="222222"/>
          <w:lang w:val="nl-BE" w:eastAsia="nl-BE"/>
        </w:rPr>
        <w:t xml:space="preserve"> over elektriciteitsverbruik</w:t>
      </w:r>
      <w:r w:rsidR="00C01F61">
        <w:rPr>
          <w:rFonts w:eastAsia="Times New Roman" w:cstheme="minorHAnsi"/>
          <w:color w:val="222222"/>
          <w:lang w:val="nl-BE" w:eastAsia="nl-BE"/>
        </w:rPr>
        <w:t>;</w:t>
      </w:r>
    </w:p>
    <w:p w14:paraId="69407F7F" w14:textId="6A3A99B6" w:rsidR="008355CE" w:rsidRPr="001E069C" w:rsidRDefault="008355CE" w:rsidP="001E069C">
      <w:pPr>
        <w:pStyle w:val="Lijstalinea"/>
        <w:numPr>
          <w:ilvl w:val="0"/>
          <w:numId w:val="37"/>
        </w:numPr>
        <w:shd w:val="clear" w:color="auto" w:fill="FFFFFF"/>
        <w:spacing w:after="0" w:line="285" w:lineRule="atLeast"/>
        <w:textAlignment w:val="top"/>
        <w:rPr>
          <w:rFonts w:eastAsia="Times New Roman" w:cstheme="minorHAnsi"/>
          <w:color w:val="222222"/>
          <w:lang w:val="nl-BE" w:eastAsia="nl-BE"/>
        </w:rPr>
      </w:pPr>
      <w:r>
        <w:rPr>
          <w:rFonts w:eastAsia="Times New Roman" w:cstheme="minorHAnsi"/>
          <w:color w:val="222222"/>
          <w:lang w:val="nl-BE" w:eastAsia="nl-BE"/>
        </w:rPr>
        <w:t xml:space="preserve">Groep 2: </w:t>
      </w:r>
      <w:r w:rsidR="00557E87">
        <w:rPr>
          <w:rFonts w:eastAsia="Times New Roman" w:cstheme="minorHAnsi"/>
          <w:color w:val="222222"/>
          <w:lang w:val="nl-BE" w:eastAsia="nl-BE"/>
        </w:rPr>
        <w:t xml:space="preserve">benchmarks </w:t>
      </w:r>
      <w:r w:rsidR="00557E87" w:rsidRPr="00557E87">
        <w:rPr>
          <w:rFonts w:eastAsia="Times New Roman" w:cstheme="minorHAnsi"/>
          <w:color w:val="222222"/>
          <w:lang w:val="nl-BE" w:eastAsia="nl-BE"/>
        </w:rPr>
        <w:t xml:space="preserve">met </w:t>
      </w:r>
      <w:r w:rsidR="00557E87" w:rsidRPr="001E069C">
        <w:rPr>
          <w:rFonts w:eastAsia="Times New Roman" w:cstheme="minorHAnsi"/>
          <w:i/>
          <w:iCs/>
          <w:color w:val="222222"/>
          <w:lang w:val="nl-BE" w:eastAsia="nl-BE"/>
        </w:rPr>
        <w:t>verzameling van gegevens</w:t>
      </w:r>
      <w:r w:rsidR="00557E87" w:rsidRPr="00557E87">
        <w:rPr>
          <w:rFonts w:eastAsia="Times New Roman" w:cstheme="minorHAnsi"/>
          <w:color w:val="222222"/>
          <w:lang w:val="nl-BE" w:eastAsia="nl-BE"/>
        </w:rPr>
        <w:t xml:space="preserve"> over elektriciteitsverbruik</w:t>
      </w:r>
    </w:p>
    <w:p w14:paraId="2F8B5E14" w14:textId="77777777" w:rsidR="00AE40CF" w:rsidRDefault="00AE40CF" w:rsidP="008A373D">
      <w:pPr>
        <w:shd w:val="clear" w:color="auto" w:fill="FFFFFF"/>
        <w:spacing w:after="0" w:line="285" w:lineRule="atLeast"/>
        <w:textAlignment w:val="top"/>
        <w:rPr>
          <w:rFonts w:eastAsia="Times New Roman" w:cstheme="minorHAnsi"/>
          <w:color w:val="222222"/>
          <w:lang w:val="nl-BE" w:eastAsia="nl-BE"/>
        </w:rPr>
      </w:pPr>
    </w:p>
    <w:p w14:paraId="3306BF3A" w14:textId="77F8777E" w:rsidR="00E17FD8" w:rsidRDefault="00E17FD8" w:rsidP="000138A2">
      <w:pPr>
        <w:rPr>
          <w:lang w:val="nl-BE"/>
        </w:rPr>
      </w:pPr>
      <w:r>
        <w:rPr>
          <w:lang w:val="nl-BE"/>
        </w:rPr>
        <w:t xml:space="preserve">Ook is het betreffende onderdeel </w:t>
      </w:r>
      <w:r w:rsidR="003A7EFA" w:rsidRPr="001E069C">
        <w:rPr>
          <w:i/>
          <w:iCs/>
          <w:lang w:val="nl-BE"/>
        </w:rPr>
        <w:t>“(c) Uitwisselbaarheid van brandstof en elektriciteit”</w:t>
      </w:r>
      <w:r w:rsidR="003A7EFA">
        <w:rPr>
          <w:lang w:val="nl-BE"/>
        </w:rPr>
        <w:t xml:space="preserve"> in tabblad </w:t>
      </w:r>
      <w:r w:rsidR="003A7EFA" w:rsidRPr="001E069C">
        <w:rPr>
          <w:i/>
          <w:iCs/>
          <w:lang w:val="nl-BE"/>
        </w:rPr>
        <w:t>“</w:t>
      </w:r>
      <w:proofErr w:type="spellStart"/>
      <w:r w:rsidR="003A7EFA" w:rsidRPr="001E069C">
        <w:rPr>
          <w:i/>
          <w:iCs/>
          <w:lang w:val="nl-BE"/>
        </w:rPr>
        <w:t>F_ProductBM</w:t>
      </w:r>
      <w:proofErr w:type="spellEnd"/>
      <w:r w:rsidR="003A7EFA" w:rsidRPr="001E069C">
        <w:rPr>
          <w:i/>
          <w:iCs/>
          <w:lang w:val="nl-BE"/>
        </w:rPr>
        <w:t>”</w:t>
      </w:r>
      <w:r w:rsidR="003A7EFA">
        <w:rPr>
          <w:i/>
          <w:iCs/>
          <w:lang w:val="nl-BE"/>
        </w:rPr>
        <w:t xml:space="preserve"> </w:t>
      </w:r>
      <w:r w:rsidR="003A7EFA">
        <w:rPr>
          <w:lang w:val="nl-BE"/>
        </w:rPr>
        <w:t>herzien</w:t>
      </w:r>
      <w:r w:rsidR="00B813F1">
        <w:rPr>
          <w:lang w:val="nl-BE"/>
        </w:rPr>
        <w:t>. In het nieuwe sjabloon moet nog steeds</w:t>
      </w:r>
      <w:r w:rsidR="002D5DF9">
        <w:rPr>
          <w:lang w:val="nl-BE"/>
        </w:rPr>
        <w:t xml:space="preserve"> het elektriciteitsgebruik gemonitord worden voor de betrokken product-benchmarks.</w:t>
      </w:r>
    </w:p>
    <w:p w14:paraId="00FD0191" w14:textId="73652459" w:rsidR="001460FE" w:rsidRDefault="00DD3CED" w:rsidP="000138A2">
      <w:pPr>
        <w:rPr>
          <w:lang w:val="en-GB"/>
        </w:rPr>
      </w:pPr>
      <w:r>
        <w:rPr>
          <w:noProof/>
        </w:rPr>
        <w:drawing>
          <wp:inline distT="0" distB="0" distL="0" distR="0" wp14:anchorId="3A134576" wp14:editId="59F700B6">
            <wp:extent cx="5731510" cy="2924810"/>
            <wp:effectExtent l="19050" t="19050" r="21590" b="279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924810"/>
                    </a:xfrm>
                    <a:prstGeom prst="rect">
                      <a:avLst/>
                    </a:prstGeom>
                  </pic:spPr>
                </pic:pic>
              </a:graphicData>
            </a:graphic>
          </wp:inline>
        </w:drawing>
      </w:r>
    </w:p>
    <w:p w14:paraId="457EDCEC" w14:textId="31E89932" w:rsidR="00C01F61" w:rsidRPr="001E069C" w:rsidRDefault="00C01F61" w:rsidP="000138A2">
      <w:pPr>
        <w:rPr>
          <w:lang w:val="nl-BE"/>
        </w:rPr>
      </w:pPr>
      <w:r>
        <w:rPr>
          <w:rFonts w:eastAsia="Times New Roman" w:cstheme="minorHAnsi"/>
          <w:color w:val="222222"/>
          <w:lang w:val="nl-BE" w:eastAsia="nl-BE"/>
        </w:rPr>
        <w:t>Vermoedelijk is de verdere impact op het MMP gering, toch is het belangrijk om de informatie in het MMP inzake de betrokken product-</w:t>
      </w:r>
      <w:proofErr w:type="spellStart"/>
      <w:r w:rsidR="005E6A36">
        <w:rPr>
          <w:rFonts w:eastAsia="Times New Roman" w:cstheme="minorHAnsi"/>
          <w:color w:val="222222"/>
          <w:lang w:val="nl-BE" w:eastAsia="nl-BE"/>
        </w:rPr>
        <w:t>subinstallatie</w:t>
      </w:r>
      <w:r>
        <w:rPr>
          <w:rFonts w:eastAsia="Times New Roman" w:cstheme="minorHAnsi"/>
          <w:color w:val="222222"/>
          <w:lang w:val="nl-BE" w:eastAsia="nl-BE"/>
        </w:rPr>
        <w:t>s</w:t>
      </w:r>
      <w:proofErr w:type="spellEnd"/>
      <w:r>
        <w:rPr>
          <w:rFonts w:eastAsia="Times New Roman" w:cstheme="minorHAnsi"/>
          <w:color w:val="222222"/>
          <w:lang w:val="nl-BE" w:eastAsia="nl-BE"/>
        </w:rPr>
        <w:t xml:space="preserve"> na te kijken.</w:t>
      </w:r>
    </w:p>
    <w:p w14:paraId="0C702EF5" w14:textId="77777777" w:rsidR="00EE3A4C" w:rsidRPr="001E069C" w:rsidRDefault="00EE3A4C">
      <w:pPr>
        <w:rPr>
          <w:rFonts w:asciiTheme="majorHAnsi" w:eastAsiaTheme="majorEastAsia" w:hAnsiTheme="majorHAnsi" w:cstheme="majorBidi"/>
          <w:color w:val="2F5496" w:themeColor="accent1" w:themeShade="BF"/>
          <w:sz w:val="26"/>
          <w:szCs w:val="26"/>
          <w:lang w:val="nl-BE"/>
        </w:rPr>
      </w:pPr>
      <w:r w:rsidRPr="001E069C">
        <w:rPr>
          <w:lang w:val="nl-BE"/>
        </w:rPr>
        <w:br w:type="page"/>
      </w:r>
    </w:p>
    <w:p w14:paraId="2499412B" w14:textId="0397EDC0" w:rsidR="001460FE" w:rsidRDefault="001A6E80" w:rsidP="001460FE">
      <w:pPr>
        <w:pStyle w:val="Kop2"/>
        <w:numPr>
          <w:ilvl w:val="1"/>
          <w:numId w:val="35"/>
        </w:numPr>
        <w:rPr>
          <w:lang w:val="en-GB"/>
        </w:rPr>
      </w:pPr>
      <w:bookmarkStart w:id="5" w:name="_Toc160465593"/>
      <w:proofErr w:type="spellStart"/>
      <w:r>
        <w:rPr>
          <w:lang w:val="en-GB"/>
        </w:rPr>
        <w:lastRenderedPageBreak/>
        <w:t>Warmtebenchmark-</w:t>
      </w:r>
      <w:r w:rsidR="005E6A36">
        <w:rPr>
          <w:lang w:val="en-GB"/>
        </w:rPr>
        <w:t>subinstallatie</w:t>
      </w:r>
      <w:bookmarkEnd w:id="5"/>
      <w:proofErr w:type="spellEnd"/>
    </w:p>
    <w:p w14:paraId="79A11703" w14:textId="77777777" w:rsidR="00C01F61" w:rsidRDefault="00C01F61" w:rsidP="00C01F61">
      <w:pPr>
        <w:rPr>
          <w:lang w:val="en-GB"/>
        </w:rPr>
      </w:pPr>
    </w:p>
    <w:p w14:paraId="596C78B5" w14:textId="6F6D179A" w:rsidR="006406FD" w:rsidRDefault="006406FD" w:rsidP="00C01F61">
      <w:pPr>
        <w:rPr>
          <w:lang w:val="nl-BE"/>
        </w:rPr>
      </w:pPr>
      <w:r w:rsidRPr="001E069C">
        <w:rPr>
          <w:lang w:val="nl-BE"/>
        </w:rPr>
        <w:t xml:space="preserve">De nieuwe definitie van de </w:t>
      </w:r>
      <w:r>
        <w:rPr>
          <w:lang w:val="nl-BE"/>
        </w:rPr>
        <w:t>warmtebenchmark-</w:t>
      </w:r>
      <w:proofErr w:type="spellStart"/>
      <w:r w:rsidR="005E6A36">
        <w:rPr>
          <w:lang w:val="nl-BE"/>
        </w:rPr>
        <w:t>subinstallatie</w:t>
      </w:r>
      <w:proofErr w:type="spellEnd"/>
      <w:r>
        <w:rPr>
          <w:lang w:val="nl-BE"/>
        </w:rPr>
        <w:t xml:space="preserve"> in de </w:t>
      </w:r>
      <w:r w:rsidR="005E0732">
        <w:rPr>
          <w:lang w:val="nl-BE"/>
        </w:rPr>
        <w:t xml:space="preserve">herziene </w:t>
      </w:r>
      <w:r>
        <w:rPr>
          <w:lang w:val="nl-BE"/>
        </w:rPr>
        <w:t xml:space="preserve">FAR is de volgende: </w:t>
      </w:r>
    </w:p>
    <w:tbl>
      <w:tblPr>
        <w:tblStyle w:val="Tabelraster"/>
        <w:tblW w:w="0" w:type="auto"/>
        <w:tblLook w:val="04A0" w:firstRow="1" w:lastRow="0" w:firstColumn="1" w:lastColumn="0" w:noHBand="0" w:noVBand="1"/>
      </w:tblPr>
      <w:tblGrid>
        <w:gridCol w:w="9016"/>
      </w:tblGrid>
      <w:tr w:rsidR="00FC0643" w14:paraId="7A98C5AD" w14:textId="77777777" w:rsidTr="00FC0643">
        <w:tc>
          <w:tcPr>
            <w:tcW w:w="9016" w:type="dxa"/>
          </w:tcPr>
          <w:p w14:paraId="43DBA8AF" w14:textId="01DED585" w:rsidR="00FC0643" w:rsidRPr="007F070A" w:rsidRDefault="00FC0643" w:rsidP="00FC0643">
            <w:pPr>
              <w:rPr>
                <w:i/>
                <w:iCs/>
                <w:lang w:val="nl-BE"/>
              </w:rPr>
            </w:pPr>
            <w:r w:rsidRPr="007F070A">
              <w:rPr>
                <w:i/>
                <w:iCs/>
                <w:lang w:val="nl-BE"/>
              </w:rPr>
              <w:t>“de niet onder een productbenchmark-</w:t>
            </w:r>
            <w:proofErr w:type="spellStart"/>
            <w:r w:rsidR="005E6A36">
              <w:rPr>
                <w:i/>
                <w:iCs/>
                <w:lang w:val="nl-BE"/>
              </w:rPr>
              <w:t>subinstallatie</w:t>
            </w:r>
            <w:proofErr w:type="spellEnd"/>
            <w:r w:rsidRPr="007F070A">
              <w:rPr>
                <w:i/>
                <w:iCs/>
                <w:lang w:val="nl-BE"/>
              </w:rPr>
              <w:t xml:space="preserve"> vallende </w:t>
            </w:r>
            <w:proofErr w:type="spellStart"/>
            <w:r w:rsidRPr="007F070A">
              <w:rPr>
                <w:i/>
                <w:iCs/>
                <w:lang w:val="nl-BE"/>
              </w:rPr>
              <w:t>inputs</w:t>
            </w:r>
            <w:proofErr w:type="spellEnd"/>
            <w:r w:rsidRPr="007F070A">
              <w:rPr>
                <w:i/>
                <w:iCs/>
                <w:lang w:val="nl-BE"/>
              </w:rPr>
              <w:t xml:space="preserve">, </w:t>
            </w:r>
            <w:proofErr w:type="spellStart"/>
            <w:r w:rsidRPr="007F070A">
              <w:rPr>
                <w:i/>
                <w:iCs/>
                <w:lang w:val="nl-BE"/>
              </w:rPr>
              <w:t>outputs</w:t>
            </w:r>
            <w:proofErr w:type="spellEnd"/>
            <w:r w:rsidRPr="007F070A">
              <w:rPr>
                <w:i/>
                <w:iCs/>
                <w:lang w:val="nl-BE"/>
              </w:rPr>
              <w:t xml:space="preserve"> en daarmee samenhangende emissies met betrekking tot de productie, uit een onder het EU-ETS vallende installatie, anders dan installaties die uitsluitend voor de toepassing van de artikelen 14 en 15 van Richtlijn 2003/87/EG onder het EU-ETS vallen, of beide, van meetbare warmte of de invoer van meetbare warmte die: </w:t>
            </w:r>
          </w:p>
          <w:p w14:paraId="5CE3157E" w14:textId="49CB3068" w:rsidR="00FC0643" w:rsidRPr="001E069C" w:rsidRDefault="00FC0643" w:rsidP="001E069C">
            <w:pPr>
              <w:pStyle w:val="Lijstalinea"/>
              <w:numPr>
                <w:ilvl w:val="0"/>
                <w:numId w:val="39"/>
              </w:numPr>
              <w:rPr>
                <w:i/>
                <w:iCs/>
                <w:lang w:val="nl-BE"/>
              </w:rPr>
            </w:pPr>
            <w:r w:rsidRPr="001E069C">
              <w:rPr>
                <w:i/>
                <w:iCs/>
                <w:lang w:val="nl-BE"/>
              </w:rPr>
              <w:t xml:space="preserve">binnen de grenzen van de installatie wordt verbruikt voor de vervaardiging van producten, voor de productie van andere dan voor elektriciteitsopwekking gebruikte mechanische energie of voor andere dan voor elektriciteitsopwekking gebruikte verwarming of koeling, of </w:t>
            </w:r>
          </w:p>
          <w:p w14:paraId="4E025030" w14:textId="77777777" w:rsidR="00FC0643" w:rsidRPr="001E069C" w:rsidRDefault="00FC0643" w:rsidP="001E069C">
            <w:pPr>
              <w:pStyle w:val="Lijstalinea"/>
              <w:ind w:left="1080"/>
              <w:rPr>
                <w:i/>
                <w:iCs/>
                <w:lang w:val="nl-BE"/>
              </w:rPr>
            </w:pPr>
          </w:p>
          <w:p w14:paraId="437F02BC" w14:textId="6BBC476A" w:rsidR="00FC0643" w:rsidRPr="001E069C" w:rsidRDefault="00FC0643" w:rsidP="001E069C">
            <w:pPr>
              <w:ind w:left="720"/>
              <w:rPr>
                <w:i/>
                <w:iCs/>
                <w:lang w:val="nl-BE"/>
              </w:rPr>
            </w:pPr>
            <w:r w:rsidRPr="007F070A">
              <w:rPr>
                <w:i/>
                <w:iCs/>
                <w:lang w:val="nl-BE"/>
              </w:rPr>
              <w:t>b) wordt uitgevoerd naar een niet onder het EU-ETS vallende installatie of andere entiteit, anders dan stadsverwarming, met uitzondering van de uitvoer voor elektriciteitsopwekking”</w:t>
            </w:r>
          </w:p>
        </w:tc>
      </w:tr>
    </w:tbl>
    <w:p w14:paraId="37FBC692" w14:textId="77777777" w:rsidR="00FC0643" w:rsidRDefault="00FC0643" w:rsidP="00C01F61">
      <w:pPr>
        <w:rPr>
          <w:lang w:val="nl-BE"/>
        </w:rPr>
      </w:pPr>
    </w:p>
    <w:p w14:paraId="4A2ABC07" w14:textId="60DB9AC9" w:rsidR="00C01F61" w:rsidRDefault="005B01BE" w:rsidP="00C01F61">
      <w:pPr>
        <w:rPr>
          <w:lang w:val="nl-BE"/>
        </w:rPr>
      </w:pPr>
      <w:r>
        <w:rPr>
          <w:lang w:val="nl-BE"/>
        </w:rPr>
        <w:t xml:space="preserve">Belangrijk om hierbij op te merken zijn </w:t>
      </w:r>
      <w:r w:rsidR="00CA7D36">
        <w:rPr>
          <w:lang w:val="nl-BE"/>
        </w:rPr>
        <w:t xml:space="preserve">de </w:t>
      </w:r>
      <w:r>
        <w:rPr>
          <w:lang w:val="nl-BE"/>
        </w:rPr>
        <w:t>volgende punten:</w:t>
      </w:r>
    </w:p>
    <w:p w14:paraId="0897DEF0" w14:textId="35EB02DC" w:rsidR="00D1181A" w:rsidRDefault="00BF35B8" w:rsidP="00D1181A">
      <w:pPr>
        <w:pStyle w:val="Lijstalinea"/>
        <w:numPr>
          <w:ilvl w:val="0"/>
          <w:numId w:val="38"/>
        </w:numPr>
        <w:rPr>
          <w:lang w:val="nl-BE"/>
        </w:rPr>
      </w:pPr>
      <w:r>
        <w:rPr>
          <w:lang w:val="nl-BE"/>
        </w:rPr>
        <w:t xml:space="preserve">Meetbare warmte </w:t>
      </w:r>
      <w:r w:rsidRPr="001E069C">
        <w:rPr>
          <w:b/>
          <w:bCs/>
          <w:lang w:val="nl-BE"/>
        </w:rPr>
        <w:t>afkomstig van</w:t>
      </w:r>
      <w:r>
        <w:rPr>
          <w:lang w:val="nl-BE"/>
        </w:rPr>
        <w:t xml:space="preserve"> </w:t>
      </w:r>
      <w:r w:rsidRPr="001E069C">
        <w:rPr>
          <w:b/>
          <w:bCs/>
          <w:lang w:val="nl-BE"/>
        </w:rPr>
        <w:t xml:space="preserve">afvalverbrandingsinstallaties, </w:t>
      </w:r>
      <w:r w:rsidRPr="00EE3A4C">
        <w:rPr>
          <w:lang w:val="nl-BE"/>
        </w:rPr>
        <w:t>valt niet onder de warmtebenchmark-</w:t>
      </w:r>
      <w:proofErr w:type="spellStart"/>
      <w:r w:rsidR="005E6A36">
        <w:rPr>
          <w:lang w:val="nl-BE"/>
        </w:rPr>
        <w:t>subinstallatie</w:t>
      </w:r>
      <w:proofErr w:type="spellEnd"/>
      <w:r w:rsidR="00A31322">
        <w:rPr>
          <w:lang w:val="nl-BE"/>
        </w:rPr>
        <w:t xml:space="preserve"> (lees: deze wordt behandeld als niet-ETS-warmte)</w:t>
      </w:r>
      <w:r w:rsidR="00D1181A">
        <w:rPr>
          <w:lang w:val="nl-BE"/>
        </w:rPr>
        <w:t>;</w:t>
      </w:r>
    </w:p>
    <w:p w14:paraId="33B49C3E" w14:textId="4C632AF0" w:rsidR="00D1181A" w:rsidRDefault="00D1181A">
      <w:pPr>
        <w:pStyle w:val="Lijstalinea"/>
        <w:numPr>
          <w:ilvl w:val="0"/>
          <w:numId w:val="38"/>
        </w:numPr>
        <w:rPr>
          <w:lang w:val="nl-BE"/>
        </w:rPr>
      </w:pPr>
      <w:r>
        <w:rPr>
          <w:lang w:val="nl-BE"/>
        </w:rPr>
        <w:t xml:space="preserve">Meetbare warmte </w:t>
      </w:r>
      <w:r w:rsidRPr="001E069C">
        <w:rPr>
          <w:b/>
          <w:bCs/>
          <w:lang w:val="nl-BE"/>
        </w:rPr>
        <w:t>opgewekt aan de hand van elektriciteit</w:t>
      </w:r>
      <w:r>
        <w:rPr>
          <w:lang w:val="nl-BE"/>
        </w:rPr>
        <w:t xml:space="preserve">, </w:t>
      </w:r>
      <w:r w:rsidR="00A346FF">
        <w:rPr>
          <w:lang w:val="nl-BE"/>
        </w:rPr>
        <w:t>komt nu ook in aanmerking voor toewijzing via</w:t>
      </w:r>
      <w:r w:rsidR="005D19D5">
        <w:rPr>
          <w:lang w:val="nl-BE"/>
        </w:rPr>
        <w:t xml:space="preserve"> de warmtebenchmark</w:t>
      </w:r>
      <w:r>
        <w:rPr>
          <w:lang w:val="nl-BE"/>
        </w:rPr>
        <w:t xml:space="preserve"> in het MMP26-30</w:t>
      </w:r>
      <w:r w:rsidR="001F1AB5">
        <w:rPr>
          <w:lang w:val="nl-BE"/>
        </w:rPr>
        <w:t xml:space="preserve"> (in het verleden werd h</w:t>
      </w:r>
      <w:r w:rsidR="00156536">
        <w:rPr>
          <w:lang w:val="nl-BE"/>
        </w:rPr>
        <w:t>i</w:t>
      </w:r>
      <w:r w:rsidR="001F1AB5">
        <w:rPr>
          <w:lang w:val="nl-BE"/>
        </w:rPr>
        <w:t xml:space="preserve">er geen </w:t>
      </w:r>
      <w:r w:rsidR="00CA7D36">
        <w:rPr>
          <w:lang w:val="nl-BE"/>
        </w:rPr>
        <w:t xml:space="preserve">kosteloze </w:t>
      </w:r>
      <w:r w:rsidR="001F1AB5">
        <w:rPr>
          <w:lang w:val="nl-BE"/>
        </w:rPr>
        <w:t>toewijzing voor verleend)</w:t>
      </w:r>
    </w:p>
    <w:p w14:paraId="7FE77555" w14:textId="362A272C" w:rsidR="00A31322" w:rsidRDefault="00A31322" w:rsidP="00A31322">
      <w:pPr>
        <w:pStyle w:val="Lijstalinea"/>
        <w:numPr>
          <w:ilvl w:val="1"/>
          <w:numId w:val="38"/>
        </w:numPr>
        <w:rPr>
          <w:lang w:val="nl-BE"/>
        </w:rPr>
      </w:pPr>
      <w:r>
        <w:rPr>
          <w:lang w:val="nl-BE"/>
        </w:rPr>
        <w:t>Voorbeeld</w:t>
      </w:r>
      <w:r w:rsidR="00A346FF">
        <w:rPr>
          <w:lang w:val="nl-BE"/>
        </w:rPr>
        <w:t xml:space="preserve"> 1</w:t>
      </w:r>
      <w:r>
        <w:rPr>
          <w:lang w:val="nl-BE"/>
        </w:rPr>
        <w:t>: meetbare warmte opgewekt uit elektrische boiler</w:t>
      </w:r>
      <w:r w:rsidR="00B811E1">
        <w:rPr>
          <w:lang w:val="nl-BE"/>
        </w:rPr>
        <w:t>;</w:t>
      </w:r>
    </w:p>
    <w:p w14:paraId="6109669A" w14:textId="5097B573" w:rsidR="00A346FF" w:rsidRDefault="00A346FF" w:rsidP="00A31322">
      <w:pPr>
        <w:pStyle w:val="Lijstalinea"/>
        <w:numPr>
          <w:ilvl w:val="1"/>
          <w:numId w:val="38"/>
        </w:numPr>
        <w:rPr>
          <w:lang w:val="nl-BE"/>
        </w:rPr>
      </w:pPr>
      <w:r>
        <w:rPr>
          <w:lang w:val="nl-BE"/>
        </w:rPr>
        <w:t>Voorbeeld 2: meetbare warmte uit hybride boiler</w:t>
      </w:r>
      <w:r w:rsidR="004E56A7">
        <w:rPr>
          <w:lang w:val="nl-BE"/>
        </w:rPr>
        <w:t xml:space="preserve">. Hierbij zal </w:t>
      </w:r>
      <w:r w:rsidR="00786B20">
        <w:rPr>
          <w:lang w:val="nl-BE"/>
        </w:rPr>
        <w:t xml:space="preserve"> een opsplitsing </w:t>
      </w:r>
      <w:r w:rsidR="004E56A7">
        <w:rPr>
          <w:lang w:val="nl-BE"/>
        </w:rPr>
        <w:t xml:space="preserve">gemaakt moeten </w:t>
      </w:r>
      <w:r w:rsidR="00786B20">
        <w:rPr>
          <w:lang w:val="nl-BE"/>
        </w:rPr>
        <w:t xml:space="preserve">worden tussen </w:t>
      </w:r>
      <w:r w:rsidR="002D05F6">
        <w:rPr>
          <w:lang w:val="nl-BE"/>
        </w:rPr>
        <w:t>de elektriciteitsinput voor warmteproductie en de brandstofinput voor warmteproductie</w:t>
      </w:r>
      <w:r w:rsidR="004E56A7">
        <w:rPr>
          <w:lang w:val="nl-BE"/>
        </w:rPr>
        <w:t>. Beid</w:t>
      </w:r>
      <w:r w:rsidR="00B811E1">
        <w:rPr>
          <w:lang w:val="nl-BE"/>
        </w:rPr>
        <w:t>en zullen aanleiding geven tot kosteloze toewijzing onder de warmtebenchmark;</w:t>
      </w:r>
    </w:p>
    <w:p w14:paraId="5B84655B" w14:textId="469475A5" w:rsidR="00B811E1" w:rsidRDefault="00B811E1" w:rsidP="00A31322">
      <w:pPr>
        <w:pStyle w:val="Lijstalinea"/>
        <w:numPr>
          <w:ilvl w:val="1"/>
          <w:numId w:val="38"/>
        </w:numPr>
        <w:rPr>
          <w:lang w:val="nl-BE"/>
        </w:rPr>
      </w:pPr>
      <w:r>
        <w:rPr>
          <w:lang w:val="nl-BE"/>
        </w:rPr>
        <w:t>Voorbeeld 3: meetbare warmte uit een warmtepomp</w:t>
      </w:r>
    </w:p>
    <w:p w14:paraId="2B5F4F1F" w14:textId="13731AF9" w:rsidR="007229D5" w:rsidRDefault="0067016B" w:rsidP="000E56AA">
      <w:pPr>
        <w:pStyle w:val="Lijstalinea"/>
        <w:numPr>
          <w:ilvl w:val="0"/>
          <w:numId w:val="38"/>
        </w:numPr>
        <w:rPr>
          <w:lang w:val="nl-BE"/>
        </w:rPr>
      </w:pPr>
      <w:r>
        <w:rPr>
          <w:lang w:val="nl-BE"/>
        </w:rPr>
        <w:t xml:space="preserve">Meetbare warmte </w:t>
      </w:r>
      <w:r w:rsidR="0024742D">
        <w:rPr>
          <w:lang w:val="nl-BE"/>
        </w:rPr>
        <w:t xml:space="preserve">die </w:t>
      </w:r>
      <w:r w:rsidR="0024742D" w:rsidRPr="001E069C">
        <w:rPr>
          <w:b/>
          <w:bCs/>
          <w:lang w:val="nl-BE"/>
        </w:rPr>
        <w:t>gebruikt wordt voor elektriciteitsopwekking</w:t>
      </w:r>
      <w:r w:rsidR="0024742D">
        <w:rPr>
          <w:lang w:val="nl-BE"/>
        </w:rPr>
        <w:t xml:space="preserve"> </w:t>
      </w:r>
      <w:r w:rsidR="00ED3060">
        <w:rPr>
          <w:lang w:val="nl-BE"/>
        </w:rPr>
        <w:t xml:space="preserve">komt niet in aanmerking voor kosteloze toewijzing </w:t>
      </w:r>
    </w:p>
    <w:p w14:paraId="63BBF7CF" w14:textId="77777777" w:rsidR="007229D5" w:rsidRDefault="007229D5" w:rsidP="007229D5">
      <w:pPr>
        <w:rPr>
          <w:lang w:val="nl-BE"/>
        </w:rPr>
      </w:pPr>
    </w:p>
    <w:p w14:paraId="6CFC2D63" w14:textId="41DE7782" w:rsidR="000E56AA" w:rsidRPr="00A12336" w:rsidRDefault="004567AE" w:rsidP="001E069C">
      <w:pPr>
        <w:rPr>
          <w:lang w:val="nl-BE"/>
        </w:rPr>
      </w:pPr>
      <w:r w:rsidRPr="00A12336">
        <w:rPr>
          <w:lang w:val="nl-BE"/>
        </w:rPr>
        <w:t xml:space="preserve">Het Europese </w:t>
      </w:r>
      <w:r w:rsidRPr="001E069C">
        <w:rPr>
          <w:lang w:val="nl-BE"/>
        </w:rPr>
        <w:t>toelichtingsdocument</w:t>
      </w:r>
      <w:r w:rsidR="0024742D" w:rsidRPr="00A12336">
        <w:rPr>
          <w:lang w:val="nl-BE"/>
        </w:rPr>
        <w:t xml:space="preserve"> </w:t>
      </w:r>
      <w:r w:rsidRPr="00A12336">
        <w:rPr>
          <w:lang w:val="nl-BE"/>
        </w:rPr>
        <w:t>“</w:t>
      </w:r>
      <w:proofErr w:type="spellStart"/>
      <w:r w:rsidR="00802946">
        <w:rPr>
          <w:lang w:val="nl-BE"/>
        </w:rPr>
        <w:fldChar w:fldCharType="begin"/>
      </w:r>
      <w:r w:rsidR="00802946">
        <w:rPr>
          <w:lang w:val="nl-BE"/>
        </w:rPr>
        <w:instrText>HYPERLINK "https://climate.ec.europa.eu/document/download/a4c0cb40-35f9-4705-882d-b55382d03e9a_en?filename=2_gd2_allocation_methodologies_en.pdf"</w:instrText>
      </w:r>
      <w:r w:rsidR="00802946">
        <w:rPr>
          <w:lang w:val="nl-BE"/>
        </w:rPr>
      </w:r>
      <w:r w:rsidR="00802946">
        <w:rPr>
          <w:lang w:val="nl-BE"/>
        </w:rPr>
        <w:fldChar w:fldCharType="separate"/>
      </w:r>
      <w:r w:rsidRPr="00802946">
        <w:rPr>
          <w:rStyle w:val="Hyperlink"/>
          <w:lang w:val="nl-BE"/>
        </w:rPr>
        <w:t>Guidance</w:t>
      </w:r>
      <w:proofErr w:type="spellEnd"/>
      <w:r w:rsidR="00781C27">
        <w:rPr>
          <w:rStyle w:val="Hyperlink"/>
          <w:lang w:val="nl-BE"/>
        </w:rPr>
        <w:t xml:space="preserve"> Document n°2</w:t>
      </w:r>
      <w:r w:rsidRPr="00802946">
        <w:rPr>
          <w:rStyle w:val="Hyperlink"/>
          <w:lang w:val="nl-BE"/>
        </w:rPr>
        <w:t xml:space="preserve"> on </w:t>
      </w:r>
      <w:proofErr w:type="spellStart"/>
      <w:r w:rsidRPr="001E069C">
        <w:rPr>
          <w:rStyle w:val="Hyperlink"/>
          <w:lang w:val="nl-BE"/>
        </w:rPr>
        <w:t>determining</w:t>
      </w:r>
      <w:proofErr w:type="spellEnd"/>
      <w:r w:rsidRPr="001E069C">
        <w:rPr>
          <w:rStyle w:val="Hyperlink"/>
          <w:lang w:val="nl-BE"/>
        </w:rPr>
        <w:t xml:space="preserve"> </w:t>
      </w:r>
      <w:proofErr w:type="spellStart"/>
      <w:r w:rsidRPr="001E069C">
        <w:rPr>
          <w:rStyle w:val="Hyperlink"/>
          <w:lang w:val="nl-BE"/>
        </w:rPr>
        <w:t>the</w:t>
      </w:r>
      <w:proofErr w:type="spellEnd"/>
      <w:r w:rsidRPr="001E069C">
        <w:rPr>
          <w:rStyle w:val="Hyperlink"/>
          <w:lang w:val="nl-BE"/>
        </w:rPr>
        <w:t xml:space="preserve"> </w:t>
      </w:r>
      <w:proofErr w:type="spellStart"/>
      <w:r w:rsidRPr="001E069C">
        <w:rPr>
          <w:rStyle w:val="Hyperlink"/>
          <w:lang w:val="nl-BE"/>
        </w:rPr>
        <w:t>allocation</w:t>
      </w:r>
      <w:proofErr w:type="spellEnd"/>
      <w:r w:rsidRPr="001E069C">
        <w:rPr>
          <w:rStyle w:val="Hyperlink"/>
          <w:lang w:val="nl-BE"/>
        </w:rPr>
        <w:t xml:space="preserve"> at  </w:t>
      </w:r>
      <w:proofErr w:type="spellStart"/>
      <w:r w:rsidRPr="001E069C">
        <w:rPr>
          <w:rStyle w:val="Hyperlink"/>
          <w:lang w:val="nl-BE"/>
        </w:rPr>
        <w:t>installation</w:t>
      </w:r>
      <w:proofErr w:type="spellEnd"/>
      <w:r w:rsidRPr="001E069C">
        <w:rPr>
          <w:rStyle w:val="Hyperlink"/>
          <w:lang w:val="nl-BE"/>
        </w:rPr>
        <w:t xml:space="preserve"> level</w:t>
      </w:r>
      <w:r w:rsidR="00802946">
        <w:rPr>
          <w:lang w:val="nl-BE"/>
        </w:rPr>
        <w:fldChar w:fldCharType="end"/>
      </w:r>
      <w:r w:rsidRPr="001E069C">
        <w:rPr>
          <w:lang w:val="nl-BE"/>
        </w:rPr>
        <w:t xml:space="preserve">” </w:t>
      </w:r>
      <w:r w:rsidR="00F805B3" w:rsidRPr="001E069C">
        <w:rPr>
          <w:lang w:val="nl-BE"/>
        </w:rPr>
        <w:t xml:space="preserve">gaat in groter detail in op </w:t>
      </w:r>
      <w:r w:rsidR="00A12336" w:rsidRPr="001E069C">
        <w:rPr>
          <w:lang w:val="nl-BE"/>
        </w:rPr>
        <w:t>de aan</w:t>
      </w:r>
      <w:r w:rsidR="00A12336">
        <w:rPr>
          <w:lang w:val="nl-BE"/>
        </w:rPr>
        <w:t>maak van een warmtebenchmark-</w:t>
      </w:r>
      <w:proofErr w:type="spellStart"/>
      <w:r w:rsidR="005E6A36">
        <w:rPr>
          <w:lang w:val="nl-BE"/>
        </w:rPr>
        <w:t>subinstallatie</w:t>
      </w:r>
      <w:proofErr w:type="spellEnd"/>
      <w:r w:rsidR="00A12336">
        <w:rPr>
          <w:lang w:val="nl-BE"/>
        </w:rPr>
        <w:t>.</w:t>
      </w:r>
    </w:p>
    <w:p w14:paraId="05767A7A" w14:textId="77777777" w:rsidR="00A31322" w:rsidRPr="00A12336" w:rsidRDefault="00A31322" w:rsidP="00A31322">
      <w:pPr>
        <w:rPr>
          <w:lang w:val="nl-BE"/>
        </w:rPr>
      </w:pPr>
    </w:p>
    <w:p w14:paraId="74167211" w14:textId="77777777" w:rsidR="00EE3A4C" w:rsidRDefault="00EE3A4C">
      <w:pPr>
        <w:rPr>
          <w:rFonts w:asciiTheme="majorHAnsi" w:eastAsiaTheme="majorEastAsia" w:hAnsiTheme="majorHAnsi" w:cstheme="majorBidi"/>
          <w:color w:val="2F5496" w:themeColor="accent1" w:themeShade="BF"/>
          <w:sz w:val="26"/>
          <w:szCs w:val="26"/>
          <w:lang w:val="nl-BE"/>
        </w:rPr>
      </w:pPr>
      <w:r>
        <w:rPr>
          <w:lang w:val="nl-BE"/>
        </w:rPr>
        <w:br w:type="page"/>
      </w:r>
    </w:p>
    <w:p w14:paraId="67D37D79" w14:textId="45375B50" w:rsidR="00A31322" w:rsidRDefault="00ED5A0F" w:rsidP="00ED5A0F">
      <w:pPr>
        <w:pStyle w:val="Kop2"/>
        <w:numPr>
          <w:ilvl w:val="1"/>
          <w:numId w:val="35"/>
        </w:numPr>
        <w:rPr>
          <w:lang w:val="nl-BE"/>
        </w:rPr>
      </w:pPr>
      <w:bookmarkStart w:id="6" w:name="_Toc160465594"/>
      <w:r>
        <w:rPr>
          <w:lang w:val="nl-BE"/>
        </w:rPr>
        <w:lastRenderedPageBreak/>
        <w:t>Brandstofbenchmark-</w:t>
      </w:r>
      <w:proofErr w:type="spellStart"/>
      <w:r w:rsidR="005E6A36">
        <w:rPr>
          <w:lang w:val="nl-BE"/>
        </w:rPr>
        <w:t>subinstallatie</w:t>
      </w:r>
      <w:bookmarkEnd w:id="6"/>
      <w:proofErr w:type="spellEnd"/>
    </w:p>
    <w:p w14:paraId="308F8481" w14:textId="3D45B01C" w:rsidR="00ED5A0F" w:rsidRDefault="00ED5A0F" w:rsidP="00ED5A0F">
      <w:pPr>
        <w:rPr>
          <w:lang w:val="nl-BE"/>
        </w:rPr>
      </w:pPr>
      <w:r>
        <w:rPr>
          <w:lang w:val="nl-BE"/>
        </w:rPr>
        <w:t>De nieuwe definitie van de brandstofbenchmark-</w:t>
      </w:r>
      <w:proofErr w:type="spellStart"/>
      <w:r w:rsidR="005E6A36">
        <w:rPr>
          <w:lang w:val="nl-BE"/>
        </w:rPr>
        <w:t>subinstallatie</w:t>
      </w:r>
      <w:proofErr w:type="spellEnd"/>
      <w:r>
        <w:rPr>
          <w:lang w:val="nl-BE"/>
        </w:rPr>
        <w:t xml:space="preserve"> in de </w:t>
      </w:r>
      <w:r w:rsidR="00CA7D36">
        <w:rPr>
          <w:lang w:val="nl-BE"/>
        </w:rPr>
        <w:t xml:space="preserve">herziene </w:t>
      </w:r>
      <w:r>
        <w:rPr>
          <w:lang w:val="nl-BE"/>
        </w:rPr>
        <w:t>FAR is de volgende:</w:t>
      </w:r>
    </w:p>
    <w:tbl>
      <w:tblPr>
        <w:tblStyle w:val="Tabelraster"/>
        <w:tblW w:w="0" w:type="auto"/>
        <w:tblLook w:val="04A0" w:firstRow="1" w:lastRow="0" w:firstColumn="1" w:lastColumn="0" w:noHBand="0" w:noVBand="1"/>
      </w:tblPr>
      <w:tblGrid>
        <w:gridCol w:w="9016"/>
      </w:tblGrid>
      <w:tr w:rsidR="00FC0643" w14:paraId="0A40566E" w14:textId="77777777" w:rsidTr="00FC0643">
        <w:tc>
          <w:tcPr>
            <w:tcW w:w="9016" w:type="dxa"/>
          </w:tcPr>
          <w:p w14:paraId="4DC49977" w14:textId="56015885" w:rsidR="00FC0643" w:rsidRPr="001E069C" w:rsidRDefault="00FC0643" w:rsidP="00ED5A0F">
            <w:pPr>
              <w:rPr>
                <w:i/>
                <w:iCs/>
                <w:lang w:val="nl-BE"/>
              </w:rPr>
            </w:pPr>
            <w:r w:rsidRPr="007F070A">
              <w:rPr>
                <w:i/>
                <w:iCs/>
                <w:lang w:val="nl-BE"/>
              </w:rPr>
              <w:t>“de niet onder een productbenchmark-</w:t>
            </w:r>
            <w:proofErr w:type="spellStart"/>
            <w:r w:rsidR="005E6A36">
              <w:rPr>
                <w:i/>
                <w:iCs/>
                <w:lang w:val="nl-BE"/>
              </w:rPr>
              <w:t>subinstallatie</w:t>
            </w:r>
            <w:proofErr w:type="spellEnd"/>
            <w:r w:rsidRPr="007F070A">
              <w:rPr>
                <w:i/>
                <w:iCs/>
                <w:lang w:val="nl-BE"/>
              </w:rPr>
              <w:t xml:space="preserve"> vallende </w:t>
            </w:r>
            <w:proofErr w:type="spellStart"/>
            <w:r w:rsidRPr="007F070A">
              <w:rPr>
                <w:i/>
                <w:iCs/>
                <w:lang w:val="nl-BE"/>
              </w:rPr>
              <w:t>inputs</w:t>
            </w:r>
            <w:proofErr w:type="spellEnd"/>
            <w:r w:rsidRPr="007F070A">
              <w:rPr>
                <w:i/>
                <w:iCs/>
                <w:lang w:val="nl-BE"/>
              </w:rPr>
              <w:t xml:space="preserve">, </w:t>
            </w:r>
            <w:proofErr w:type="spellStart"/>
            <w:r w:rsidRPr="007F070A">
              <w:rPr>
                <w:i/>
                <w:iCs/>
                <w:lang w:val="nl-BE"/>
              </w:rPr>
              <w:t>outputs</w:t>
            </w:r>
            <w:proofErr w:type="spellEnd"/>
            <w:r w:rsidRPr="007F070A">
              <w:rPr>
                <w:i/>
                <w:iCs/>
                <w:lang w:val="nl-BE"/>
              </w:rPr>
              <w:t xml:space="preserve"> en daarmee samenhangende emissies met betrekking tot de productie door brandstofverbranding </w:t>
            </w:r>
            <w:r w:rsidRPr="001E069C">
              <w:rPr>
                <w:b/>
                <w:bCs/>
                <w:i/>
                <w:iCs/>
                <w:lang w:val="nl-BE"/>
              </w:rPr>
              <w:t>of door elektriciteit</w:t>
            </w:r>
            <w:r w:rsidRPr="007F070A">
              <w:rPr>
                <w:i/>
                <w:iCs/>
                <w:lang w:val="nl-BE"/>
              </w:rPr>
              <w:t xml:space="preserve">, van niet-meetbare warmte, </w:t>
            </w:r>
            <w:r w:rsidRPr="001E069C">
              <w:rPr>
                <w:b/>
                <w:bCs/>
                <w:i/>
                <w:iCs/>
                <w:lang w:val="nl-BE"/>
              </w:rPr>
              <w:t>met als belangrijkste doel warmtegeneratie</w:t>
            </w:r>
            <w:r w:rsidRPr="007F070A">
              <w:rPr>
                <w:i/>
                <w:iCs/>
                <w:lang w:val="nl-BE"/>
              </w:rPr>
              <w:t xml:space="preserve">, die wordt verbruikt voor de vervaardiging van producten, voor de </w:t>
            </w:r>
            <w:r w:rsidRPr="001E069C">
              <w:rPr>
                <w:b/>
                <w:bCs/>
                <w:i/>
                <w:iCs/>
                <w:lang w:val="nl-BE"/>
              </w:rPr>
              <w:t>productie van andere dan voor elektriciteitsopwekking</w:t>
            </w:r>
            <w:r w:rsidRPr="007F070A">
              <w:rPr>
                <w:i/>
                <w:iCs/>
                <w:lang w:val="nl-BE"/>
              </w:rPr>
              <w:t xml:space="preserve"> gebruikte mechanische energie of voor andere dan voor elektriciteitsopwekking gebruikte verwarming of koeling, en met inbegrip van </w:t>
            </w:r>
            <w:proofErr w:type="spellStart"/>
            <w:r w:rsidRPr="007F070A">
              <w:rPr>
                <w:i/>
                <w:iCs/>
                <w:lang w:val="nl-BE"/>
              </w:rPr>
              <w:t>veiligheidsaffakkeling</w:t>
            </w:r>
            <w:proofErr w:type="spellEnd"/>
            <w:r w:rsidRPr="007F070A">
              <w:rPr>
                <w:i/>
                <w:iCs/>
                <w:lang w:val="nl-BE"/>
              </w:rPr>
              <w:t>”</w:t>
            </w:r>
          </w:p>
        </w:tc>
      </w:tr>
    </w:tbl>
    <w:p w14:paraId="3F5286D1" w14:textId="77777777" w:rsidR="00FC0643" w:rsidRDefault="00FC0643" w:rsidP="00ED5A0F">
      <w:pPr>
        <w:rPr>
          <w:lang w:val="nl-BE"/>
        </w:rPr>
      </w:pPr>
    </w:p>
    <w:p w14:paraId="24E9A9D3" w14:textId="58443035" w:rsidR="00FC0643" w:rsidRDefault="00FC0643" w:rsidP="00ED5A0F">
      <w:pPr>
        <w:rPr>
          <w:lang w:val="nl-BE"/>
        </w:rPr>
      </w:pPr>
      <w:r>
        <w:rPr>
          <w:lang w:val="nl-BE"/>
        </w:rPr>
        <w:t xml:space="preserve">Belangrijk om hierbij op te merken zijn </w:t>
      </w:r>
      <w:r w:rsidR="00404A1E">
        <w:rPr>
          <w:lang w:val="nl-BE"/>
        </w:rPr>
        <w:t xml:space="preserve">de </w:t>
      </w:r>
      <w:r>
        <w:rPr>
          <w:lang w:val="nl-BE"/>
        </w:rPr>
        <w:t>volgende punten:</w:t>
      </w:r>
    </w:p>
    <w:p w14:paraId="61F2D47B" w14:textId="032FB37F" w:rsidR="00A85380" w:rsidRDefault="00C40870" w:rsidP="00FC0643">
      <w:pPr>
        <w:pStyle w:val="Lijstalinea"/>
        <w:numPr>
          <w:ilvl w:val="0"/>
          <w:numId w:val="38"/>
        </w:numPr>
        <w:rPr>
          <w:lang w:val="nl-BE"/>
        </w:rPr>
      </w:pPr>
      <w:r>
        <w:rPr>
          <w:lang w:val="nl-BE"/>
        </w:rPr>
        <w:t xml:space="preserve">De opwekking van niet-meetbare warmte </w:t>
      </w:r>
      <w:r w:rsidRPr="001E069C">
        <w:rPr>
          <w:b/>
          <w:bCs/>
          <w:u w:val="single"/>
          <w:lang w:val="nl-BE"/>
        </w:rPr>
        <w:t>op basis van</w:t>
      </w:r>
      <w:r w:rsidRPr="001E069C">
        <w:rPr>
          <w:b/>
          <w:bCs/>
          <w:lang w:val="nl-BE"/>
        </w:rPr>
        <w:t xml:space="preserve"> </w:t>
      </w:r>
      <w:r w:rsidRPr="001E069C">
        <w:rPr>
          <w:b/>
          <w:bCs/>
          <w:u w:val="single"/>
          <w:lang w:val="nl-BE"/>
        </w:rPr>
        <w:t>elektriciteit</w:t>
      </w:r>
      <w:r>
        <w:rPr>
          <w:lang w:val="nl-BE"/>
        </w:rPr>
        <w:t xml:space="preserve"> valt in het MMP26-30 ook onder de brandstofbenchmark-</w:t>
      </w:r>
      <w:proofErr w:type="spellStart"/>
      <w:r w:rsidR="005E6A36">
        <w:rPr>
          <w:lang w:val="nl-BE"/>
        </w:rPr>
        <w:t>subinstallatie</w:t>
      </w:r>
      <w:proofErr w:type="spellEnd"/>
    </w:p>
    <w:p w14:paraId="5C199EE6" w14:textId="75635782" w:rsidR="002E3C6B" w:rsidRDefault="002E3C6B" w:rsidP="00FC0643">
      <w:pPr>
        <w:pStyle w:val="Lijstalinea"/>
        <w:numPr>
          <w:ilvl w:val="0"/>
          <w:numId w:val="38"/>
        </w:numPr>
        <w:rPr>
          <w:lang w:val="nl-BE"/>
        </w:rPr>
      </w:pPr>
      <w:r>
        <w:rPr>
          <w:lang w:val="nl-BE"/>
        </w:rPr>
        <w:t xml:space="preserve">Indien de niet-meetbare warmte </w:t>
      </w:r>
      <w:r w:rsidRPr="001E069C">
        <w:rPr>
          <w:b/>
          <w:bCs/>
          <w:u w:val="single"/>
          <w:lang w:val="nl-BE"/>
        </w:rPr>
        <w:t>gebruikt</w:t>
      </w:r>
      <w:r w:rsidRPr="001E069C">
        <w:rPr>
          <w:b/>
          <w:bCs/>
          <w:lang w:val="nl-BE"/>
        </w:rPr>
        <w:t xml:space="preserve"> </w:t>
      </w:r>
      <w:r w:rsidRPr="001E069C">
        <w:rPr>
          <w:b/>
          <w:bCs/>
          <w:u w:val="single"/>
          <w:lang w:val="nl-BE"/>
        </w:rPr>
        <w:t>wordt voor elektriciteitsopwekking</w:t>
      </w:r>
      <w:r>
        <w:rPr>
          <w:lang w:val="nl-BE"/>
        </w:rPr>
        <w:t xml:space="preserve">, komt die niet in aanmerking voor kosteloze toewijzing </w:t>
      </w:r>
    </w:p>
    <w:p w14:paraId="1795136C" w14:textId="21E87732" w:rsidR="00C40870" w:rsidRDefault="00781F44" w:rsidP="00FC0643">
      <w:pPr>
        <w:pStyle w:val="Lijstalinea"/>
        <w:numPr>
          <w:ilvl w:val="0"/>
          <w:numId w:val="38"/>
        </w:numPr>
        <w:rPr>
          <w:lang w:val="nl-BE"/>
        </w:rPr>
      </w:pPr>
      <w:r>
        <w:rPr>
          <w:lang w:val="nl-BE"/>
        </w:rPr>
        <w:t>“</w:t>
      </w:r>
      <w:r w:rsidRPr="001E069C">
        <w:rPr>
          <w:b/>
          <w:bCs/>
          <w:i/>
          <w:iCs/>
          <w:lang w:val="nl-BE"/>
        </w:rPr>
        <w:t>met als belangrijkste doel warmtegeneratie</w:t>
      </w:r>
      <w:r>
        <w:rPr>
          <w:i/>
          <w:iCs/>
          <w:lang w:val="nl-BE"/>
        </w:rPr>
        <w:t>”</w:t>
      </w:r>
    </w:p>
    <w:p w14:paraId="4B62CD23" w14:textId="4D2D44F2" w:rsidR="00FC0643" w:rsidRPr="001E069C" w:rsidRDefault="00781F44" w:rsidP="001E069C">
      <w:pPr>
        <w:pStyle w:val="Lijstalinea"/>
        <w:numPr>
          <w:ilvl w:val="1"/>
          <w:numId w:val="38"/>
        </w:numPr>
        <w:rPr>
          <w:i/>
          <w:iCs/>
          <w:lang w:val="nl-BE"/>
        </w:rPr>
      </w:pPr>
      <w:r>
        <w:rPr>
          <w:lang w:val="nl-BE"/>
        </w:rPr>
        <w:t xml:space="preserve">Hierbij maakt de definitie een uitzondering voor </w:t>
      </w:r>
      <w:proofErr w:type="spellStart"/>
      <w:r>
        <w:rPr>
          <w:lang w:val="nl-BE"/>
        </w:rPr>
        <w:t>veiligheidsaffakkeling</w:t>
      </w:r>
      <w:proofErr w:type="spellEnd"/>
      <w:r>
        <w:rPr>
          <w:lang w:val="nl-BE"/>
        </w:rPr>
        <w:t xml:space="preserve">. De Europese toelichting maakt ook expliciet een uitzondering voor </w:t>
      </w:r>
      <w:r w:rsidR="008671BA">
        <w:rPr>
          <w:lang w:val="nl-BE"/>
        </w:rPr>
        <w:t xml:space="preserve">brandstoffen die gebruikt worden in </w:t>
      </w:r>
      <w:r w:rsidR="008671BA" w:rsidRPr="001E069C">
        <w:rPr>
          <w:i/>
          <w:iCs/>
          <w:lang w:val="nl-BE"/>
        </w:rPr>
        <w:t>“</w:t>
      </w:r>
      <w:proofErr w:type="spellStart"/>
      <w:r w:rsidR="008671BA" w:rsidRPr="001E069C">
        <w:rPr>
          <w:i/>
          <w:iCs/>
          <w:lang w:val="nl-BE"/>
        </w:rPr>
        <w:t>fire-fighting</w:t>
      </w:r>
      <w:proofErr w:type="spellEnd"/>
      <w:r w:rsidR="008671BA" w:rsidRPr="001E069C">
        <w:rPr>
          <w:i/>
          <w:iCs/>
          <w:lang w:val="nl-BE"/>
        </w:rPr>
        <w:t xml:space="preserve"> systems </w:t>
      </w:r>
      <w:proofErr w:type="spellStart"/>
      <w:r w:rsidR="008671BA" w:rsidRPr="001E069C">
        <w:rPr>
          <w:i/>
          <w:iCs/>
          <w:lang w:val="nl-BE"/>
        </w:rPr>
        <w:t>necessary</w:t>
      </w:r>
      <w:proofErr w:type="spellEnd"/>
      <w:r w:rsidR="008671BA" w:rsidRPr="001E069C">
        <w:rPr>
          <w:i/>
          <w:iCs/>
          <w:lang w:val="nl-BE"/>
        </w:rPr>
        <w:t xml:space="preserve"> on</w:t>
      </w:r>
      <w:r w:rsidR="00A97A61" w:rsidRPr="001E069C">
        <w:rPr>
          <w:i/>
          <w:iCs/>
          <w:lang w:val="nl-BE"/>
        </w:rPr>
        <w:t xml:space="preserve">-site </w:t>
      </w:r>
      <w:proofErr w:type="spellStart"/>
      <w:r w:rsidR="00A97A61" w:rsidRPr="001E069C">
        <w:rPr>
          <w:i/>
          <w:iCs/>
          <w:lang w:val="nl-BE"/>
        </w:rPr>
        <w:t>for</w:t>
      </w:r>
      <w:proofErr w:type="spellEnd"/>
      <w:r w:rsidR="00A97A61" w:rsidRPr="001E069C">
        <w:rPr>
          <w:i/>
          <w:iCs/>
          <w:lang w:val="nl-BE"/>
        </w:rPr>
        <w:t xml:space="preserve"> </w:t>
      </w:r>
      <w:proofErr w:type="spellStart"/>
      <w:r w:rsidR="00A97A61" w:rsidRPr="001E069C">
        <w:rPr>
          <w:i/>
          <w:iCs/>
          <w:lang w:val="nl-BE"/>
        </w:rPr>
        <w:t>safety</w:t>
      </w:r>
      <w:proofErr w:type="spellEnd"/>
      <w:r w:rsidR="00A97A61" w:rsidRPr="001E069C">
        <w:rPr>
          <w:i/>
          <w:iCs/>
          <w:lang w:val="nl-BE"/>
        </w:rPr>
        <w:t xml:space="preserve"> </w:t>
      </w:r>
      <w:proofErr w:type="spellStart"/>
      <w:r w:rsidR="00A97A61" w:rsidRPr="001E069C">
        <w:rPr>
          <w:i/>
          <w:iCs/>
          <w:lang w:val="nl-BE"/>
        </w:rPr>
        <w:t>reasons</w:t>
      </w:r>
      <w:proofErr w:type="spellEnd"/>
      <w:r w:rsidR="00A97A61" w:rsidRPr="001E069C">
        <w:rPr>
          <w:i/>
          <w:iCs/>
          <w:lang w:val="nl-BE"/>
        </w:rPr>
        <w:t>”</w:t>
      </w:r>
    </w:p>
    <w:p w14:paraId="125EF2F7" w14:textId="7F210CD6" w:rsidR="006E4C21" w:rsidRPr="00A12336" w:rsidRDefault="006E4C21" w:rsidP="006E4C21">
      <w:pPr>
        <w:rPr>
          <w:lang w:val="nl-BE"/>
        </w:rPr>
      </w:pPr>
      <w:r w:rsidRPr="00A12336">
        <w:rPr>
          <w:lang w:val="nl-BE"/>
        </w:rPr>
        <w:t xml:space="preserve">Het Europese </w:t>
      </w:r>
      <w:r w:rsidRPr="007F070A">
        <w:rPr>
          <w:lang w:val="nl-BE"/>
        </w:rPr>
        <w:t>toelichtingsdocument</w:t>
      </w:r>
      <w:r w:rsidRPr="00A12336">
        <w:rPr>
          <w:lang w:val="nl-BE"/>
        </w:rPr>
        <w:t xml:space="preserve"> “</w:t>
      </w:r>
      <w:proofErr w:type="spellStart"/>
      <w:r w:rsidR="00802946">
        <w:rPr>
          <w:lang w:val="nl-BE"/>
        </w:rPr>
        <w:fldChar w:fldCharType="begin"/>
      </w:r>
      <w:r w:rsidR="00802946">
        <w:rPr>
          <w:lang w:val="nl-BE"/>
        </w:rPr>
        <w:instrText>HYPERLINK "https://climate.ec.europa.eu/document/download/a4c0cb40-35f9-4705-882d-b55382d03e9a_en?filename=2_gd2_allocation_methodologies_en.pdf"</w:instrText>
      </w:r>
      <w:r w:rsidR="00802946">
        <w:rPr>
          <w:lang w:val="nl-BE"/>
        </w:rPr>
      </w:r>
      <w:r w:rsidR="00802946">
        <w:rPr>
          <w:lang w:val="nl-BE"/>
        </w:rPr>
        <w:fldChar w:fldCharType="separate"/>
      </w:r>
      <w:r w:rsidRPr="00802946">
        <w:rPr>
          <w:rStyle w:val="Hyperlink"/>
          <w:lang w:val="nl-BE"/>
        </w:rPr>
        <w:t>Guidance</w:t>
      </w:r>
      <w:proofErr w:type="spellEnd"/>
      <w:r w:rsidR="00716BFD">
        <w:rPr>
          <w:rStyle w:val="Hyperlink"/>
          <w:lang w:val="nl-BE"/>
        </w:rPr>
        <w:t xml:space="preserve"> Document n°2</w:t>
      </w:r>
      <w:r w:rsidRPr="00802946">
        <w:rPr>
          <w:rStyle w:val="Hyperlink"/>
          <w:lang w:val="nl-BE"/>
        </w:rPr>
        <w:t xml:space="preserve"> on </w:t>
      </w:r>
      <w:proofErr w:type="spellStart"/>
      <w:r w:rsidRPr="00802946">
        <w:rPr>
          <w:rStyle w:val="Hyperlink"/>
          <w:lang w:val="nl-BE"/>
        </w:rPr>
        <w:t>determining</w:t>
      </w:r>
      <w:proofErr w:type="spellEnd"/>
      <w:r w:rsidRPr="00802946">
        <w:rPr>
          <w:rStyle w:val="Hyperlink"/>
          <w:lang w:val="nl-BE"/>
        </w:rPr>
        <w:t xml:space="preserve"> </w:t>
      </w:r>
      <w:proofErr w:type="spellStart"/>
      <w:r w:rsidRPr="00802946">
        <w:rPr>
          <w:rStyle w:val="Hyperlink"/>
          <w:lang w:val="nl-BE"/>
        </w:rPr>
        <w:t>the</w:t>
      </w:r>
      <w:proofErr w:type="spellEnd"/>
      <w:r w:rsidRPr="00802946">
        <w:rPr>
          <w:rStyle w:val="Hyperlink"/>
          <w:lang w:val="nl-BE"/>
        </w:rPr>
        <w:t xml:space="preserve"> </w:t>
      </w:r>
      <w:proofErr w:type="spellStart"/>
      <w:r w:rsidRPr="00802946">
        <w:rPr>
          <w:rStyle w:val="Hyperlink"/>
          <w:lang w:val="nl-BE"/>
        </w:rPr>
        <w:t>allocation</w:t>
      </w:r>
      <w:proofErr w:type="spellEnd"/>
      <w:r w:rsidRPr="00802946">
        <w:rPr>
          <w:rStyle w:val="Hyperlink"/>
          <w:lang w:val="nl-BE"/>
        </w:rPr>
        <w:t xml:space="preserve"> at </w:t>
      </w:r>
      <w:proofErr w:type="spellStart"/>
      <w:r w:rsidRPr="00802946">
        <w:rPr>
          <w:rStyle w:val="Hyperlink"/>
          <w:lang w:val="nl-BE"/>
        </w:rPr>
        <w:t>installation</w:t>
      </w:r>
      <w:proofErr w:type="spellEnd"/>
      <w:r w:rsidRPr="00802946">
        <w:rPr>
          <w:rStyle w:val="Hyperlink"/>
          <w:lang w:val="nl-BE"/>
        </w:rPr>
        <w:t xml:space="preserve"> level</w:t>
      </w:r>
      <w:r w:rsidR="00802946">
        <w:rPr>
          <w:lang w:val="nl-BE"/>
        </w:rPr>
        <w:fldChar w:fldCharType="end"/>
      </w:r>
      <w:r w:rsidRPr="007F070A">
        <w:rPr>
          <w:lang w:val="nl-BE"/>
        </w:rPr>
        <w:t>” gaat in groter detail in op de aan</w:t>
      </w:r>
      <w:r>
        <w:rPr>
          <w:lang w:val="nl-BE"/>
        </w:rPr>
        <w:t>maak van een brandstofbenchmar</w:t>
      </w:r>
      <w:r w:rsidR="00C135D5">
        <w:rPr>
          <w:lang w:val="nl-BE"/>
        </w:rPr>
        <w:t>k</w:t>
      </w:r>
      <w:r>
        <w:rPr>
          <w:lang w:val="nl-BE"/>
        </w:rPr>
        <w:t>-</w:t>
      </w:r>
      <w:proofErr w:type="spellStart"/>
      <w:r w:rsidR="005E6A36">
        <w:rPr>
          <w:lang w:val="nl-BE"/>
        </w:rPr>
        <w:t>subinstallatie</w:t>
      </w:r>
      <w:proofErr w:type="spellEnd"/>
      <w:r>
        <w:rPr>
          <w:lang w:val="nl-BE"/>
        </w:rPr>
        <w:t>.</w:t>
      </w:r>
    </w:p>
    <w:p w14:paraId="15DAF79A" w14:textId="7DE685B4" w:rsidR="006E4C21" w:rsidRDefault="00A97A61" w:rsidP="00A97A61">
      <w:pPr>
        <w:pStyle w:val="Kop2"/>
        <w:numPr>
          <w:ilvl w:val="1"/>
          <w:numId w:val="35"/>
        </w:numPr>
        <w:rPr>
          <w:lang w:val="nl-BE"/>
        </w:rPr>
      </w:pPr>
      <w:bookmarkStart w:id="7" w:name="_Toc160465595"/>
      <w:proofErr w:type="spellStart"/>
      <w:r>
        <w:rPr>
          <w:lang w:val="nl-BE"/>
        </w:rPr>
        <w:t>Elektriciteitsopwekkers</w:t>
      </w:r>
      <w:bookmarkEnd w:id="7"/>
      <w:proofErr w:type="spellEnd"/>
    </w:p>
    <w:p w14:paraId="2923F78A" w14:textId="1E9FE03F" w:rsidR="00A97A61" w:rsidRDefault="00A97A61" w:rsidP="00A97A61">
      <w:pPr>
        <w:rPr>
          <w:lang w:val="nl-BE"/>
        </w:rPr>
      </w:pPr>
      <w:r>
        <w:rPr>
          <w:lang w:val="nl-BE"/>
        </w:rPr>
        <w:t xml:space="preserve">In de periode </w:t>
      </w:r>
      <w:r w:rsidR="00404A1E">
        <w:rPr>
          <w:lang w:val="nl-BE"/>
        </w:rPr>
        <w:t>20</w:t>
      </w:r>
      <w:r>
        <w:rPr>
          <w:lang w:val="nl-BE"/>
        </w:rPr>
        <w:t>21-</w:t>
      </w:r>
      <w:r w:rsidR="00404A1E">
        <w:rPr>
          <w:lang w:val="nl-BE"/>
        </w:rPr>
        <w:t>20</w:t>
      </w:r>
      <w:r>
        <w:rPr>
          <w:lang w:val="nl-BE"/>
        </w:rPr>
        <w:t xml:space="preserve">25 was nog sprake van een definitie van elektriciteitsopwekker. </w:t>
      </w:r>
    </w:p>
    <w:p w14:paraId="23EC1425" w14:textId="0FF98960" w:rsidR="00EE3A4C" w:rsidRPr="001E069C" w:rsidRDefault="00EB1778">
      <w:pPr>
        <w:rPr>
          <w:lang w:val="nl-BE"/>
        </w:rPr>
      </w:pPr>
      <w:r w:rsidRPr="00EB1778">
        <w:rPr>
          <w:lang w:val="nl-BE"/>
        </w:rPr>
        <w:t xml:space="preserve">De </w:t>
      </w:r>
      <w:r w:rsidRPr="00EE3A4C">
        <w:rPr>
          <w:lang w:val="nl-BE"/>
        </w:rPr>
        <w:t>schrapping</w:t>
      </w:r>
      <w:r w:rsidRPr="00EB1778">
        <w:rPr>
          <w:lang w:val="nl-BE"/>
        </w:rPr>
        <w:t xml:space="preserve"> van de definitie van </w:t>
      </w:r>
      <w:proofErr w:type="spellStart"/>
      <w:r w:rsidRPr="00EB1778">
        <w:rPr>
          <w:lang w:val="nl-BE"/>
        </w:rPr>
        <w:t>elektriciteitsopwekkers</w:t>
      </w:r>
      <w:proofErr w:type="spellEnd"/>
      <w:r w:rsidRPr="00EB1778">
        <w:rPr>
          <w:lang w:val="nl-BE"/>
        </w:rPr>
        <w:t xml:space="preserve"> in de herziening van de ETS-richtlijn heeft ook een impact op de FAR. Bestaande </w:t>
      </w:r>
      <w:proofErr w:type="spellStart"/>
      <w:r w:rsidRPr="00EB1778">
        <w:rPr>
          <w:lang w:val="nl-BE"/>
        </w:rPr>
        <w:t>elektriciteitsopwekkers</w:t>
      </w:r>
      <w:proofErr w:type="spellEnd"/>
      <w:r w:rsidRPr="00EB1778">
        <w:rPr>
          <w:lang w:val="nl-BE"/>
        </w:rPr>
        <w:t xml:space="preserve"> die voor de eerste keer aanspraak maken op kosteloze toewijzing in de periode 2026-2030, zullen dus vanaf 2026 gelijk behandeld worden als andere installaties.</w:t>
      </w:r>
      <w:r>
        <w:rPr>
          <w:lang w:val="nl-BE"/>
        </w:rPr>
        <w:t xml:space="preserve"> </w:t>
      </w:r>
    </w:p>
    <w:p w14:paraId="4E1CCAD4" w14:textId="77777777" w:rsidR="00D2098A" w:rsidRDefault="00D2098A">
      <w:pPr>
        <w:rPr>
          <w:rFonts w:asciiTheme="majorHAnsi" w:eastAsiaTheme="majorEastAsia" w:hAnsiTheme="majorHAnsi" w:cstheme="majorBidi"/>
          <w:color w:val="2F5496" w:themeColor="accent1" w:themeShade="BF"/>
          <w:sz w:val="26"/>
          <w:szCs w:val="26"/>
          <w:lang w:val="nl-BE"/>
        </w:rPr>
      </w:pPr>
      <w:r>
        <w:rPr>
          <w:lang w:val="nl-BE"/>
        </w:rPr>
        <w:br w:type="page"/>
      </w:r>
    </w:p>
    <w:p w14:paraId="3177718D" w14:textId="22B88445" w:rsidR="000E0C9F" w:rsidRDefault="005D60D1" w:rsidP="001E069C">
      <w:pPr>
        <w:pStyle w:val="Kop2"/>
        <w:numPr>
          <w:ilvl w:val="1"/>
          <w:numId w:val="35"/>
        </w:numPr>
        <w:rPr>
          <w:lang w:val="nl-BE"/>
        </w:rPr>
      </w:pPr>
      <w:bookmarkStart w:id="8" w:name="_Toc160465596"/>
      <w:r>
        <w:rPr>
          <w:lang w:val="nl-BE"/>
        </w:rPr>
        <w:lastRenderedPageBreak/>
        <w:t>CBAM</w:t>
      </w:r>
      <w:bookmarkStart w:id="9" w:name="_Toc160465597"/>
      <w:bookmarkEnd w:id="8"/>
      <w:bookmarkEnd w:id="9"/>
    </w:p>
    <w:p w14:paraId="568DB935" w14:textId="05691E56" w:rsidR="000E0C9F" w:rsidRDefault="000E0C9F"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r w:rsidRPr="001E069C">
        <w:rPr>
          <w:rFonts w:asciiTheme="minorHAnsi" w:hAnsiTheme="minorHAnsi" w:cstheme="minorHAnsi"/>
          <w:color w:val="222222"/>
          <w:sz w:val="22"/>
          <w:szCs w:val="22"/>
        </w:rPr>
        <w:t xml:space="preserve">Ook de invoering van het mechanisme voor koolstofgrenscorrectie (CBAM) heeft een impact op de kosteloze toewijzing. </w:t>
      </w:r>
    </w:p>
    <w:p w14:paraId="6A0187EE" w14:textId="77777777" w:rsidR="00FD0ACB" w:rsidRDefault="00FD0ACB"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p>
    <w:p w14:paraId="3CCE84C1" w14:textId="1BB718D8" w:rsidR="00FD0ACB" w:rsidRDefault="00FD0ACB" w:rsidP="00FD0ACB">
      <w:pPr>
        <w:rPr>
          <w:lang w:val="nl-BE"/>
        </w:rPr>
      </w:pPr>
      <w:r>
        <w:rPr>
          <w:lang w:val="nl-BE"/>
        </w:rPr>
        <w:t>De CN-codes voor de betreffende producten zijn nodig om na te gaan of het specifieke product valt onder CBAM of niet. Daar waar vroeger enkel een verwijzing was naar de PRODCOM-codes, wordt in het MMP26-30 verwezen naar PRODCOM-codes en CN-codes</w:t>
      </w:r>
      <w:r w:rsidR="00CC76A6">
        <w:rPr>
          <w:lang w:val="nl-BE"/>
        </w:rPr>
        <w:t>. De CN-codes die vallen onder het toepassingsgebied kunnen worden teruggevonden in Bijlage I van de CBAM Verordening</w:t>
      </w:r>
      <w:r w:rsidR="00CC76A6">
        <w:rPr>
          <w:rStyle w:val="Voetnootmarkering"/>
          <w:lang w:val="nl-BE"/>
        </w:rPr>
        <w:footnoteReference w:id="5"/>
      </w:r>
      <w:r w:rsidR="00CC76A6">
        <w:rPr>
          <w:lang w:val="nl-BE"/>
        </w:rPr>
        <w:t>.</w:t>
      </w:r>
    </w:p>
    <w:p w14:paraId="551C2236" w14:textId="5A40DEC6" w:rsidR="00A273AE" w:rsidRPr="001E069C" w:rsidRDefault="00E84E7A" w:rsidP="001E069C">
      <w:r w:rsidRPr="00A12336">
        <w:rPr>
          <w:lang w:val="nl-BE"/>
        </w:rPr>
        <w:t xml:space="preserve">Het Europese </w:t>
      </w:r>
      <w:r w:rsidRPr="007F070A">
        <w:rPr>
          <w:lang w:val="nl-BE"/>
        </w:rPr>
        <w:t>toelichtingsdocument</w:t>
      </w:r>
      <w:r w:rsidRPr="00A12336">
        <w:rPr>
          <w:lang w:val="nl-BE"/>
        </w:rPr>
        <w:t xml:space="preserve"> “</w:t>
      </w:r>
      <w:proofErr w:type="spellStart"/>
      <w:r w:rsidR="00802946">
        <w:rPr>
          <w:lang w:val="nl-BE"/>
        </w:rPr>
        <w:fldChar w:fldCharType="begin"/>
      </w:r>
      <w:r w:rsidR="00802946">
        <w:rPr>
          <w:lang w:val="nl-BE"/>
        </w:rPr>
        <w:instrText>HYPERLINK "https://climate.ec.europa.eu/document/download/a4c0cb40-35f9-4705-882d-b55382d03e9a_en?filename=2_gd2_allocation_methodologies_en.pdf"</w:instrText>
      </w:r>
      <w:r w:rsidR="00802946">
        <w:rPr>
          <w:lang w:val="nl-BE"/>
        </w:rPr>
      </w:r>
      <w:r w:rsidR="00802946">
        <w:rPr>
          <w:lang w:val="nl-BE"/>
        </w:rPr>
        <w:fldChar w:fldCharType="separate"/>
      </w:r>
      <w:r w:rsidRPr="00802946">
        <w:rPr>
          <w:rStyle w:val="Hyperlink"/>
          <w:lang w:val="nl-BE"/>
        </w:rPr>
        <w:t>Guidance</w:t>
      </w:r>
      <w:proofErr w:type="spellEnd"/>
      <w:r w:rsidRPr="00802946">
        <w:rPr>
          <w:rStyle w:val="Hyperlink"/>
          <w:lang w:val="nl-BE"/>
        </w:rPr>
        <w:t xml:space="preserve"> </w:t>
      </w:r>
      <w:r w:rsidR="00716BFD">
        <w:rPr>
          <w:rStyle w:val="Hyperlink"/>
          <w:lang w:val="nl-BE"/>
        </w:rPr>
        <w:t xml:space="preserve">Document n°2 </w:t>
      </w:r>
      <w:r w:rsidRPr="00802946">
        <w:rPr>
          <w:rStyle w:val="Hyperlink"/>
          <w:lang w:val="nl-BE"/>
        </w:rPr>
        <w:t xml:space="preserve">on </w:t>
      </w:r>
      <w:proofErr w:type="spellStart"/>
      <w:r w:rsidRPr="00802946">
        <w:rPr>
          <w:rStyle w:val="Hyperlink"/>
          <w:lang w:val="nl-BE"/>
        </w:rPr>
        <w:t>determining</w:t>
      </w:r>
      <w:proofErr w:type="spellEnd"/>
      <w:r w:rsidRPr="00802946">
        <w:rPr>
          <w:rStyle w:val="Hyperlink"/>
          <w:lang w:val="nl-BE"/>
        </w:rPr>
        <w:t xml:space="preserve"> </w:t>
      </w:r>
      <w:proofErr w:type="spellStart"/>
      <w:r w:rsidRPr="00802946">
        <w:rPr>
          <w:rStyle w:val="Hyperlink"/>
          <w:lang w:val="nl-BE"/>
        </w:rPr>
        <w:t>the</w:t>
      </w:r>
      <w:proofErr w:type="spellEnd"/>
      <w:r w:rsidRPr="00802946">
        <w:rPr>
          <w:rStyle w:val="Hyperlink"/>
          <w:lang w:val="nl-BE"/>
        </w:rPr>
        <w:t xml:space="preserve"> </w:t>
      </w:r>
      <w:proofErr w:type="spellStart"/>
      <w:r w:rsidRPr="00802946">
        <w:rPr>
          <w:rStyle w:val="Hyperlink"/>
          <w:lang w:val="nl-BE"/>
        </w:rPr>
        <w:t>allocation</w:t>
      </w:r>
      <w:proofErr w:type="spellEnd"/>
      <w:r w:rsidRPr="00802946">
        <w:rPr>
          <w:rStyle w:val="Hyperlink"/>
          <w:lang w:val="nl-BE"/>
        </w:rPr>
        <w:t xml:space="preserve"> at </w:t>
      </w:r>
      <w:proofErr w:type="spellStart"/>
      <w:r w:rsidRPr="00802946">
        <w:rPr>
          <w:rStyle w:val="Hyperlink"/>
          <w:lang w:val="nl-BE"/>
        </w:rPr>
        <w:t>installation</w:t>
      </w:r>
      <w:proofErr w:type="spellEnd"/>
      <w:r w:rsidRPr="00802946">
        <w:rPr>
          <w:rStyle w:val="Hyperlink"/>
          <w:lang w:val="nl-BE"/>
        </w:rPr>
        <w:t xml:space="preserve"> level</w:t>
      </w:r>
      <w:r w:rsidR="00802946">
        <w:rPr>
          <w:lang w:val="nl-BE"/>
        </w:rPr>
        <w:fldChar w:fldCharType="end"/>
      </w:r>
      <w:r w:rsidRPr="007F070A">
        <w:rPr>
          <w:lang w:val="nl-BE"/>
        </w:rPr>
        <w:t xml:space="preserve">” gaat in groter detail in op de </w:t>
      </w:r>
      <w:r>
        <w:rPr>
          <w:lang w:val="nl-BE"/>
        </w:rPr>
        <w:t>impact van CBAM op product</w:t>
      </w:r>
      <w:r w:rsidR="008C2818">
        <w:rPr>
          <w:lang w:val="nl-BE"/>
        </w:rPr>
        <w:t>benchmark</w:t>
      </w:r>
      <w:r>
        <w:rPr>
          <w:lang w:val="nl-BE"/>
        </w:rPr>
        <w:t xml:space="preserve"> of </w:t>
      </w:r>
      <w:proofErr w:type="spellStart"/>
      <w:r>
        <w:rPr>
          <w:lang w:val="nl-BE"/>
        </w:rPr>
        <w:t>fall</w:t>
      </w:r>
      <w:proofErr w:type="spellEnd"/>
      <w:r w:rsidR="008C2818">
        <w:rPr>
          <w:lang w:val="nl-BE"/>
        </w:rPr>
        <w:t>-</w:t>
      </w:r>
      <w:r>
        <w:rPr>
          <w:lang w:val="nl-BE"/>
        </w:rPr>
        <w:t>back</w:t>
      </w:r>
      <w:r w:rsidR="008C2818">
        <w:rPr>
          <w:lang w:val="nl-BE"/>
        </w:rPr>
        <w:t>-</w:t>
      </w:r>
      <w:r>
        <w:rPr>
          <w:lang w:val="nl-BE"/>
        </w:rPr>
        <w:t xml:space="preserve"> </w:t>
      </w:r>
      <w:proofErr w:type="spellStart"/>
      <w:r w:rsidR="005E6A36">
        <w:rPr>
          <w:lang w:val="nl-BE"/>
        </w:rPr>
        <w:t>subinstallatie</w:t>
      </w:r>
      <w:r>
        <w:rPr>
          <w:lang w:val="nl-BE"/>
        </w:rPr>
        <w:t>s</w:t>
      </w:r>
      <w:proofErr w:type="spellEnd"/>
      <w:r>
        <w:rPr>
          <w:lang w:val="nl-BE"/>
        </w:rPr>
        <w:t>.</w:t>
      </w:r>
    </w:p>
    <w:p w14:paraId="284E0FF7" w14:textId="0A9C4BBD" w:rsidR="00A273AE" w:rsidRDefault="00A273AE" w:rsidP="00A273AE">
      <w:pPr>
        <w:pStyle w:val="Kop3"/>
        <w:numPr>
          <w:ilvl w:val="2"/>
          <w:numId w:val="35"/>
        </w:numPr>
        <w:rPr>
          <w:lang w:val="nl-BE"/>
        </w:rPr>
      </w:pPr>
      <w:bookmarkStart w:id="10" w:name="_Toc160465598"/>
      <w:r>
        <w:rPr>
          <w:lang w:val="nl-BE"/>
        </w:rPr>
        <w:t>Voor product</w:t>
      </w:r>
      <w:r w:rsidR="00A04D9D">
        <w:rPr>
          <w:lang w:val="nl-BE"/>
        </w:rPr>
        <w:t xml:space="preserve"> benchmark </w:t>
      </w:r>
      <w:proofErr w:type="spellStart"/>
      <w:r w:rsidR="005E6A36">
        <w:rPr>
          <w:lang w:val="nl-BE"/>
        </w:rPr>
        <w:t>subinstallatie</w:t>
      </w:r>
      <w:r w:rsidR="00A04D9D">
        <w:rPr>
          <w:lang w:val="nl-BE"/>
        </w:rPr>
        <w:t>s</w:t>
      </w:r>
      <w:bookmarkEnd w:id="10"/>
      <w:proofErr w:type="spellEnd"/>
    </w:p>
    <w:p w14:paraId="5DEAD259" w14:textId="3F4EC63B" w:rsidR="00F34230" w:rsidRPr="00F34230" w:rsidRDefault="00F34230" w:rsidP="001E069C">
      <w:pPr>
        <w:rPr>
          <w:lang w:val="nl-BE"/>
        </w:rPr>
      </w:pPr>
      <w:r>
        <w:rPr>
          <w:lang w:val="nl-BE"/>
        </w:rPr>
        <w:t>Bovenaan tabblad “</w:t>
      </w:r>
      <w:proofErr w:type="spellStart"/>
      <w:r>
        <w:rPr>
          <w:lang w:val="nl-BE"/>
        </w:rPr>
        <w:t>C_InstallationDescription</w:t>
      </w:r>
      <w:proofErr w:type="spellEnd"/>
      <w:r>
        <w:rPr>
          <w:lang w:val="nl-BE"/>
        </w:rPr>
        <w:t xml:space="preserve">” zal aangeduid zijn of de product benchmark </w:t>
      </w:r>
      <w:proofErr w:type="spellStart"/>
      <w:r w:rsidR="005E6A36">
        <w:rPr>
          <w:lang w:val="nl-BE"/>
        </w:rPr>
        <w:t>subinstallatie</w:t>
      </w:r>
      <w:proofErr w:type="spellEnd"/>
      <w:r>
        <w:rPr>
          <w:lang w:val="nl-BE"/>
        </w:rPr>
        <w:t xml:space="preserve"> al dan niet onder CBAM valt.</w:t>
      </w:r>
    </w:p>
    <w:p w14:paraId="37D44A5C" w14:textId="176F382B" w:rsidR="009350F4" w:rsidRDefault="00F34230" w:rsidP="00A04D9D">
      <w:pPr>
        <w:rPr>
          <w:lang w:val="nl-BE"/>
        </w:rPr>
      </w:pPr>
      <w:r>
        <w:rPr>
          <w:lang w:val="nl-BE"/>
        </w:rPr>
        <w:t>Op</w:t>
      </w:r>
      <w:r w:rsidR="00EB199D">
        <w:rPr>
          <w:lang w:val="nl-BE"/>
        </w:rPr>
        <w:t xml:space="preserve"> tab </w:t>
      </w:r>
      <w:r w:rsidR="00EB199D" w:rsidRPr="001E069C">
        <w:rPr>
          <w:i/>
          <w:iCs/>
          <w:lang w:val="nl-BE"/>
        </w:rPr>
        <w:t>“</w:t>
      </w:r>
      <w:proofErr w:type="spellStart"/>
      <w:r w:rsidR="00EB199D" w:rsidRPr="001E069C">
        <w:rPr>
          <w:i/>
          <w:iCs/>
          <w:lang w:val="nl-BE"/>
        </w:rPr>
        <w:t>F_ProductBM</w:t>
      </w:r>
      <w:proofErr w:type="spellEnd"/>
      <w:r w:rsidR="00EB199D" w:rsidRPr="001E069C">
        <w:rPr>
          <w:i/>
          <w:iCs/>
          <w:lang w:val="nl-BE"/>
        </w:rPr>
        <w:t>”</w:t>
      </w:r>
      <w:r w:rsidR="00B10C10">
        <w:rPr>
          <w:lang w:val="nl-BE"/>
        </w:rPr>
        <w:t xml:space="preserve"> &gt; </w:t>
      </w:r>
      <w:r w:rsidR="00B10C10" w:rsidRPr="001E069C">
        <w:rPr>
          <w:i/>
          <w:iCs/>
          <w:lang w:val="nl-BE"/>
        </w:rPr>
        <w:t>“(b) Methode voor het bepalen van de jaarlijkse productieniveaus (=activiteitsniveaus)”</w:t>
      </w:r>
      <w:r w:rsidR="00B10C10">
        <w:rPr>
          <w:lang w:val="nl-BE"/>
        </w:rPr>
        <w:t xml:space="preserve"> &gt; </w:t>
      </w:r>
      <w:r w:rsidR="00CE3907">
        <w:rPr>
          <w:lang w:val="nl-BE"/>
        </w:rPr>
        <w:t>“</w:t>
      </w:r>
      <w:r w:rsidR="00CE3907" w:rsidRPr="001E069C">
        <w:rPr>
          <w:i/>
          <w:iCs/>
          <w:lang w:val="nl-BE"/>
        </w:rPr>
        <w:t>Beschrijving van de methodologie voor het bijhouden van de vervaardigde producten</w:t>
      </w:r>
      <w:r w:rsidR="00CE3907">
        <w:rPr>
          <w:lang w:val="nl-BE"/>
        </w:rPr>
        <w:t>“</w:t>
      </w:r>
      <w:r w:rsidR="00B10C10" w:rsidRPr="00B10C10">
        <w:rPr>
          <w:lang w:val="nl-BE"/>
        </w:rPr>
        <w:tab/>
      </w:r>
      <w:r w:rsidR="00B10C10" w:rsidRPr="00B10C10">
        <w:rPr>
          <w:lang w:val="nl-BE"/>
        </w:rPr>
        <w:tab/>
      </w:r>
      <w:r w:rsidR="00B10C10" w:rsidRPr="00B10C10">
        <w:rPr>
          <w:lang w:val="nl-BE"/>
        </w:rPr>
        <w:tab/>
      </w:r>
      <w:r w:rsidR="00B10C10" w:rsidRPr="00B10C10">
        <w:rPr>
          <w:lang w:val="nl-BE"/>
        </w:rPr>
        <w:tab/>
      </w:r>
      <w:r w:rsidR="00B10C10" w:rsidRPr="00B10C10">
        <w:rPr>
          <w:lang w:val="nl-BE"/>
        </w:rPr>
        <w:tab/>
      </w:r>
      <w:r w:rsidR="00B10C10" w:rsidRPr="00B10C10">
        <w:rPr>
          <w:lang w:val="nl-BE"/>
        </w:rPr>
        <w:tab/>
      </w:r>
      <w:r w:rsidR="00B10C10" w:rsidRPr="00B10C10">
        <w:rPr>
          <w:lang w:val="nl-BE"/>
        </w:rPr>
        <w:tab/>
      </w:r>
    </w:p>
    <w:p w14:paraId="275B3BC1" w14:textId="12B88CC3" w:rsidR="00CE3907" w:rsidRDefault="00ED0027" w:rsidP="00A04D9D">
      <w:pPr>
        <w:rPr>
          <w:lang w:val="nl-BE"/>
        </w:rPr>
      </w:pPr>
      <w:r>
        <w:rPr>
          <w:lang w:val="nl-BE"/>
        </w:rPr>
        <w:t xml:space="preserve">In </w:t>
      </w:r>
      <w:r w:rsidR="00CE3907">
        <w:rPr>
          <w:lang w:val="nl-BE"/>
        </w:rPr>
        <w:t>een</w:t>
      </w:r>
      <w:r>
        <w:rPr>
          <w:lang w:val="nl-BE"/>
        </w:rPr>
        <w:t xml:space="preserve"> </w:t>
      </w:r>
      <w:r w:rsidRPr="001E069C">
        <w:rPr>
          <w:u w:val="single"/>
          <w:lang w:val="nl-BE"/>
        </w:rPr>
        <w:t>zeer uitzonderlijk geval</w:t>
      </w:r>
      <w:r>
        <w:rPr>
          <w:lang w:val="nl-BE"/>
        </w:rPr>
        <w:t xml:space="preserve"> </w:t>
      </w:r>
      <w:r w:rsidR="00CE3907">
        <w:rPr>
          <w:lang w:val="nl-BE"/>
        </w:rPr>
        <w:t>kan</w:t>
      </w:r>
      <w:r>
        <w:rPr>
          <w:lang w:val="nl-BE"/>
        </w:rPr>
        <w:t xml:space="preserve"> </w:t>
      </w:r>
      <w:r w:rsidR="0032231F">
        <w:rPr>
          <w:lang w:val="nl-BE"/>
        </w:rPr>
        <w:t>één</w:t>
      </w:r>
      <w:r>
        <w:rPr>
          <w:lang w:val="nl-BE"/>
        </w:rPr>
        <w:t xml:space="preserve"> product benchmark </w:t>
      </w:r>
      <w:proofErr w:type="spellStart"/>
      <w:r w:rsidR="005E6A36">
        <w:rPr>
          <w:lang w:val="nl-BE"/>
        </w:rPr>
        <w:t>subinstallatie</w:t>
      </w:r>
      <w:proofErr w:type="spellEnd"/>
      <w:r w:rsidR="00267D76">
        <w:rPr>
          <w:lang w:val="nl-BE"/>
        </w:rPr>
        <w:t xml:space="preserve"> zowel CBAM als niet-CBAM producten </w:t>
      </w:r>
      <w:r w:rsidR="0032231F">
        <w:rPr>
          <w:lang w:val="nl-BE"/>
        </w:rPr>
        <w:t>omvat</w:t>
      </w:r>
      <w:r w:rsidR="00CE3907">
        <w:rPr>
          <w:lang w:val="nl-BE"/>
        </w:rPr>
        <w:t>ten. In dit geval</w:t>
      </w:r>
      <w:r w:rsidR="0032231F">
        <w:rPr>
          <w:lang w:val="nl-BE"/>
        </w:rPr>
        <w:t xml:space="preserve"> dient de product benchmark </w:t>
      </w:r>
      <w:proofErr w:type="spellStart"/>
      <w:r w:rsidR="005E6A36">
        <w:rPr>
          <w:lang w:val="nl-BE"/>
        </w:rPr>
        <w:t>subinstallatie</w:t>
      </w:r>
      <w:proofErr w:type="spellEnd"/>
      <w:r w:rsidR="0032231F">
        <w:rPr>
          <w:lang w:val="nl-BE"/>
        </w:rPr>
        <w:t xml:space="preserve"> opgesplitst te worden. </w:t>
      </w:r>
    </w:p>
    <w:p w14:paraId="16070FFB" w14:textId="1B218022" w:rsidR="000E0C9F" w:rsidRPr="001E069C" w:rsidRDefault="00A04D9D" w:rsidP="001E069C">
      <w:pPr>
        <w:pStyle w:val="Kop3"/>
        <w:numPr>
          <w:ilvl w:val="2"/>
          <w:numId w:val="35"/>
        </w:numPr>
        <w:rPr>
          <w:lang w:val="en-GB"/>
        </w:rPr>
      </w:pPr>
      <w:bookmarkStart w:id="11" w:name="_Toc160465599"/>
      <w:r w:rsidRPr="001E069C">
        <w:rPr>
          <w:lang w:val="en-GB"/>
        </w:rPr>
        <w:t xml:space="preserve">Voor fall-back </w:t>
      </w:r>
      <w:proofErr w:type="spellStart"/>
      <w:r w:rsidR="005E6A36">
        <w:rPr>
          <w:lang w:val="en-GB"/>
        </w:rPr>
        <w:t>subinstallatie</w:t>
      </w:r>
      <w:r w:rsidRPr="001E069C">
        <w:rPr>
          <w:lang w:val="en-GB"/>
        </w:rPr>
        <w:t>s</w:t>
      </w:r>
      <w:bookmarkEnd w:id="11"/>
      <w:proofErr w:type="spellEnd"/>
    </w:p>
    <w:p w14:paraId="27FCCEFA" w14:textId="7BB4E9D2" w:rsidR="000E0C9F" w:rsidRDefault="000E0C9F"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r w:rsidRPr="001E069C">
        <w:rPr>
          <w:rFonts w:asciiTheme="minorHAnsi" w:hAnsiTheme="minorHAnsi" w:cstheme="minorHAnsi"/>
          <w:color w:val="222222"/>
          <w:sz w:val="22"/>
          <w:szCs w:val="22"/>
        </w:rPr>
        <w:t>In bepaalde gevallen zal hiervoor een</w:t>
      </w:r>
      <w:r w:rsidR="00903B57">
        <w:rPr>
          <w:rFonts w:asciiTheme="minorHAnsi" w:hAnsiTheme="minorHAnsi" w:cstheme="minorHAnsi"/>
          <w:color w:val="222222"/>
          <w:sz w:val="22"/>
          <w:szCs w:val="22"/>
        </w:rPr>
        <w:t xml:space="preserve"> </w:t>
      </w:r>
      <w:proofErr w:type="spellStart"/>
      <w:r w:rsidR="00903B57">
        <w:rPr>
          <w:rFonts w:asciiTheme="minorHAnsi" w:hAnsiTheme="minorHAnsi" w:cstheme="minorHAnsi"/>
          <w:color w:val="222222"/>
          <w:sz w:val="22"/>
          <w:szCs w:val="22"/>
        </w:rPr>
        <w:t>fall</w:t>
      </w:r>
      <w:proofErr w:type="spellEnd"/>
      <w:r w:rsidR="000E0162">
        <w:rPr>
          <w:rFonts w:asciiTheme="minorHAnsi" w:hAnsiTheme="minorHAnsi" w:cstheme="minorHAnsi"/>
          <w:color w:val="222222"/>
          <w:sz w:val="22"/>
          <w:szCs w:val="22"/>
        </w:rPr>
        <w:t>-</w:t>
      </w:r>
      <w:r w:rsidR="00903B57">
        <w:rPr>
          <w:rFonts w:asciiTheme="minorHAnsi" w:hAnsiTheme="minorHAnsi" w:cstheme="minorHAnsi"/>
          <w:color w:val="222222"/>
          <w:sz w:val="22"/>
          <w:szCs w:val="22"/>
        </w:rPr>
        <w:t>back-</w:t>
      </w:r>
      <w:proofErr w:type="spellStart"/>
      <w:r w:rsidR="005E6A36">
        <w:rPr>
          <w:rFonts w:asciiTheme="minorHAnsi" w:hAnsiTheme="minorHAnsi" w:cstheme="minorHAnsi"/>
          <w:color w:val="222222"/>
          <w:sz w:val="22"/>
          <w:szCs w:val="22"/>
        </w:rPr>
        <w:t>subinstallatie</w:t>
      </w:r>
      <w:proofErr w:type="spellEnd"/>
      <w:r w:rsidRPr="001E069C">
        <w:rPr>
          <w:rFonts w:asciiTheme="minorHAnsi" w:hAnsiTheme="minorHAnsi" w:cstheme="minorHAnsi"/>
          <w:color w:val="222222"/>
          <w:sz w:val="22"/>
          <w:szCs w:val="22"/>
        </w:rPr>
        <w:t xml:space="preserve"> moeten opgesplitst worden in twee </w:t>
      </w:r>
      <w:proofErr w:type="spellStart"/>
      <w:r w:rsidR="005E6A36">
        <w:rPr>
          <w:rFonts w:asciiTheme="minorHAnsi" w:hAnsiTheme="minorHAnsi" w:cstheme="minorHAnsi"/>
          <w:color w:val="222222"/>
          <w:sz w:val="22"/>
          <w:szCs w:val="22"/>
        </w:rPr>
        <w:t>subinstallatie</w:t>
      </w:r>
      <w:r w:rsidRPr="001E069C">
        <w:rPr>
          <w:rFonts w:asciiTheme="minorHAnsi" w:hAnsiTheme="minorHAnsi" w:cstheme="minorHAnsi"/>
          <w:color w:val="222222"/>
          <w:sz w:val="22"/>
          <w:szCs w:val="22"/>
        </w:rPr>
        <w:t>s</w:t>
      </w:r>
      <w:proofErr w:type="spellEnd"/>
      <w:r w:rsidRPr="001E069C">
        <w:rPr>
          <w:rFonts w:asciiTheme="minorHAnsi" w:hAnsiTheme="minorHAnsi" w:cstheme="minorHAnsi"/>
          <w:color w:val="222222"/>
          <w:sz w:val="22"/>
          <w:szCs w:val="22"/>
        </w:rPr>
        <w:t>, CBAM en niet-CBAM, in het MMP en het BDR. Bijvoorbeeld: een warmtebenchmark-</w:t>
      </w:r>
      <w:proofErr w:type="spellStart"/>
      <w:r w:rsidR="005E6A36">
        <w:rPr>
          <w:rFonts w:asciiTheme="minorHAnsi" w:hAnsiTheme="minorHAnsi" w:cstheme="minorHAnsi"/>
          <w:color w:val="222222"/>
          <w:sz w:val="22"/>
          <w:szCs w:val="22"/>
        </w:rPr>
        <w:t>subinstallatie</w:t>
      </w:r>
      <w:proofErr w:type="spellEnd"/>
      <w:r w:rsidRPr="001E069C">
        <w:rPr>
          <w:rFonts w:asciiTheme="minorHAnsi" w:hAnsiTheme="minorHAnsi" w:cstheme="minorHAnsi"/>
          <w:color w:val="222222"/>
          <w:sz w:val="22"/>
          <w:szCs w:val="22"/>
        </w:rPr>
        <w:t xml:space="preserve"> waarbij een deel van de warmte gebruikt wordt voor de productie van een product dat onder CBAM valt.</w:t>
      </w:r>
    </w:p>
    <w:p w14:paraId="38A6826E" w14:textId="77777777" w:rsidR="00027EF9" w:rsidRDefault="00027EF9"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p>
    <w:p w14:paraId="5DA35187" w14:textId="4C7986B7" w:rsidR="00632526" w:rsidRPr="001E069C" w:rsidRDefault="00632526" w:rsidP="000E0C9F">
      <w:pPr>
        <w:pStyle w:val="Normaalweb"/>
        <w:shd w:val="clear" w:color="auto" w:fill="FFFFFF"/>
        <w:spacing w:before="0" w:beforeAutospacing="0" w:after="0" w:afterAutospacing="0" w:line="285" w:lineRule="atLeast"/>
        <w:textAlignment w:val="top"/>
        <w:rPr>
          <w:rFonts w:asciiTheme="minorHAnsi" w:hAnsiTheme="minorHAnsi" w:cstheme="minorHAnsi"/>
          <w:b/>
          <w:bCs/>
          <w:color w:val="222222"/>
          <w:sz w:val="22"/>
          <w:szCs w:val="22"/>
        </w:rPr>
      </w:pPr>
      <w:r w:rsidRPr="001E069C">
        <w:rPr>
          <w:rFonts w:asciiTheme="minorHAnsi" w:hAnsiTheme="minorHAnsi" w:cstheme="minorHAnsi"/>
          <w:b/>
          <w:bCs/>
          <w:color w:val="222222"/>
          <w:sz w:val="22"/>
          <w:szCs w:val="22"/>
        </w:rPr>
        <w:t>Voorbeeld:</w:t>
      </w:r>
    </w:p>
    <w:p w14:paraId="7EF0711B" w14:textId="1E0A26CC" w:rsidR="00027EF9" w:rsidRDefault="00632526"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r>
        <w:rPr>
          <w:rFonts w:asciiTheme="minorHAnsi" w:hAnsiTheme="minorHAnsi" w:cstheme="minorHAnsi"/>
          <w:color w:val="222222"/>
          <w:sz w:val="22"/>
          <w:szCs w:val="22"/>
        </w:rPr>
        <w:t>In het MMP21-25 waren twee</w:t>
      </w:r>
      <w:r w:rsidR="008603BC">
        <w:rPr>
          <w:rFonts w:asciiTheme="minorHAnsi" w:hAnsiTheme="minorHAnsi" w:cstheme="minorHAnsi"/>
          <w:color w:val="222222"/>
          <w:sz w:val="22"/>
          <w:szCs w:val="22"/>
        </w:rPr>
        <w:t xml:space="preserve"> mogelijke warmtebenchmark</w:t>
      </w:r>
      <w:r>
        <w:rPr>
          <w:rFonts w:asciiTheme="minorHAnsi" w:hAnsiTheme="minorHAnsi" w:cstheme="minorHAnsi"/>
          <w:color w:val="222222"/>
          <w:sz w:val="22"/>
          <w:szCs w:val="22"/>
        </w:rPr>
        <w:t>-</w:t>
      </w:r>
      <w:proofErr w:type="spellStart"/>
      <w:r w:rsidR="005E6A36">
        <w:rPr>
          <w:rFonts w:asciiTheme="minorHAnsi" w:hAnsiTheme="minorHAnsi" w:cstheme="minorHAnsi"/>
          <w:color w:val="222222"/>
          <w:sz w:val="22"/>
          <w:szCs w:val="22"/>
        </w:rPr>
        <w:t>subinstallatie</w:t>
      </w:r>
      <w:r>
        <w:rPr>
          <w:rFonts w:asciiTheme="minorHAnsi" w:hAnsiTheme="minorHAnsi" w:cstheme="minorHAnsi"/>
          <w:color w:val="222222"/>
          <w:sz w:val="22"/>
          <w:szCs w:val="22"/>
        </w:rPr>
        <w:t>s</w:t>
      </w:r>
      <w:proofErr w:type="spellEnd"/>
      <w:r>
        <w:rPr>
          <w:rFonts w:asciiTheme="minorHAnsi" w:hAnsiTheme="minorHAnsi" w:cstheme="minorHAnsi"/>
          <w:color w:val="222222"/>
          <w:sz w:val="22"/>
          <w:szCs w:val="22"/>
        </w:rPr>
        <w:t>:</w:t>
      </w:r>
    </w:p>
    <w:tbl>
      <w:tblPr>
        <w:tblW w:w="8400" w:type="dxa"/>
        <w:tblInd w:w="645" w:type="dxa"/>
        <w:tblCellMar>
          <w:left w:w="70" w:type="dxa"/>
          <w:right w:w="70" w:type="dxa"/>
        </w:tblCellMar>
        <w:tblLook w:val="04A0" w:firstRow="1" w:lastRow="0" w:firstColumn="1" w:lastColumn="0" w:noHBand="0" w:noVBand="1"/>
      </w:tblPr>
      <w:tblGrid>
        <w:gridCol w:w="8400"/>
      </w:tblGrid>
      <w:tr w:rsidR="00632526" w:rsidRPr="00632526" w14:paraId="5BD96441" w14:textId="77777777" w:rsidTr="001E069C">
        <w:trPr>
          <w:trHeight w:val="255"/>
        </w:trPr>
        <w:tc>
          <w:tcPr>
            <w:tcW w:w="8400" w:type="dxa"/>
            <w:tcBorders>
              <w:top w:val="nil"/>
              <w:left w:val="single" w:sz="4" w:space="0" w:color="auto"/>
              <w:bottom w:val="single" w:sz="4" w:space="0" w:color="auto"/>
              <w:right w:val="single" w:sz="4" w:space="0" w:color="000000"/>
            </w:tcBorders>
            <w:shd w:val="clear" w:color="000000" w:fill="FFFFFF"/>
            <w:hideMark/>
          </w:tcPr>
          <w:p w14:paraId="37128086" w14:textId="54D44B04" w:rsidR="00632526" w:rsidRPr="00632526" w:rsidRDefault="00632526" w:rsidP="00632526">
            <w:pPr>
              <w:spacing w:after="0" w:line="240" w:lineRule="auto"/>
              <w:rPr>
                <w:rFonts w:ascii="Arial" w:eastAsia="Times New Roman" w:hAnsi="Arial" w:cs="Arial"/>
                <w:sz w:val="20"/>
                <w:szCs w:val="20"/>
                <w:lang w:val="nl-BE" w:eastAsia="nl-BE"/>
              </w:rPr>
            </w:pPr>
            <w:r w:rsidRPr="00632526">
              <w:rPr>
                <w:rFonts w:ascii="Arial" w:eastAsia="Times New Roman" w:hAnsi="Arial" w:cs="Arial"/>
                <w:sz w:val="20"/>
                <w:szCs w:val="20"/>
                <w:lang w:val="nl-BE" w:eastAsia="nl-BE"/>
              </w:rPr>
              <w:t>Warmtebenchmark-</w:t>
            </w:r>
            <w:proofErr w:type="spellStart"/>
            <w:r w:rsidR="005E6A36">
              <w:rPr>
                <w:rFonts w:ascii="Arial" w:eastAsia="Times New Roman" w:hAnsi="Arial" w:cs="Arial"/>
                <w:sz w:val="20"/>
                <w:szCs w:val="20"/>
                <w:lang w:val="nl-BE" w:eastAsia="nl-BE"/>
              </w:rPr>
              <w:t>subinstallatie</w:t>
            </w:r>
            <w:proofErr w:type="spellEnd"/>
            <w:r w:rsidRPr="00632526">
              <w:rPr>
                <w:rFonts w:ascii="Arial" w:eastAsia="Times New Roman" w:hAnsi="Arial" w:cs="Arial"/>
                <w:sz w:val="20"/>
                <w:szCs w:val="20"/>
                <w:lang w:val="nl-BE" w:eastAsia="nl-BE"/>
              </w:rPr>
              <w:t>, CL</w:t>
            </w:r>
          </w:p>
        </w:tc>
      </w:tr>
      <w:tr w:rsidR="00632526" w:rsidRPr="00632526" w14:paraId="04B0D948" w14:textId="77777777" w:rsidTr="001E069C">
        <w:trPr>
          <w:trHeight w:val="255"/>
        </w:trPr>
        <w:tc>
          <w:tcPr>
            <w:tcW w:w="8400" w:type="dxa"/>
            <w:tcBorders>
              <w:top w:val="single" w:sz="4" w:space="0" w:color="auto"/>
              <w:left w:val="single" w:sz="4" w:space="0" w:color="auto"/>
              <w:bottom w:val="single" w:sz="4" w:space="0" w:color="auto"/>
              <w:right w:val="single" w:sz="4" w:space="0" w:color="000000"/>
            </w:tcBorders>
            <w:shd w:val="clear" w:color="000000" w:fill="FFFFFF"/>
            <w:hideMark/>
          </w:tcPr>
          <w:p w14:paraId="3DE7E7B5" w14:textId="3A5F8A4E" w:rsidR="00632526" w:rsidRPr="00632526" w:rsidRDefault="00632526" w:rsidP="00632526">
            <w:pPr>
              <w:spacing w:after="0" w:line="240" w:lineRule="auto"/>
              <w:rPr>
                <w:rFonts w:ascii="Arial" w:eastAsia="Times New Roman" w:hAnsi="Arial" w:cs="Arial"/>
                <w:sz w:val="20"/>
                <w:szCs w:val="20"/>
                <w:lang w:val="nl-BE" w:eastAsia="nl-BE"/>
              </w:rPr>
            </w:pPr>
            <w:r w:rsidRPr="00632526">
              <w:rPr>
                <w:rFonts w:ascii="Arial" w:eastAsia="Times New Roman" w:hAnsi="Arial" w:cs="Arial"/>
                <w:sz w:val="20"/>
                <w:szCs w:val="20"/>
                <w:lang w:val="nl-BE" w:eastAsia="nl-BE"/>
              </w:rPr>
              <w:t>Warmtebenchmark-</w:t>
            </w:r>
            <w:proofErr w:type="spellStart"/>
            <w:r w:rsidR="005E6A36">
              <w:rPr>
                <w:rFonts w:ascii="Arial" w:eastAsia="Times New Roman" w:hAnsi="Arial" w:cs="Arial"/>
                <w:sz w:val="20"/>
                <w:szCs w:val="20"/>
                <w:lang w:val="nl-BE" w:eastAsia="nl-BE"/>
              </w:rPr>
              <w:t>subinstallatie</w:t>
            </w:r>
            <w:proofErr w:type="spellEnd"/>
            <w:r w:rsidRPr="00632526">
              <w:rPr>
                <w:rFonts w:ascii="Arial" w:eastAsia="Times New Roman" w:hAnsi="Arial" w:cs="Arial"/>
                <w:sz w:val="20"/>
                <w:szCs w:val="20"/>
                <w:lang w:val="nl-BE" w:eastAsia="nl-BE"/>
              </w:rPr>
              <w:t>, niet-CL</w:t>
            </w:r>
          </w:p>
        </w:tc>
      </w:tr>
    </w:tbl>
    <w:p w14:paraId="74B25207" w14:textId="77777777" w:rsidR="00632526" w:rsidRDefault="00632526"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p>
    <w:p w14:paraId="1CCE997B" w14:textId="6A8495D9" w:rsidR="00632526" w:rsidRDefault="00632526" w:rsidP="000E0C9F">
      <w:pPr>
        <w:pStyle w:val="Normaalweb"/>
        <w:shd w:val="clear" w:color="auto" w:fill="FFFFFF"/>
        <w:spacing w:before="0" w:beforeAutospacing="0" w:after="0" w:afterAutospacing="0" w:line="285" w:lineRule="atLeast"/>
        <w:textAlignment w:val="top"/>
        <w:rPr>
          <w:rFonts w:asciiTheme="minorHAnsi" w:hAnsiTheme="minorHAnsi" w:cstheme="minorHAnsi"/>
          <w:color w:val="222222"/>
          <w:sz w:val="22"/>
          <w:szCs w:val="22"/>
        </w:rPr>
      </w:pPr>
      <w:r>
        <w:rPr>
          <w:rFonts w:asciiTheme="minorHAnsi" w:hAnsiTheme="minorHAnsi" w:cstheme="minorHAnsi"/>
          <w:color w:val="222222"/>
          <w:sz w:val="22"/>
          <w:szCs w:val="22"/>
        </w:rPr>
        <w:t>In het MMP26-30 zullen er drie mogelijke warmtebenchmark-</w:t>
      </w:r>
      <w:proofErr w:type="spellStart"/>
      <w:r w:rsidR="005E6A36">
        <w:rPr>
          <w:rFonts w:asciiTheme="minorHAnsi" w:hAnsiTheme="minorHAnsi" w:cstheme="minorHAnsi"/>
          <w:color w:val="222222"/>
          <w:sz w:val="22"/>
          <w:szCs w:val="22"/>
        </w:rPr>
        <w:t>subinstallatie</w:t>
      </w:r>
      <w:r>
        <w:rPr>
          <w:rFonts w:asciiTheme="minorHAnsi" w:hAnsiTheme="minorHAnsi" w:cstheme="minorHAnsi"/>
          <w:color w:val="222222"/>
          <w:sz w:val="22"/>
          <w:szCs w:val="22"/>
        </w:rPr>
        <w:t>s</w:t>
      </w:r>
      <w:proofErr w:type="spellEnd"/>
      <w:r>
        <w:rPr>
          <w:rFonts w:asciiTheme="minorHAnsi" w:hAnsiTheme="minorHAnsi" w:cstheme="minorHAnsi"/>
          <w:color w:val="222222"/>
          <w:sz w:val="22"/>
          <w:szCs w:val="22"/>
        </w:rPr>
        <w:t xml:space="preserve"> zijn:</w:t>
      </w:r>
    </w:p>
    <w:tbl>
      <w:tblPr>
        <w:tblW w:w="8400" w:type="dxa"/>
        <w:tblInd w:w="645" w:type="dxa"/>
        <w:tblCellMar>
          <w:left w:w="70" w:type="dxa"/>
          <w:right w:w="70" w:type="dxa"/>
        </w:tblCellMar>
        <w:tblLook w:val="04A0" w:firstRow="1" w:lastRow="0" w:firstColumn="1" w:lastColumn="0" w:noHBand="0" w:noVBand="1"/>
      </w:tblPr>
      <w:tblGrid>
        <w:gridCol w:w="8400"/>
      </w:tblGrid>
      <w:tr w:rsidR="00632526" w:rsidRPr="00632526" w14:paraId="6FCFEBC2" w14:textId="77777777" w:rsidTr="001E069C">
        <w:trPr>
          <w:trHeight w:val="255"/>
        </w:trPr>
        <w:tc>
          <w:tcPr>
            <w:tcW w:w="8400" w:type="dxa"/>
            <w:tcBorders>
              <w:top w:val="nil"/>
              <w:left w:val="single" w:sz="4" w:space="0" w:color="auto"/>
              <w:bottom w:val="single" w:sz="4" w:space="0" w:color="auto"/>
              <w:right w:val="single" w:sz="4" w:space="0" w:color="000000"/>
            </w:tcBorders>
            <w:shd w:val="clear" w:color="000000" w:fill="FFFFFF"/>
            <w:hideMark/>
          </w:tcPr>
          <w:p w14:paraId="794F3C79" w14:textId="6695B0CF" w:rsidR="00632526" w:rsidRPr="00632526" w:rsidRDefault="00632526" w:rsidP="00632526">
            <w:pPr>
              <w:spacing w:after="0" w:line="240" w:lineRule="auto"/>
              <w:rPr>
                <w:rFonts w:ascii="Arial" w:eastAsia="Times New Roman" w:hAnsi="Arial" w:cs="Arial"/>
                <w:sz w:val="20"/>
                <w:szCs w:val="20"/>
                <w:lang w:val="nl-BE" w:eastAsia="nl-BE"/>
              </w:rPr>
            </w:pPr>
            <w:r w:rsidRPr="00632526">
              <w:rPr>
                <w:rFonts w:ascii="Arial" w:eastAsia="Times New Roman" w:hAnsi="Arial" w:cs="Arial"/>
                <w:sz w:val="20"/>
                <w:szCs w:val="20"/>
                <w:lang w:val="nl-BE" w:eastAsia="nl-BE"/>
              </w:rPr>
              <w:t>Warmtebenchmark-</w:t>
            </w:r>
            <w:proofErr w:type="spellStart"/>
            <w:r w:rsidR="005E6A36">
              <w:rPr>
                <w:rFonts w:ascii="Arial" w:eastAsia="Times New Roman" w:hAnsi="Arial" w:cs="Arial"/>
                <w:sz w:val="20"/>
                <w:szCs w:val="20"/>
                <w:lang w:val="nl-BE" w:eastAsia="nl-BE"/>
              </w:rPr>
              <w:t>subinstallatie</w:t>
            </w:r>
            <w:proofErr w:type="spellEnd"/>
            <w:r w:rsidRPr="00632526">
              <w:rPr>
                <w:rFonts w:ascii="Arial" w:eastAsia="Times New Roman" w:hAnsi="Arial" w:cs="Arial"/>
                <w:sz w:val="20"/>
                <w:szCs w:val="20"/>
                <w:lang w:val="nl-BE" w:eastAsia="nl-BE"/>
              </w:rPr>
              <w:t xml:space="preserve">, </w:t>
            </w:r>
            <w:r w:rsidR="006813E3">
              <w:rPr>
                <w:rFonts w:ascii="Arial" w:eastAsia="Times New Roman" w:hAnsi="Arial" w:cs="Arial"/>
                <w:sz w:val="20"/>
                <w:szCs w:val="20"/>
                <w:lang w:val="nl-BE" w:eastAsia="nl-BE"/>
              </w:rPr>
              <w:t>(</w:t>
            </w:r>
            <w:r w:rsidRPr="00632526">
              <w:rPr>
                <w:rFonts w:ascii="Arial" w:eastAsia="Times New Roman" w:hAnsi="Arial" w:cs="Arial"/>
                <w:sz w:val="20"/>
                <w:szCs w:val="20"/>
                <w:lang w:val="nl-BE" w:eastAsia="nl-BE"/>
              </w:rPr>
              <w:t>CL</w:t>
            </w:r>
            <w:r w:rsidR="006813E3">
              <w:rPr>
                <w:rFonts w:ascii="Arial" w:eastAsia="Times New Roman" w:hAnsi="Arial" w:cs="Arial"/>
                <w:sz w:val="20"/>
                <w:szCs w:val="20"/>
                <w:lang w:val="nl-BE" w:eastAsia="nl-BE"/>
              </w:rPr>
              <w:t xml:space="preserve"> | niet-CBAM)</w:t>
            </w:r>
          </w:p>
        </w:tc>
      </w:tr>
      <w:tr w:rsidR="00632526" w:rsidRPr="00632526" w14:paraId="57B77382" w14:textId="77777777" w:rsidTr="001E069C">
        <w:trPr>
          <w:trHeight w:val="255"/>
        </w:trPr>
        <w:tc>
          <w:tcPr>
            <w:tcW w:w="8400" w:type="dxa"/>
            <w:tcBorders>
              <w:top w:val="single" w:sz="4" w:space="0" w:color="auto"/>
              <w:left w:val="single" w:sz="4" w:space="0" w:color="auto"/>
              <w:bottom w:val="single" w:sz="4" w:space="0" w:color="auto"/>
              <w:right w:val="single" w:sz="4" w:space="0" w:color="000000"/>
            </w:tcBorders>
            <w:shd w:val="clear" w:color="000000" w:fill="FFFFFF"/>
            <w:hideMark/>
          </w:tcPr>
          <w:p w14:paraId="169470C8" w14:textId="5DD9E9EC" w:rsidR="00632526" w:rsidRPr="00632526" w:rsidRDefault="00632526" w:rsidP="00632526">
            <w:pPr>
              <w:spacing w:after="0" w:line="240" w:lineRule="auto"/>
              <w:rPr>
                <w:rFonts w:ascii="Arial" w:eastAsia="Times New Roman" w:hAnsi="Arial" w:cs="Arial"/>
                <w:sz w:val="20"/>
                <w:szCs w:val="20"/>
                <w:lang w:val="nl-BE" w:eastAsia="nl-BE"/>
              </w:rPr>
            </w:pPr>
            <w:r w:rsidRPr="00632526">
              <w:rPr>
                <w:rFonts w:ascii="Arial" w:eastAsia="Times New Roman" w:hAnsi="Arial" w:cs="Arial"/>
                <w:sz w:val="20"/>
                <w:szCs w:val="20"/>
                <w:lang w:val="nl-BE" w:eastAsia="nl-BE"/>
              </w:rPr>
              <w:t>Warmtebenchmark-</w:t>
            </w:r>
            <w:proofErr w:type="spellStart"/>
            <w:r w:rsidR="005E6A36">
              <w:rPr>
                <w:rFonts w:ascii="Arial" w:eastAsia="Times New Roman" w:hAnsi="Arial" w:cs="Arial"/>
                <w:sz w:val="20"/>
                <w:szCs w:val="20"/>
                <w:lang w:val="nl-BE" w:eastAsia="nl-BE"/>
              </w:rPr>
              <w:t>subinstallatie</w:t>
            </w:r>
            <w:proofErr w:type="spellEnd"/>
            <w:r w:rsidRPr="00632526">
              <w:rPr>
                <w:rFonts w:ascii="Arial" w:eastAsia="Times New Roman" w:hAnsi="Arial" w:cs="Arial"/>
                <w:sz w:val="20"/>
                <w:szCs w:val="20"/>
                <w:lang w:val="nl-BE" w:eastAsia="nl-BE"/>
              </w:rPr>
              <w:t xml:space="preserve">, </w:t>
            </w:r>
            <w:r w:rsidR="006813E3">
              <w:rPr>
                <w:rFonts w:ascii="Arial" w:eastAsia="Times New Roman" w:hAnsi="Arial" w:cs="Arial"/>
                <w:sz w:val="20"/>
                <w:szCs w:val="20"/>
                <w:lang w:val="nl-BE" w:eastAsia="nl-BE"/>
              </w:rPr>
              <w:t>(</w:t>
            </w:r>
            <w:r w:rsidRPr="00632526">
              <w:rPr>
                <w:rFonts w:ascii="Arial" w:eastAsia="Times New Roman" w:hAnsi="Arial" w:cs="Arial"/>
                <w:sz w:val="20"/>
                <w:szCs w:val="20"/>
                <w:lang w:val="nl-BE" w:eastAsia="nl-BE"/>
              </w:rPr>
              <w:t>niet-CL</w:t>
            </w:r>
            <w:r w:rsidR="006813E3">
              <w:rPr>
                <w:rFonts w:ascii="Arial" w:eastAsia="Times New Roman" w:hAnsi="Arial" w:cs="Arial"/>
                <w:sz w:val="20"/>
                <w:szCs w:val="20"/>
                <w:lang w:val="nl-BE" w:eastAsia="nl-BE"/>
              </w:rPr>
              <w:t xml:space="preserve"> | niet-CBAM)</w:t>
            </w:r>
          </w:p>
        </w:tc>
      </w:tr>
      <w:tr w:rsidR="006813E3" w:rsidRPr="00632526" w14:paraId="5F5F4C7E" w14:textId="77777777" w:rsidTr="001E069C">
        <w:trPr>
          <w:trHeight w:val="255"/>
        </w:trPr>
        <w:tc>
          <w:tcPr>
            <w:tcW w:w="8400" w:type="dxa"/>
            <w:tcBorders>
              <w:top w:val="single" w:sz="4" w:space="0" w:color="auto"/>
              <w:left w:val="single" w:sz="4" w:space="0" w:color="auto"/>
              <w:bottom w:val="single" w:sz="4" w:space="0" w:color="auto"/>
              <w:right w:val="single" w:sz="4" w:space="0" w:color="000000"/>
            </w:tcBorders>
            <w:shd w:val="clear" w:color="000000" w:fill="FFFFFF"/>
          </w:tcPr>
          <w:p w14:paraId="58D786E8" w14:textId="0C5B002A" w:rsidR="006813E3" w:rsidRPr="00632526" w:rsidRDefault="006813E3" w:rsidP="00632526">
            <w:pPr>
              <w:spacing w:after="0" w:line="240" w:lineRule="auto"/>
              <w:rPr>
                <w:rFonts w:ascii="Arial" w:eastAsia="Times New Roman" w:hAnsi="Arial" w:cs="Arial"/>
                <w:sz w:val="20"/>
                <w:szCs w:val="20"/>
                <w:lang w:val="nl-BE" w:eastAsia="nl-BE"/>
              </w:rPr>
            </w:pPr>
            <w:r>
              <w:rPr>
                <w:rFonts w:ascii="Arial" w:eastAsia="Times New Roman" w:hAnsi="Arial" w:cs="Arial"/>
                <w:sz w:val="20"/>
                <w:szCs w:val="20"/>
                <w:lang w:val="nl-BE" w:eastAsia="nl-BE"/>
              </w:rPr>
              <w:t>Warmtebenchmark-</w:t>
            </w:r>
            <w:proofErr w:type="spellStart"/>
            <w:r w:rsidR="005E6A36">
              <w:rPr>
                <w:rFonts w:ascii="Arial" w:eastAsia="Times New Roman" w:hAnsi="Arial" w:cs="Arial"/>
                <w:sz w:val="20"/>
                <w:szCs w:val="20"/>
                <w:lang w:val="nl-BE" w:eastAsia="nl-BE"/>
              </w:rPr>
              <w:t>subinstallatie</w:t>
            </w:r>
            <w:proofErr w:type="spellEnd"/>
            <w:r>
              <w:rPr>
                <w:rFonts w:ascii="Arial" w:eastAsia="Times New Roman" w:hAnsi="Arial" w:cs="Arial"/>
                <w:sz w:val="20"/>
                <w:szCs w:val="20"/>
                <w:lang w:val="nl-BE" w:eastAsia="nl-BE"/>
              </w:rPr>
              <w:t>, (CL | CBAM)</w:t>
            </w:r>
          </w:p>
        </w:tc>
      </w:tr>
    </w:tbl>
    <w:p w14:paraId="066CAB6D" w14:textId="77777777" w:rsidR="000E0C9F" w:rsidRDefault="000E0C9F" w:rsidP="00FC0643">
      <w:pPr>
        <w:rPr>
          <w:lang w:val="nl-BE"/>
        </w:rPr>
      </w:pPr>
    </w:p>
    <w:p w14:paraId="1C29C7DD" w14:textId="39A55FF0" w:rsidR="00E84E7A" w:rsidRDefault="006E34B6" w:rsidP="006E34B6">
      <w:pPr>
        <w:pStyle w:val="Kop2"/>
        <w:numPr>
          <w:ilvl w:val="1"/>
          <w:numId w:val="35"/>
        </w:numPr>
        <w:rPr>
          <w:lang w:val="nl-BE"/>
        </w:rPr>
      </w:pPr>
      <w:bookmarkStart w:id="12" w:name="_Toc160465600"/>
      <w:r>
        <w:rPr>
          <w:lang w:val="nl-BE"/>
        </w:rPr>
        <w:t xml:space="preserve">Schrapping </w:t>
      </w:r>
      <w:r w:rsidR="00EB0AB3">
        <w:rPr>
          <w:lang w:val="nl-BE"/>
        </w:rPr>
        <w:t>de-minimisregel</w:t>
      </w:r>
      <w:bookmarkEnd w:id="12"/>
    </w:p>
    <w:p w14:paraId="3305BC03" w14:textId="24AC4A2E" w:rsidR="00EB0AB3" w:rsidRPr="00EB0AB3" w:rsidRDefault="00EB0AB3" w:rsidP="00EB0AB3">
      <w:pPr>
        <w:rPr>
          <w:lang w:val="nl-BE"/>
        </w:rPr>
      </w:pPr>
      <w:r w:rsidRPr="00EB0AB3">
        <w:rPr>
          <w:lang w:val="nl-BE"/>
        </w:rPr>
        <w:t xml:space="preserve">Deze regel, ook gekend als de 95%-regel, laat momenteel toe om activiteiten van </w:t>
      </w:r>
      <w:proofErr w:type="spellStart"/>
      <w:r w:rsidRPr="00EB0AB3">
        <w:rPr>
          <w:lang w:val="nl-BE"/>
        </w:rPr>
        <w:t>fall</w:t>
      </w:r>
      <w:proofErr w:type="spellEnd"/>
      <w:r w:rsidR="00AF6327">
        <w:rPr>
          <w:lang w:val="nl-BE"/>
        </w:rPr>
        <w:t>-</w:t>
      </w:r>
      <w:r w:rsidRPr="00EB0AB3">
        <w:rPr>
          <w:lang w:val="nl-BE"/>
        </w:rPr>
        <w:t>back-</w:t>
      </w:r>
      <w:proofErr w:type="spellStart"/>
      <w:r w:rsidR="005E6A36">
        <w:rPr>
          <w:lang w:val="nl-BE"/>
        </w:rPr>
        <w:t>subinstallatie</w:t>
      </w:r>
      <w:r w:rsidRPr="00EB0AB3">
        <w:rPr>
          <w:lang w:val="nl-BE"/>
        </w:rPr>
        <w:t>s</w:t>
      </w:r>
      <w:proofErr w:type="spellEnd"/>
      <w:r w:rsidRPr="00EB0AB3">
        <w:rPr>
          <w:lang w:val="nl-BE"/>
        </w:rPr>
        <w:t xml:space="preserve"> samen te nemen, ook al hebben ze een andere carbon </w:t>
      </w:r>
      <w:proofErr w:type="spellStart"/>
      <w:r w:rsidRPr="00EB0AB3">
        <w:rPr>
          <w:lang w:val="nl-BE"/>
        </w:rPr>
        <w:t>leakage</w:t>
      </w:r>
      <w:proofErr w:type="spellEnd"/>
      <w:r w:rsidRPr="00EB0AB3">
        <w:rPr>
          <w:lang w:val="nl-BE"/>
        </w:rPr>
        <w:t xml:space="preserve"> status, indien ten minste 95% dezelfde carbon </w:t>
      </w:r>
      <w:proofErr w:type="spellStart"/>
      <w:r w:rsidRPr="00EB0AB3">
        <w:rPr>
          <w:lang w:val="nl-BE"/>
        </w:rPr>
        <w:t>leakage</w:t>
      </w:r>
      <w:proofErr w:type="spellEnd"/>
      <w:r w:rsidRPr="00EB0AB3">
        <w:rPr>
          <w:lang w:val="nl-BE"/>
        </w:rPr>
        <w:t xml:space="preserve"> status heeft.</w:t>
      </w:r>
    </w:p>
    <w:p w14:paraId="7E0A9361" w14:textId="234D8CF3" w:rsidR="00EB0AB3" w:rsidRDefault="00EB0AB3" w:rsidP="00EB0AB3">
      <w:pPr>
        <w:rPr>
          <w:lang w:val="nl-BE"/>
        </w:rPr>
      </w:pPr>
      <w:r w:rsidRPr="00EB0AB3">
        <w:rPr>
          <w:lang w:val="nl-BE"/>
        </w:rPr>
        <w:t xml:space="preserve">Deze regel werd geschrapt in de </w:t>
      </w:r>
      <w:r w:rsidR="00A14707">
        <w:rPr>
          <w:lang w:val="nl-BE"/>
        </w:rPr>
        <w:t xml:space="preserve">herziene </w:t>
      </w:r>
      <w:r w:rsidRPr="00EB0AB3">
        <w:rPr>
          <w:lang w:val="nl-BE"/>
        </w:rPr>
        <w:t>FAR, aangezien de Europese Commissie van oordeel was dat deze niet tot de gehoopte administratieve vereenvoudiging leidt.</w:t>
      </w:r>
    </w:p>
    <w:p w14:paraId="04627A9E" w14:textId="6CBA910A" w:rsidR="00FE2606" w:rsidRDefault="00B911E1" w:rsidP="00EB0AB3">
      <w:pPr>
        <w:rPr>
          <w:lang w:val="nl-BE"/>
        </w:rPr>
      </w:pPr>
      <w:r>
        <w:rPr>
          <w:lang w:val="nl-BE"/>
        </w:rPr>
        <w:lastRenderedPageBreak/>
        <w:t>Indien dit dus gebruikt werd in het MMP21-25, zal dit moeten herbekeken worden in het MMP</w:t>
      </w:r>
      <w:r w:rsidR="00861925">
        <w:rPr>
          <w:lang w:val="nl-BE"/>
        </w:rPr>
        <w:t>26-30.</w:t>
      </w:r>
    </w:p>
    <w:p w14:paraId="7CE5B44D" w14:textId="77777777" w:rsidR="00A80729" w:rsidRDefault="00A80729">
      <w:pPr>
        <w:rPr>
          <w:rFonts w:asciiTheme="majorHAnsi" w:eastAsiaTheme="majorEastAsia" w:hAnsiTheme="majorHAnsi" w:cstheme="majorBidi"/>
          <w:color w:val="2F5496" w:themeColor="accent1" w:themeShade="BF"/>
          <w:sz w:val="26"/>
          <w:szCs w:val="26"/>
          <w:lang w:val="nl-BE"/>
        </w:rPr>
      </w:pPr>
      <w:r>
        <w:rPr>
          <w:lang w:val="nl-BE"/>
        </w:rPr>
        <w:br w:type="page"/>
      </w:r>
    </w:p>
    <w:p w14:paraId="3565409C" w14:textId="12590A1D" w:rsidR="00EB0AB3" w:rsidRPr="00D0635F" w:rsidRDefault="007645C2" w:rsidP="001E069C">
      <w:pPr>
        <w:pStyle w:val="Kop2"/>
        <w:numPr>
          <w:ilvl w:val="1"/>
          <w:numId w:val="35"/>
        </w:numPr>
        <w:rPr>
          <w:lang w:val="nl-BE"/>
        </w:rPr>
      </w:pPr>
      <w:bookmarkStart w:id="13" w:name="_Toc160465601"/>
      <w:r>
        <w:rPr>
          <w:lang w:val="nl-BE"/>
        </w:rPr>
        <w:lastRenderedPageBreak/>
        <w:t xml:space="preserve">Schrapping </w:t>
      </w:r>
      <w:r w:rsidR="00586DBB">
        <w:rPr>
          <w:lang w:val="nl-BE"/>
        </w:rPr>
        <w:t xml:space="preserve">specifieke regel </w:t>
      </w:r>
      <w:r w:rsidR="008206D2">
        <w:rPr>
          <w:lang w:val="nl-BE"/>
        </w:rPr>
        <w:t>in geval van teruggewonnen warmte</w:t>
      </w:r>
      <w:bookmarkEnd w:id="13"/>
      <w:r w:rsidR="00586DBB">
        <w:rPr>
          <w:lang w:val="nl-BE"/>
        </w:rPr>
        <w:t xml:space="preserve"> </w:t>
      </w:r>
    </w:p>
    <w:p w14:paraId="61065026" w14:textId="0E7F0B8B" w:rsidR="002C09E2" w:rsidRDefault="00626C98" w:rsidP="00EB0AB3">
      <w:pPr>
        <w:rPr>
          <w:rFonts w:cstheme="minorHAnsi"/>
          <w:lang w:val="nl-BE"/>
        </w:rPr>
      </w:pPr>
      <w:r>
        <w:rPr>
          <w:rFonts w:cstheme="minorHAnsi"/>
          <w:lang w:val="nl-BE"/>
        </w:rPr>
        <w:t xml:space="preserve">In de vorige versie van de FAR </w:t>
      </w:r>
      <w:r w:rsidR="00F342D1">
        <w:rPr>
          <w:rFonts w:cstheme="minorHAnsi"/>
          <w:lang w:val="nl-BE"/>
        </w:rPr>
        <w:t xml:space="preserve">stond volgende bepaling in artikel 10 “Opsplitsing in </w:t>
      </w:r>
      <w:proofErr w:type="spellStart"/>
      <w:r w:rsidR="005E6A36">
        <w:rPr>
          <w:rFonts w:cstheme="minorHAnsi"/>
          <w:lang w:val="nl-BE"/>
        </w:rPr>
        <w:t>subinstallatie</w:t>
      </w:r>
      <w:r w:rsidR="00F342D1">
        <w:rPr>
          <w:rFonts w:cstheme="minorHAnsi"/>
          <w:lang w:val="nl-BE"/>
        </w:rPr>
        <w:t>s</w:t>
      </w:r>
      <w:proofErr w:type="spellEnd"/>
      <w:r w:rsidR="00F342D1">
        <w:rPr>
          <w:rFonts w:cstheme="minorHAnsi"/>
          <w:lang w:val="nl-BE"/>
        </w:rPr>
        <w:t>”</w:t>
      </w:r>
      <w:r w:rsidR="002C09E2">
        <w:rPr>
          <w:rFonts w:cstheme="minorHAnsi"/>
          <w:lang w:val="nl-BE"/>
        </w:rPr>
        <w:t>:</w:t>
      </w:r>
    </w:p>
    <w:tbl>
      <w:tblPr>
        <w:tblStyle w:val="Tabelraster"/>
        <w:tblW w:w="0" w:type="auto"/>
        <w:tblLook w:val="04A0" w:firstRow="1" w:lastRow="0" w:firstColumn="1" w:lastColumn="0" w:noHBand="0" w:noVBand="1"/>
      </w:tblPr>
      <w:tblGrid>
        <w:gridCol w:w="9016"/>
      </w:tblGrid>
      <w:tr w:rsidR="002C09E2" w14:paraId="272A0F96" w14:textId="77777777" w:rsidTr="002C09E2">
        <w:tc>
          <w:tcPr>
            <w:tcW w:w="9016" w:type="dxa"/>
          </w:tcPr>
          <w:p w14:paraId="2BC106AE" w14:textId="029CB8CE" w:rsidR="002C09E2" w:rsidRPr="001E069C" w:rsidRDefault="002C09E2" w:rsidP="001E069C">
            <w:pPr>
              <w:autoSpaceDE w:val="0"/>
              <w:autoSpaceDN w:val="0"/>
              <w:adjustRightInd w:val="0"/>
              <w:jc w:val="both"/>
              <w:rPr>
                <w:rFonts w:cstheme="minorHAnsi"/>
                <w:i/>
                <w:iCs/>
                <w:lang w:val="nl-BE"/>
              </w:rPr>
            </w:pPr>
            <w:r>
              <w:rPr>
                <w:rFonts w:cstheme="minorHAnsi"/>
                <w:i/>
                <w:iCs/>
                <w:lang w:val="nl-BE"/>
              </w:rPr>
              <w:t>“</w:t>
            </w:r>
            <w:r w:rsidRPr="007F070A">
              <w:rPr>
                <w:rFonts w:cstheme="minorHAnsi"/>
                <w:i/>
                <w:iCs/>
                <w:lang w:val="nl-BE"/>
              </w:rPr>
              <w:t>k) ter voorkoming van dubbeltellingen wordt, indien meetbare warmte wordt teruggewonnen uit processen die onder</w:t>
            </w:r>
            <w:r w:rsidR="00837A72">
              <w:rPr>
                <w:rFonts w:cstheme="minorHAnsi"/>
                <w:i/>
                <w:iCs/>
                <w:lang w:val="nl-BE"/>
              </w:rPr>
              <w:t xml:space="preserve"> </w:t>
            </w:r>
            <w:r w:rsidRPr="007F070A">
              <w:rPr>
                <w:rFonts w:cstheme="minorHAnsi"/>
                <w:i/>
                <w:iCs/>
                <w:lang w:val="nl-BE"/>
              </w:rPr>
              <w:t>een brandstofbenchmark-</w:t>
            </w:r>
            <w:proofErr w:type="spellStart"/>
            <w:r w:rsidR="005E6A36">
              <w:rPr>
                <w:rFonts w:cstheme="minorHAnsi"/>
                <w:i/>
                <w:iCs/>
                <w:lang w:val="nl-BE"/>
              </w:rPr>
              <w:t>subinstallatie</w:t>
            </w:r>
            <w:proofErr w:type="spellEnd"/>
            <w:r w:rsidRPr="007F070A">
              <w:rPr>
                <w:rFonts w:cstheme="minorHAnsi"/>
                <w:i/>
                <w:iCs/>
                <w:lang w:val="nl-BE"/>
              </w:rPr>
              <w:t xml:space="preserve"> vallen, de door een standaardrendement van 90 % gedeelde hoeveelheid netto</w:t>
            </w:r>
            <w:r w:rsidR="00837A72">
              <w:rPr>
                <w:rFonts w:cstheme="minorHAnsi"/>
                <w:i/>
                <w:iCs/>
                <w:lang w:val="nl-BE"/>
              </w:rPr>
              <w:t xml:space="preserve"> </w:t>
            </w:r>
            <w:r w:rsidRPr="007F070A">
              <w:rPr>
                <w:rFonts w:cstheme="minorHAnsi"/>
                <w:i/>
                <w:iCs/>
                <w:lang w:val="nl-BE"/>
              </w:rPr>
              <w:t>meetbare warmte in mindering gebracht op de brandstofinput. Terugwinning van warmte uit de processen die onder</w:t>
            </w:r>
            <w:r w:rsidR="00837A72">
              <w:rPr>
                <w:rFonts w:cstheme="minorHAnsi"/>
                <w:i/>
                <w:iCs/>
                <w:lang w:val="nl-BE"/>
              </w:rPr>
              <w:t xml:space="preserve"> </w:t>
            </w:r>
            <w:r w:rsidRPr="007F070A">
              <w:rPr>
                <w:rFonts w:cstheme="minorHAnsi"/>
                <w:i/>
                <w:iCs/>
                <w:lang w:val="nl-BE"/>
              </w:rPr>
              <w:t>een procesemissies-</w:t>
            </w:r>
            <w:proofErr w:type="spellStart"/>
            <w:r w:rsidR="005E6A36">
              <w:rPr>
                <w:rFonts w:cstheme="minorHAnsi"/>
                <w:i/>
                <w:iCs/>
                <w:lang w:val="nl-BE"/>
              </w:rPr>
              <w:t>subinstallatie</w:t>
            </w:r>
            <w:proofErr w:type="spellEnd"/>
            <w:r w:rsidRPr="007F070A">
              <w:rPr>
                <w:rFonts w:cstheme="minorHAnsi"/>
                <w:i/>
                <w:iCs/>
                <w:lang w:val="nl-BE"/>
              </w:rPr>
              <w:t xml:space="preserve"> vallen, wordt op dezelfde wijze behandeld.</w:t>
            </w:r>
            <w:r>
              <w:rPr>
                <w:rFonts w:cstheme="minorHAnsi"/>
                <w:i/>
                <w:iCs/>
                <w:lang w:val="nl-BE"/>
              </w:rPr>
              <w:t>”</w:t>
            </w:r>
          </w:p>
        </w:tc>
      </w:tr>
    </w:tbl>
    <w:p w14:paraId="322310BD" w14:textId="77777777" w:rsidR="002C09E2" w:rsidRPr="00626C98" w:rsidRDefault="002C09E2" w:rsidP="001E069C">
      <w:pPr>
        <w:rPr>
          <w:rFonts w:cstheme="minorHAnsi"/>
          <w:lang w:val="nl-BE"/>
        </w:rPr>
      </w:pPr>
    </w:p>
    <w:p w14:paraId="6228C41C" w14:textId="77777777" w:rsidR="00DB1D34" w:rsidRDefault="000210AB" w:rsidP="002C09E2">
      <w:pPr>
        <w:autoSpaceDE w:val="0"/>
        <w:autoSpaceDN w:val="0"/>
        <w:adjustRightInd w:val="0"/>
        <w:spacing w:after="0" w:line="240" w:lineRule="auto"/>
        <w:jc w:val="both"/>
        <w:rPr>
          <w:rFonts w:cstheme="minorHAnsi"/>
          <w:lang w:val="nl-BE"/>
        </w:rPr>
      </w:pPr>
      <w:r>
        <w:rPr>
          <w:rFonts w:cstheme="minorHAnsi"/>
          <w:lang w:val="nl-BE"/>
        </w:rPr>
        <w:t>De</w:t>
      </w:r>
      <w:r w:rsidR="00892B0C">
        <w:rPr>
          <w:rFonts w:cstheme="minorHAnsi"/>
          <w:lang w:val="nl-BE"/>
        </w:rPr>
        <w:t xml:space="preserve"> schrapping van deze bepaling zorgt er dus voor dat er een zekere mate van dubbeltelling </w:t>
      </w:r>
      <w:r w:rsidR="00523F29">
        <w:rPr>
          <w:rFonts w:cstheme="minorHAnsi"/>
          <w:lang w:val="nl-BE"/>
        </w:rPr>
        <w:t>toegelaten wordt bij warmterecuperatie.</w:t>
      </w:r>
      <w:r w:rsidR="00DB1D34">
        <w:rPr>
          <w:rFonts w:cstheme="minorHAnsi"/>
          <w:lang w:val="nl-BE"/>
        </w:rPr>
        <w:t xml:space="preserve"> </w:t>
      </w:r>
    </w:p>
    <w:p w14:paraId="4C191228" w14:textId="77777777" w:rsidR="00DB1D34" w:rsidRDefault="00DB1D34" w:rsidP="002C09E2">
      <w:pPr>
        <w:autoSpaceDE w:val="0"/>
        <w:autoSpaceDN w:val="0"/>
        <w:adjustRightInd w:val="0"/>
        <w:spacing w:after="0" w:line="240" w:lineRule="auto"/>
        <w:jc w:val="both"/>
        <w:rPr>
          <w:rFonts w:cstheme="minorHAnsi"/>
          <w:lang w:val="nl-BE"/>
        </w:rPr>
      </w:pPr>
    </w:p>
    <w:p w14:paraId="74147316" w14:textId="790A780C" w:rsidR="00D0635F" w:rsidRDefault="00DB1D34" w:rsidP="008206D2">
      <w:pPr>
        <w:autoSpaceDE w:val="0"/>
        <w:autoSpaceDN w:val="0"/>
        <w:adjustRightInd w:val="0"/>
        <w:spacing w:after="0" w:line="240" w:lineRule="auto"/>
        <w:jc w:val="both"/>
        <w:rPr>
          <w:rFonts w:cstheme="minorHAnsi"/>
          <w:lang w:val="nl-BE"/>
        </w:rPr>
      </w:pPr>
      <w:r>
        <w:rPr>
          <w:rFonts w:cstheme="minorHAnsi"/>
          <w:lang w:val="nl-BE"/>
        </w:rPr>
        <w:t>Indien in het MMP21-25</w:t>
      </w:r>
      <w:r w:rsidR="00E77DAE">
        <w:rPr>
          <w:rFonts w:cstheme="minorHAnsi"/>
          <w:lang w:val="nl-BE"/>
        </w:rPr>
        <w:t xml:space="preserve"> in de </w:t>
      </w:r>
      <w:r w:rsidR="00D0635F">
        <w:rPr>
          <w:rFonts w:cstheme="minorHAnsi"/>
          <w:lang w:val="nl-BE"/>
        </w:rPr>
        <w:t xml:space="preserve">brandstofbenchmark </w:t>
      </w:r>
      <w:proofErr w:type="spellStart"/>
      <w:r w:rsidR="005E6A36">
        <w:rPr>
          <w:rFonts w:cstheme="minorHAnsi"/>
          <w:lang w:val="nl-BE"/>
        </w:rPr>
        <w:t>subinstallatie</w:t>
      </w:r>
      <w:proofErr w:type="spellEnd"/>
      <w:r w:rsidR="00D0635F">
        <w:rPr>
          <w:rFonts w:cstheme="minorHAnsi"/>
          <w:lang w:val="nl-BE"/>
        </w:rPr>
        <w:t xml:space="preserve"> of de procesemissies </w:t>
      </w:r>
      <w:proofErr w:type="spellStart"/>
      <w:r w:rsidR="005E6A36">
        <w:rPr>
          <w:rFonts w:cstheme="minorHAnsi"/>
          <w:lang w:val="nl-BE"/>
        </w:rPr>
        <w:t>subinstallatie</w:t>
      </w:r>
      <w:proofErr w:type="spellEnd"/>
      <w:r>
        <w:rPr>
          <w:rFonts w:cstheme="minorHAnsi"/>
          <w:lang w:val="nl-BE"/>
        </w:rPr>
        <w:t xml:space="preserve"> een verwijzing gemaakt wordt naar deze correctie, zal dit moeten aangepast worden voor het MMP26-30.</w:t>
      </w:r>
    </w:p>
    <w:p w14:paraId="1682A1A0" w14:textId="77777777" w:rsidR="00234F6C" w:rsidRDefault="00234F6C" w:rsidP="008206D2">
      <w:pPr>
        <w:autoSpaceDE w:val="0"/>
        <w:autoSpaceDN w:val="0"/>
        <w:adjustRightInd w:val="0"/>
        <w:spacing w:after="0" w:line="240" w:lineRule="auto"/>
        <w:jc w:val="both"/>
        <w:rPr>
          <w:rFonts w:cstheme="minorHAnsi"/>
          <w:lang w:val="nl-BE"/>
        </w:rPr>
      </w:pPr>
    </w:p>
    <w:p w14:paraId="10F38104" w14:textId="24C5D62C" w:rsidR="006C1B85" w:rsidRDefault="00257B38" w:rsidP="00347B39">
      <w:pPr>
        <w:pStyle w:val="Kop2"/>
        <w:numPr>
          <w:ilvl w:val="1"/>
          <w:numId w:val="35"/>
        </w:numPr>
        <w:rPr>
          <w:lang w:val="nl-BE"/>
        </w:rPr>
      </w:pPr>
      <w:bookmarkStart w:id="14" w:name="_Toc160465602"/>
      <w:r>
        <w:rPr>
          <w:lang w:val="nl-BE"/>
        </w:rPr>
        <w:t>Energy input</w:t>
      </w:r>
      <w:bookmarkEnd w:id="14"/>
    </w:p>
    <w:p w14:paraId="160CCDAE" w14:textId="13365561" w:rsidR="00774233" w:rsidRDefault="00D622E4" w:rsidP="00D622E4">
      <w:pPr>
        <w:rPr>
          <w:lang w:val="nl-BE"/>
        </w:rPr>
      </w:pPr>
      <w:r w:rsidRPr="001E069C">
        <w:rPr>
          <w:lang w:val="nl-BE"/>
        </w:rPr>
        <w:t xml:space="preserve">In tabblad </w:t>
      </w:r>
      <w:r w:rsidR="00550703" w:rsidRPr="001E069C">
        <w:rPr>
          <w:lang w:val="nl-BE"/>
        </w:rPr>
        <w:t>“</w:t>
      </w:r>
      <w:proofErr w:type="spellStart"/>
      <w:r w:rsidRPr="001E069C">
        <w:rPr>
          <w:lang w:val="nl-BE"/>
        </w:rPr>
        <w:t>E_EnergyFlow</w:t>
      </w:r>
      <w:r w:rsidR="00550703" w:rsidRPr="001E069C">
        <w:rPr>
          <w:lang w:val="nl-BE"/>
        </w:rPr>
        <w:t>s</w:t>
      </w:r>
      <w:proofErr w:type="spellEnd"/>
      <w:r w:rsidR="00550703" w:rsidRPr="001E069C">
        <w:rPr>
          <w:lang w:val="nl-BE"/>
        </w:rPr>
        <w:t xml:space="preserve">” wordt onder </w:t>
      </w:r>
      <w:r w:rsidR="00550703" w:rsidRPr="00BF4E07">
        <w:rPr>
          <w:lang w:val="nl-BE"/>
        </w:rPr>
        <w:t xml:space="preserve">“I Energy input”&gt;”(a) Energy input </w:t>
      </w:r>
      <w:proofErr w:type="spellStart"/>
      <w:r w:rsidR="00550703" w:rsidRPr="00BF4E07">
        <w:rPr>
          <w:lang w:val="nl-BE"/>
        </w:rPr>
        <w:t>flows</w:t>
      </w:r>
      <w:proofErr w:type="spellEnd"/>
      <w:r w:rsidR="00550703" w:rsidRPr="00BF4E07">
        <w:rPr>
          <w:lang w:val="nl-BE"/>
        </w:rPr>
        <w:t>”</w:t>
      </w:r>
      <w:r w:rsidR="001C61C5" w:rsidRPr="001E069C">
        <w:rPr>
          <w:lang w:val="nl-BE"/>
        </w:rPr>
        <w:t xml:space="preserve"> gevraagd </w:t>
      </w:r>
      <w:r w:rsidR="00BF4E07" w:rsidRPr="001E069C">
        <w:rPr>
          <w:lang w:val="nl-BE"/>
        </w:rPr>
        <w:t>naar input inzake e</w:t>
      </w:r>
      <w:r w:rsidR="00BF4E07">
        <w:rPr>
          <w:lang w:val="nl-BE"/>
        </w:rPr>
        <w:t>xotherme wa</w:t>
      </w:r>
      <w:r w:rsidR="00101183">
        <w:rPr>
          <w:lang w:val="nl-BE"/>
        </w:rPr>
        <w:t>rmte en elektriciteitsgebruik voor warmteproductie.</w:t>
      </w:r>
    </w:p>
    <w:p w14:paraId="18E18A7C" w14:textId="705E301F" w:rsidR="00774233" w:rsidRDefault="00774233" w:rsidP="00D622E4">
      <w:pPr>
        <w:rPr>
          <w:lang w:val="nl-BE"/>
        </w:rPr>
      </w:pPr>
      <w:r>
        <w:rPr>
          <w:lang w:val="nl-BE"/>
        </w:rPr>
        <w:t xml:space="preserve">Het eerste dient als extra (verplicht) controlegegeven voor de warmtebalans. Daar waar in het verleden vaak tussen de lijnen </w:t>
      </w:r>
      <w:proofErr w:type="spellStart"/>
      <w:r>
        <w:rPr>
          <w:lang w:val="nl-BE"/>
        </w:rPr>
        <w:t>interpreteerbaar</w:t>
      </w:r>
      <w:proofErr w:type="spellEnd"/>
      <w:r>
        <w:rPr>
          <w:lang w:val="nl-BE"/>
        </w:rPr>
        <w:t xml:space="preserve"> was dat er exotherme warmte gegenereerd (en gebruikt) werd, wordt dit nu dus explicieter gevraagd.</w:t>
      </w:r>
    </w:p>
    <w:p w14:paraId="733AC18D" w14:textId="6B7E525F" w:rsidR="00101183" w:rsidRDefault="00101183" w:rsidP="00D622E4">
      <w:pPr>
        <w:rPr>
          <w:lang w:val="nl-BE"/>
        </w:rPr>
      </w:pPr>
      <w:r>
        <w:rPr>
          <w:lang w:val="nl-BE"/>
        </w:rPr>
        <w:t xml:space="preserve">Het tweede volgt uit de aanpassing van de </w:t>
      </w:r>
      <w:proofErr w:type="spellStart"/>
      <w:r>
        <w:rPr>
          <w:lang w:val="nl-BE"/>
        </w:rPr>
        <w:t>warmtebenchmark</w:t>
      </w:r>
      <w:r w:rsidR="005E6A36">
        <w:rPr>
          <w:lang w:val="nl-BE"/>
        </w:rPr>
        <w:t>subinstallatie</w:t>
      </w:r>
      <w:proofErr w:type="spellEnd"/>
      <w:r w:rsidR="00865B89">
        <w:rPr>
          <w:lang w:val="nl-BE"/>
        </w:rPr>
        <w:t xml:space="preserve"> (inclusie van warmte opgewekt uit elektriciteit). </w:t>
      </w:r>
    </w:p>
    <w:p w14:paraId="74FDEBF6" w14:textId="4E5E5D64" w:rsidR="00166B13" w:rsidRPr="001E069C" w:rsidRDefault="00774233">
      <w:pPr>
        <w:rPr>
          <w:lang w:val="nl-BE"/>
        </w:rPr>
      </w:pPr>
      <w:r>
        <w:rPr>
          <w:lang w:val="nl-BE"/>
        </w:rPr>
        <w:t>Ook onder “</w:t>
      </w:r>
      <w:proofErr w:type="spellStart"/>
      <w:r>
        <w:rPr>
          <w:lang w:val="nl-BE"/>
        </w:rPr>
        <w:t>F_productBM</w:t>
      </w:r>
      <w:proofErr w:type="spellEnd"/>
      <w:r>
        <w:rPr>
          <w:lang w:val="nl-BE"/>
        </w:rPr>
        <w:t xml:space="preserve">” </w:t>
      </w:r>
      <w:r w:rsidR="00E52C44">
        <w:rPr>
          <w:lang w:val="nl-BE"/>
        </w:rPr>
        <w:t xml:space="preserve">wordt in het blauwe kader onder </w:t>
      </w:r>
      <w:r w:rsidR="004E702B">
        <w:rPr>
          <w:lang w:val="nl-BE"/>
        </w:rPr>
        <w:t>puntje (f)</w:t>
      </w:r>
      <w:r w:rsidR="00532E4F">
        <w:rPr>
          <w:lang w:val="nl-BE"/>
        </w:rPr>
        <w:t xml:space="preserve"> nu verwezen naar energie-input in plaats van </w:t>
      </w:r>
      <w:r w:rsidR="00EF3BDE">
        <w:rPr>
          <w:lang w:val="nl-BE"/>
        </w:rPr>
        <w:t>enkel brandstofinput</w:t>
      </w:r>
      <w:r w:rsidR="00910380">
        <w:rPr>
          <w:lang w:val="nl-BE"/>
        </w:rPr>
        <w:t>.</w:t>
      </w:r>
      <w:r w:rsidR="00DB0696">
        <w:rPr>
          <w:lang w:val="nl-BE"/>
        </w:rPr>
        <w:t xml:space="preserve"> </w:t>
      </w:r>
      <w:r w:rsidR="00166B13">
        <w:rPr>
          <w:lang w:val="nl-BE"/>
        </w:rPr>
        <w:t>Hetzelfde geldt voor tabblad “</w:t>
      </w:r>
      <w:proofErr w:type="spellStart"/>
      <w:r w:rsidR="00166B13">
        <w:rPr>
          <w:lang w:val="nl-BE"/>
        </w:rPr>
        <w:t>G_Fall</w:t>
      </w:r>
      <w:proofErr w:type="spellEnd"/>
      <w:r w:rsidR="00166B13">
        <w:rPr>
          <w:lang w:val="nl-BE"/>
        </w:rPr>
        <w:t>-back” in het blauwe kader onder puntje (d)</w:t>
      </w:r>
    </w:p>
    <w:p w14:paraId="4B51257D" w14:textId="4F85B73C" w:rsidR="008206D2" w:rsidRDefault="00347B39" w:rsidP="00347B39">
      <w:pPr>
        <w:pStyle w:val="Kop2"/>
        <w:numPr>
          <w:ilvl w:val="1"/>
          <w:numId w:val="35"/>
        </w:numPr>
        <w:rPr>
          <w:lang w:val="nl-BE"/>
        </w:rPr>
      </w:pPr>
      <w:bookmarkStart w:id="15" w:name="_Toc160465603"/>
      <w:r>
        <w:rPr>
          <w:lang w:val="nl-BE"/>
        </w:rPr>
        <w:t>Procesemissies</w:t>
      </w:r>
      <w:bookmarkEnd w:id="15"/>
    </w:p>
    <w:p w14:paraId="6654C78F" w14:textId="4665B169" w:rsidR="000456AB" w:rsidRPr="000456AB" w:rsidRDefault="000456AB" w:rsidP="000456AB">
      <w:pPr>
        <w:rPr>
          <w:lang w:val="nl-BE"/>
        </w:rPr>
      </w:pPr>
      <w:r w:rsidRPr="000456AB">
        <w:rPr>
          <w:lang w:val="nl-BE"/>
        </w:rPr>
        <w:t>De kosteloze toewijzing voor procesemissies wordt berekend aan de hand van de historische proces gerelateerde emissies, en niet aan de hand van een benchmark. Hiervoor wordt momenteel gewerkt met een vaste waarde van 97% die in tegenstelling tot benchmarks niet daalt in de tijd.</w:t>
      </w:r>
    </w:p>
    <w:p w14:paraId="5D78ABAA" w14:textId="1CE0F278" w:rsidR="000456AB" w:rsidRDefault="007E1589" w:rsidP="000456AB">
      <w:pPr>
        <w:rPr>
          <w:lang w:val="nl-BE"/>
        </w:rPr>
      </w:pPr>
      <w:r>
        <w:rPr>
          <w:lang w:val="nl-BE"/>
        </w:rPr>
        <w:t xml:space="preserve">In de </w:t>
      </w:r>
      <w:r w:rsidR="006325FB">
        <w:rPr>
          <w:lang w:val="nl-BE"/>
        </w:rPr>
        <w:t>herziene</w:t>
      </w:r>
      <w:r>
        <w:rPr>
          <w:lang w:val="nl-BE"/>
        </w:rPr>
        <w:t xml:space="preserve"> FAR </w:t>
      </w:r>
      <w:r w:rsidR="004011B4">
        <w:rPr>
          <w:lang w:val="nl-BE"/>
        </w:rPr>
        <w:t>is dit</w:t>
      </w:r>
      <w:r w:rsidR="000456AB" w:rsidRPr="000456AB">
        <w:rPr>
          <w:lang w:val="nl-BE"/>
        </w:rPr>
        <w:t xml:space="preserve"> verlaag</w:t>
      </w:r>
      <w:r w:rsidR="004011B4">
        <w:rPr>
          <w:lang w:val="nl-BE"/>
        </w:rPr>
        <w:t>d</w:t>
      </w:r>
      <w:r w:rsidR="000456AB" w:rsidRPr="000456AB">
        <w:rPr>
          <w:lang w:val="nl-BE"/>
        </w:rPr>
        <w:t xml:space="preserve"> tot 91% vanaf 1 januari 2028.</w:t>
      </w:r>
    </w:p>
    <w:p w14:paraId="724D5719" w14:textId="4EB53645" w:rsidR="008206D2" w:rsidRPr="001E069C" w:rsidRDefault="008C2818" w:rsidP="001E069C">
      <w:pPr>
        <w:rPr>
          <w:lang w:val="nl-BE"/>
        </w:rPr>
      </w:pPr>
      <w:r>
        <w:rPr>
          <w:lang w:val="nl-BE"/>
        </w:rPr>
        <w:t>Dit heeft</w:t>
      </w:r>
      <w:r w:rsidR="000456AB">
        <w:rPr>
          <w:lang w:val="nl-BE"/>
        </w:rPr>
        <w:t xml:space="preserve"> geen impact op het MMP</w:t>
      </w:r>
      <w:r w:rsidR="004011B4">
        <w:rPr>
          <w:lang w:val="nl-BE"/>
        </w:rPr>
        <w:t>.</w:t>
      </w:r>
    </w:p>
    <w:p w14:paraId="4CDD9200" w14:textId="33375A82" w:rsidR="00E57671" w:rsidRPr="001626AB" w:rsidRDefault="00E57671" w:rsidP="001E069C">
      <w:pPr>
        <w:pStyle w:val="Kop2"/>
        <w:numPr>
          <w:ilvl w:val="1"/>
          <w:numId w:val="35"/>
        </w:numPr>
        <w:rPr>
          <w:lang w:val="nl-BE"/>
        </w:rPr>
      </w:pPr>
      <w:bookmarkStart w:id="16" w:name="_Toc160464281"/>
      <w:bookmarkStart w:id="17" w:name="_Toc160464309"/>
      <w:bookmarkStart w:id="18" w:name="_Toc160464351"/>
      <w:bookmarkStart w:id="19" w:name="_Toc160464421"/>
      <w:bookmarkStart w:id="20" w:name="_Toc160465604"/>
      <w:bookmarkEnd w:id="16"/>
      <w:bookmarkEnd w:id="17"/>
      <w:bookmarkEnd w:id="18"/>
      <w:bookmarkEnd w:id="19"/>
      <w:r w:rsidRPr="001626AB">
        <w:rPr>
          <w:lang w:val="nl-BE"/>
        </w:rPr>
        <w:t>Ethyleenoxide/-glycolen</w:t>
      </w:r>
      <w:bookmarkEnd w:id="20"/>
    </w:p>
    <w:p w14:paraId="22523778" w14:textId="74433342" w:rsidR="00E57671" w:rsidRPr="00E57671" w:rsidRDefault="009D0879" w:rsidP="001E069C">
      <w:pPr>
        <w:rPr>
          <w:lang w:val="nl-BE"/>
        </w:rPr>
      </w:pPr>
      <w:r>
        <w:rPr>
          <w:lang w:val="nl-BE"/>
        </w:rPr>
        <w:t xml:space="preserve">De conversiefactoren </w:t>
      </w:r>
      <w:r w:rsidR="007B0F4B">
        <w:rPr>
          <w:lang w:val="nl-BE"/>
        </w:rPr>
        <w:t xml:space="preserve">van </w:t>
      </w:r>
      <w:r w:rsidR="000B625D">
        <w:rPr>
          <w:lang w:val="nl-BE"/>
        </w:rPr>
        <w:t>ethyleenoxide en -glycolen werden gewijzigd</w:t>
      </w:r>
      <w:r w:rsidR="00A96DA0">
        <w:rPr>
          <w:lang w:val="nl-BE"/>
        </w:rPr>
        <w:t xml:space="preserve">. Dit zal een impact hebben op </w:t>
      </w:r>
      <w:r w:rsidR="00980F99">
        <w:rPr>
          <w:lang w:val="nl-BE"/>
        </w:rPr>
        <w:t>het MMP26-30</w:t>
      </w:r>
      <w:r w:rsidR="00761A8D">
        <w:rPr>
          <w:lang w:val="nl-BE"/>
        </w:rPr>
        <w:t xml:space="preserve"> onder “</w:t>
      </w:r>
      <w:proofErr w:type="spellStart"/>
      <w:r w:rsidR="00761A8D">
        <w:rPr>
          <w:lang w:val="nl-BE"/>
        </w:rPr>
        <w:t>H_SpecialBM</w:t>
      </w:r>
      <w:proofErr w:type="spellEnd"/>
      <w:r w:rsidR="00761A8D">
        <w:rPr>
          <w:lang w:val="nl-BE"/>
        </w:rPr>
        <w:t>”&gt;”VIII Ethyleenoxide/-glycolen”</w:t>
      </w:r>
      <w:r w:rsidR="00E57671" w:rsidRPr="00E57671">
        <w:rPr>
          <w:lang w:val="nl-BE"/>
        </w:rPr>
        <w:tab/>
      </w:r>
      <w:r w:rsidR="00E57671" w:rsidRPr="00E57671">
        <w:rPr>
          <w:lang w:val="nl-BE"/>
        </w:rPr>
        <w:tab/>
      </w:r>
      <w:r w:rsidR="00E57671" w:rsidRPr="00E57671">
        <w:rPr>
          <w:lang w:val="nl-BE"/>
        </w:rPr>
        <w:tab/>
      </w:r>
      <w:r w:rsidR="00E57671" w:rsidRPr="00E57671">
        <w:rPr>
          <w:lang w:val="nl-BE"/>
        </w:rPr>
        <w:tab/>
      </w:r>
      <w:r w:rsidR="00E57671" w:rsidRPr="00E57671">
        <w:rPr>
          <w:lang w:val="nl-BE"/>
        </w:rPr>
        <w:tab/>
      </w:r>
      <w:r w:rsidR="00E57671" w:rsidRPr="00E57671">
        <w:rPr>
          <w:lang w:val="nl-BE"/>
        </w:rPr>
        <w:tab/>
      </w:r>
      <w:r w:rsidR="00E57671" w:rsidRPr="00E57671">
        <w:rPr>
          <w:lang w:val="nl-BE"/>
        </w:rPr>
        <w:tab/>
      </w:r>
      <w:r w:rsidR="00E57671" w:rsidRPr="00E57671">
        <w:rPr>
          <w:lang w:val="nl-BE"/>
        </w:rPr>
        <w:tab/>
      </w:r>
      <w:r w:rsidR="00E57671" w:rsidRPr="00E57671">
        <w:rPr>
          <w:lang w:val="nl-BE"/>
        </w:rPr>
        <w:tab/>
      </w:r>
      <w:r w:rsidR="00E57671" w:rsidRPr="00E57671">
        <w:rPr>
          <w:lang w:val="nl-BE"/>
        </w:rPr>
        <w:tab/>
      </w:r>
    </w:p>
    <w:p w14:paraId="24B25B05" w14:textId="77777777" w:rsidR="00234F6C" w:rsidRDefault="00234F6C">
      <w:pPr>
        <w:rPr>
          <w:rFonts w:asciiTheme="majorHAnsi" w:eastAsiaTheme="majorEastAsia" w:hAnsiTheme="majorHAnsi" w:cstheme="majorBidi"/>
          <w:color w:val="2F5496" w:themeColor="accent1" w:themeShade="BF"/>
          <w:sz w:val="26"/>
          <w:szCs w:val="26"/>
          <w:lang w:val="nl-BE"/>
        </w:rPr>
      </w:pPr>
      <w:r>
        <w:rPr>
          <w:rFonts w:asciiTheme="majorHAnsi" w:eastAsiaTheme="majorEastAsia" w:hAnsiTheme="majorHAnsi" w:cstheme="majorBidi"/>
          <w:color w:val="2F5496" w:themeColor="accent1" w:themeShade="BF"/>
          <w:sz w:val="26"/>
          <w:szCs w:val="26"/>
          <w:lang w:val="nl-BE"/>
        </w:rPr>
        <w:br w:type="page"/>
      </w:r>
    </w:p>
    <w:p w14:paraId="3C829662" w14:textId="7B368CB7" w:rsidR="00437176" w:rsidRDefault="00437176" w:rsidP="001E069C">
      <w:pPr>
        <w:pStyle w:val="Kop2"/>
        <w:numPr>
          <w:ilvl w:val="1"/>
          <w:numId w:val="35"/>
        </w:numPr>
        <w:rPr>
          <w:lang w:val="nl-BE"/>
        </w:rPr>
      </w:pPr>
      <w:bookmarkStart w:id="21" w:name="_Toc160465605"/>
      <w:r>
        <w:rPr>
          <w:lang w:val="nl-BE"/>
        </w:rPr>
        <w:lastRenderedPageBreak/>
        <w:t>Onredelijke kosten</w:t>
      </w:r>
      <w:bookmarkEnd w:id="21"/>
    </w:p>
    <w:p w14:paraId="783B6B3C" w14:textId="303B3AA8" w:rsidR="00437176" w:rsidRDefault="00D74E2B" w:rsidP="00622FDC">
      <w:pPr>
        <w:rPr>
          <w:lang w:val="nl-BE"/>
        </w:rPr>
      </w:pPr>
      <w:r>
        <w:rPr>
          <w:lang w:val="nl-BE"/>
        </w:rPr>
        <w:t xml:space="preserve">Voor onredelijke kosten wordt vanaf heden verwezen naar </w:t>
      </w:r>
      <w:r w:rsidR="00E21C51">
        <w:rPr>
          <w:lang w:val="nl-BE"/>
        </w:rPr>
        <w:t xml:space="preserve">artikel 18 van de </w:t>
      </w:r>
      <w:hyperlink r:id="rId19" w:history="1">
        <w:r w:rsidR="00E21C51" w:rsidRPr="008C4B66">
          <w:rPr>
            <w:rStyle w:val="Hyperlink"/>
            <w:lang w:val="nl-BE"/>
          </w:rPr>
          <w:t>MRR</w:t>
        </w:r>
      </w:hyperlink>
      <w:r w:rsidR="00E21C51">
        <w:rPr>
          <w:lang w:val="nl-BE"/>
        </w:rPr>
        <w:t xml:space="preserve">. </w:t>
      </w:r>
      <w:r w:rsidR="00BE11CA">
        <w:rPr>
          <w:lang w:val="nl-BE"/>
        </w:rPr>
        <w:t>Sinds de laatste update van de MRR zijn de te gebruiken bedragen voor “onredelijke kosten” geüpdatet.</w:t>
      </w:r>
    </w:p>
    <w:tbl>
      <w:tblPr>
        <w:tblStyle w:val="Tabelraster"/>
        <w:tblW w:w="0" w:type="auto"/>
        <w:tblLook w:val="04A0" w:firstRow="1" w:lastRow="0" w:firstColumn="1" w:lastColumn="0" w:noHBand="0" w:noVBand="1"/>
      </w:tblPr>
      <w:tblGrid>
        <w:gridCol w:w="3005"/>
        <w:gridCol w:w="3005"/>
        <w:gridCol w:w="3006"/>
      </w:tblGrid>
      <w:tr w:rsidR="00431A1D" w14:paraId="2CEAD81F" w14:textId="77777777" w:rsidTr="00431A1D">
        <w:tc>
          <w:tcPr>
            <w:tcW w:w="3005" w:type="dxa"/>
          </w:tcPr>
          <w:p w14:paraId="780C49CF" w14:textId="2D948B7D" w:rsidR="00431A1D" w:rsidRPr="001E069C" w:rsidRDefault="00431A1D" w:rsidP="00622FDC">
            <w:pPr>
              <w:rPr>
                <w:b/>
                <w:bCs/>
                <w:lang w:val="nl-BE"/>
              </w:rPr>
            </w:pPr>
            <w:r w:rsidRPr="001E069C">
              <w:rPr>
                <w:b/>
                <w:bCs/>
                <w:lang w:val="nl-BE"/>
              </w:rPr>
              <w:t>Parameter</w:t>
            </w:r>
          </w:p>
        </w:tc>
        <w:tc>
          <w:tcPr>
            <w:tcW w:w="3005" w:type="dxa"/>
          </w:tcPr>
          <w:p w14:paraId="0A789199" w14:textId="23EDF018" w:rsidR="00431A1D" w:rsidRPr="001E069C" w:rsidRDefault="00932C2D" w:rsidP="00622FDC">
            <w:pPr>
              <w:rPr>
                <w:b/>
                <w:bCs/>
                <w:lang w:val="nl-BE"/>
              </w:rPr>
            </w:pPr>
            <w:r>
              <w:rPr>
                <w:b/>
                <w:bCs/>
                <w:lang w:val="nl-BE"/>
              </w:rPr>
              <w:t>Voor 1/01/2024</w:t>
            </w:r>
          </w:p>
        </w:tc>
        <w:tc>
          <w:tcPr>
            <w:tcW w:w="3006" w:type="dxa"/>
          </w:tcPr>
          <w:p w14:paraId="4E7656C0" w14:textId="4E4EA31E" w:rsidR="00431A1D" w:rsidRPr="001E069C" w:rsidRDefault="00932C2D" w:rsidP="00622FDC">
            <w:pPr>
              <w:rPr>
                <w:b/>
                <w:bCs/>
                <w:lang w:val="nl-BE"/>
              </w:rPr>
            </w:pPr>
            <w:r>
              <w:rPr>
                <w:b/>
                <w:bCs/>
                <w:lang w:val="nl-BE"/>
              </w:rPr>
              <w:t>Vanaf 1/01/2024</w:t>
            </w:r>
          </w:p>
        </w:tc>
      </w:tr>
      <w:tr w:rsidR="00431A1D" w14:paraId="0DBD8E0B" w14:textId="77777777" w:rsidTr="00431A1D">
        <w:tc>
          <w:tcPr>
            <w:tcW w:w="3005" w:type="dxa"/>
          </w:tcPr>
          <w:p w14:paraId="4871E4F8" w14:textId="606E8483" w:rsidR="00431A1D" w:rsidRDefault="00B67144" w:rsidP="00622FDC">
            <w:pPr>
              <w:rPr>
                <w:lang w:val="nl-BE"/>
              </w:rPr>
            </w:pPr>
            <w:r>
              <w:rPr>
                <w:lang w:val="nl-BE"/>
              </w:rPr>
              <w:t xml:space="preserve">Vaste </w:t>
            </w:r>
            <w:r w:rsidR="00243413">
              <w:rPr>
                <w:lang w:val="nl-BE"/>
              </w:rPr>
              <w:t>referentieprijs (EUA)</w:t>
            </w:r>
          </w:p>
        </w:tc>
        <w:tc>
          <w:tcPr>
            <w:tcW w:w="3005" w:type="dxa"/>
          </w:tcPr>
          <w:p w14:paraId="5469D16A" w14:textId="1361A9D5" w:rsidR="00431A1D" w:rsidRDefault="00243413" w:rsidP="00622FDC">
            <w:pPr>
              <w:rPr>
                <w:lang w:val="nl-BE"/>
              </w:rPr>
            </w:pPr>
            <w:r>
              <w:rPr>
                <w:lang w:val="nl-BE"/>
              </w:rPr>
              <w:t>€20</w:t>
            </w:r>
          </w:p>
        </w:tc>
        <w:tc>
          <w:tcPr>
            <w:tcW w:w="3006" w:type="dxa"/>
          </w:tcPr>
          <w:p w14:paraId="7A93A8BF" w14:textId="5E3A1D19" w:rsidR="00431A1D" w:rsidRDefault="00D65447" w:rsidP="00622FDC">
            <w:pPr>
              <w:rPr>
                <w:lang w:val="nl-BE"/>
              </w:rPr>
            </w:pPr>
            <w:r>
              <w:rPr>
                <w:lang w:val="nl-BE"/>
              </w:rPr>
              <w:t>€80</w:t>
            </w:r>
          </w:p>
        </w:tc>
      </w:tr>
      <w:tr w:rsidR="00431A1D" w14:paraId="3F51A18E" w14:textId="77777777" w:rsidTr="00431A1D">
        <w:tc>
          <w:tcPr>
            <w:tcW w:w="3005" w:type="dxa"/>
          </w:tcPr>
          <w:p w14:paraId="3BFEE9C7" w14:textId="3E2168DE" w:rsidR="00431A1D" w:rsidRDefault="00503986" w:rsidP="00622FDC">
            <w:pPr>
              <w:rPr>
                <w:lang w:val="nl-BE"/>
              </w:rPr>
            </w:pPr>
            <w:r>
              <w:rPr>
                <w:lang w:val="nl-BE"/>
              </w:rPr>
              <w:t>Bovengrens voor normale installaties</w:t>
            </w:r>
          </w:p>
        </w:tc>
        <w:tc>
          <w:tcPr>
            <w:tcW w:w="3005" w:type="dxa"/>
          </w:tcPr>
          <w:p w14:paraId="3D5B5075" w14:textId="5E9498D3" w:rsidR="00431A1D" w:rsidRDefault="00503986" w:rsidP="00622FDC">
            <w:pPr>
              <w:rPr>
                <w:lang w:val="nl-BE"/>
              </w:rPr>
            </w:pPr>
            <w:r>
              <w:rPr>
                <w:lang w:val="nl-BE"/>
              </w:rPr>
              <w:t>€2.000</w:t>
            </w:r>
          </w:p>
        </w:tc>
        <w:tc>
          <w:tcPr>
            <w:tcW w:w="3006" w:type="dxa"/>
          </w:tcPr>
          <w:p w14:paraId="732A782F" w14:textId="683AE2D0" w:rsidR="00431A1D" w:rsidRDefault="00503986" w:rsidP="00622FDC">
            <w:pPr>
              <w:rPr>
                <w:lang w:val="nl-BE"/>
              </w:rPr>
            </w:pPr>
            <w:r>
              <w:rPr>
                <w:lang w:val="nl-BE"/>
              </w:rPr>
              <w:t>€4.000</w:t>
            </w:r>
          </w:p>
        </w:tc>
      </w:tr>
      <w:tr w:rsidR="00431A1D" w14:paraId="4698D32D" w14:textId="77777777" w:rsidTr="00431A1D">
        <w:tc>
          <w:tcPr>
            <w:tcW w:w="3005" w:type="dxa"/>
          </w:tcPr>
          <w:p w14:paraId="39AF8F71" w14:textId="12F862AF" w:rsidR="00431A1D" w:rsidRDefault="00503986" w:rsidP="00622FDC">
            <w:pPr>
              <w:rPr>
                <w:lang w:val="nl-BE"/>
              </w:rPr>
            </w:pPr>
            <w:r>
              <w:rPr>
                <w:lang w:val="nl-BE"/>
              </w:rPr>
              <w:t>Bovengrens voor kleine emittenten</w:t>
            </w:r>
          </w:p>
        </w:tc>
        <w:tc>
          <w:tcPr>
            <w:tcW w:w="3005" w:type="dxa"/>
          </w:tcPr>
          <w:p w14:paraId="1F1EA723" w14:textId="029249EE" w:rsidR="00431A1D" w:rsidRDefault="00503986" w:rsidP="00622FDC">
            <w:pPr>
              <w:rPr>
                <w:lang w:val="nl-BE"/>
              </w:rPr>
            </w:pPr>
            <w:r>
              <w:rPr>
                <w:lang w:val="nl-BE"/>
              </w:rPr>
              <w:t>€500</w:t>
            </w:r>
          </w:p>
        </w:tc>
        <w:tc>
          <w:tcPr>
            <w:tcW w:w="3006" w:type="dxa"/>
          </w:tcPr>
          <w:p w14:paraId="75FEAF52" w14:textId="16BC7B87" w:rsidR="00431A1D" w:rsidRDefault="00503986" w:rsidP="00622FDC">
            <w:pPr>
              <w:rPr>
                <w:lang w:val="nl-BE"/>
              </w:rPr>
            </w:pPr>
            <w:r>
              <w:rPr>
                <w:lang w:val="nl-BE"/>
              </w:rPr>
              <w:t>€1.000</w:t>
            </w:r>
          </w:p>
        </w:tc>
      </w:tr>
      <w:tr w:rsidR="009920DC" w14:paraId="097FB86F" w14:textId="77777777" w:rsidTr="00431A1D">
        <w:tc>
          <w:tcPr>
            <w:tcW w:w="3005" w:type="dxa"/>
          </w:tcPr>
          <w:p w14:paraId="6475C866" w14:textId="493C3216" w:rsidR="009920DC" w:rsidRDefault="00E20786" w:rsidP="00622FDC">
            <w:pPr>
              <w:rPr>
                <w:lang w:val="nl-BE"/>
              </w:rPr>
            </w:pPr>
            <w:r>
              <w:rPr>
                <w:lang w:val="nl-BE"/>
              </w:rPr>
              <w:t>Emissiefactor elektriciteit</w:t>
            </w:r>
          </w:p>
        </w:tc>
        <w:tc>
          <w:tcPr>
            <w:tcW w:w="3005" w:type="dxa"/>
          </w:tcPr>
          <w:p w14:paraId="1595D816" w14:textId="46B03C86" w:rsidR="009920DC" w:rsidRDefault="00E869BF" w:rsidP="00622FDC">
            <w:pPr>
              <w:rPr>
                <w:lang w:val="nl-BE"/>
              </w:rPr>
            </w:pPr>
            <w:r>
              <w:rPr>
                <w:lang w:val="nl-BE"/>
              </w:rPr>
              <w:t>0.376 t CO2/MWh</w:t>
            </w:r>
          </w:p>
        </w:tc>
        <w:tc>
          <w:tcPr>
            <w:tcW w:w="3006" w:type="dxa"/>
          </w:tcPr>
          <w:p w14:paraId="308F6E1A" w14:textId="4F53E616" w:rsidR="009920DC" w:rsidRDefault="00E869BF" w:rsidP="00622FDC">
            <w:pPr>
              <w:rPr>
                <w:lang w:val="nl-BE"/>
              </w:rPr>
            </w:pPr>
            <w:r>
              <w:rPr>
                <w:lang w:val="nl-BE"/>
              </w:rPr>
              <w:t>0.300 t CO2/MWh</w:t>
            </w:r>
          </w:p>
        </w:tc>
      </w:tr>
    </w:tbl>
    <w:p w14:paraId="06DA8FFE" w14:textId="77777777" w:rsidR="00431A1D" w:rsidRDefault="00431A1D" w:rsidP="00622FDC">
      <w:pPr>
        <w:rPr>
          <w:lang w:val="nl-BE"/>
        </w:rPr>
      </w:pPr>
    </w:p>
    <w:p w14:paraId="28415DEF" w14:textId="43FDF7F1" w:rsidR="00107593" w:rsidRDefault="00431A1D" w:rsidP="00622FDC">
      <w:pPr>
        <w:rPr>
          <w:lang w:val="nl-BE"/>
        </w:rPr>
      </w:pPr>
      <w:r>
        <w:rPr>
          <w:lang w:val="nl-BE"/>
        </w:rPr>
        <w:t>Een praktisch voorbeeld kan gevonden worden onder “</w:t>
      </w:r>
      <w:r w:rsidRPr="001E069C">
        <w:rPr>
          <w:i/>
          <w:iCs/>
          <w:lang w:val="nl-BE"/>
        </w:rPr>
        <w:t>Toetsing van onredelijke kosten</w:t>
      </w:r>
      <w:r>
        <w:rPr>
          <w:lang w:val="nl-BE"/>
        </w:rPr>
        <w:t>”.</w:t>
      </w:r>
    </w:p>
    <w:p w14:paraId="4DBEA92A" w14:textId="77777777" w:rsidR="000B2850" w:rsidRPr="00622FDC" w:rsidRDefault="000B2850" w:rsidP="001E069C">
      <w:pPr>
        <w:rPr>
          <w:lang w:val="nl-BE"/>
        </w:rPr>
      </w:pPr>
    </w:p>
    <w:p w14:paraId="4E540C5C" w14:textId="5CF5EC9A" w:rsidR="003F308E" w:rsidRDefault="00E45C44" w:rsidP="001E069C">
      <w:pPr>
        <w:pStyle w:val="Kop2"/>
        <w:numPr>
          <w:ilvl w:val="1"/>
          <w:numId w:val="35"/>
        </w:numPr>
        <w:rPr>
          <w:lang w:val="nl-BE"/>
        </w:rPr>
      </w:pPr>
      <w:bookmarkStart w:id="22" w:name="_Toc160465606"/>
      <w:r>
        <w:rPr>
          <w:lang w:val="nl-BE"/>
        </w:rPr>
        <w:t>Aanpassingen aan specifieke benchmarks</w:t>
      </w:r>
      <w:bookmarkEnd w:id="22"/>
    </w:p>
    <w:p w14:paraId="3B96C22F" w14:textId="77777777" w:rsidR="00394B78" w:rsidRDefault="00394B78" w:rsidP="001E069C">
      <w:pPr>
        <w:pStyle w:val="Lijstalinea"/>
        <w:ind w:left="1080"/>
        <w:rPr>
          <w:rFonts w:asciiTheme="majorHAnsi" w:eastAsiaTheme="majorEastAsia" w:hAnsiTheme="majorHAnsi" w:cstheme="majorBidi"/>
          <w:color w:val="2F5496" w:themeColor="accent1" w:themeShade="BF"/>
          <w:sz w:val="26"/>
          <w:szCs w:val="26"/>
          <w:lang w:val="nl-BE"/>
        </w:rPr>
      </w:pPr>
    </w:p>
    <w:p w14:paraId="0F57265F" w14:textId="292C45F4" w:rsidR="00E45C44" w:rsidRDefault="003246BC" w:rsidP="003246BC">
      <w:pPr>
        <w:pStyle w:val="Kop3"/>
        <w:numPr>
          <w:ilvl w:val="2"/>
          <w:numId w:val="35"/>
        </w:numPr>
        <w:rPr>
          <w:lang w:val="nl-BE"/>
        </w:rPr>
      </w:pPr>
      <w:bookmarkStart w:id="23" w:name="_Toc160465607"/>
      <w:r>
        <w:rPr>
          <w:lang w:val="nl-BE"/>
        </w:rPr>
        <w:t>Gesinterd erts</w:t>
      </w:r>
      <w:bookmarkEnd w:id="23"/>
    </w:p>
    <w:p w14:paraId="674530A8" w14:textId="4E445C70" w:rsidR="002167A8" w:rsidRDefault="002167A8" w:rsidP="002167A8">
      <w:pPr>
        <w:rPr>
          <w:lang w:val="nl-BE"/>
        </w:rPr>
      </w:pPr>
      <w:r w:rsidRPr="002167A8">
        <w:rPr>
          <w:lang w:val="nl-BE"/>
        </w:rPr>
        <w:t xml:space="preserve">Deze benchmark wordt gewijzigd en </w:t>
      </w:r>
      <w:r w:rsidR="00BE650F">
        <w:rPr>
          <w:lang w:val="nl-BE"/>
        </w:rPr>
        <w:t>krijgt nu de naam “</w:t>
      </w:r>
      <w:proofErr w:type="spellStart"/>
      <w:r w:rsidR="00BE650F">
        <w:rPr>
          <w:lang w:val="nl-BE"/>
        </w:rPr>
        <w:t>geagglomereerd</w:t>
      </w:r>
      <w:proofErr w:type="spellEnd"/>
      <w:r w:rsidR="00BE650F">
        <w:rPr>
          <w:lang w:val="nl-BE"/>
        </w:rPr>
        <w:t xml:space="preserve"> ijzererts”.</w:t>
      </w:r>
      <w:r w:rsidRPr="002167A8">
        <w:rPr>
          <w:lang w:val="nl-BE"/>
        </w:rPr>
        <w:t xml:space="preserve"> Ook in de benchmarkdefinitie en systeemgrenzen wordt niet langer verwezen naar sinter, wel naar </w:t>
      </w:r>
      <w:proofErr w:type="spellStart"/>
      <w:r w:rsidRPr="002167A8">
        <w:rPr>
          <w:lang w:val="nl-BE"/>
        </w:rPr>
        <w:t>geagglomereerd</w:t>
      </w:r>
      <w:proofErr w:type="spellEnd"/>
      <w:r w:rsidRPr="002167A8">
        <w:rPr>
          <w:lang w:val="nl-BE"/>
        </w:rPr>
        <w:t xml:space="preserve"> ijzererts. De aanpassing kan dus gezien worden als een verbreding van de benchmark waardoor ook pellets hieronder vallen.</w:t>
      </w:r>
    </w:p>
    <w:p w14:paraId="17DA6AA0" w14:textId="70DC9161" w:rsidR="00F701FF" w:rsidRDefault="00221410" w:rsidP="002167A8">
      <w:pPr>
        <w:rPr>
          <w:lang w:val="nl-BE"/>
        </w:rPr>
      </w:pPr>
      <w:r>
        <w:rPr>
          <w:lang w:val="nl-BE"/>
        </w:rPr>
        <w:t>De nieuwe benchmarkdefinitie is de volgende:</w:t>
      </w:r>
    </w:p>
    <w:tbl>
      <w:tblPr>
        <w:tblStyle w:val="Tabelraster"/>
        <w:tblW w:w="0" w:type="auto"/>
        <w:tblLook w:val="04A0" w:firstRow="1" w:lastRow="0" w:firstColumn="1" w:lastColumn="0" w:noHBand="0" w:noVBand="1"/>
      </w:tblPr>
      <w:tblGrid>
        <w:gridCol w:w="9016"/>
      </w:tblGrid>
      <w:tr w:rsidR="00221410" w14:paraId="3CF5BEBE" w14:textId="77777777" w:rsidTr="00221410">
        <w:tc>
          <w:tcPr>
            <w:tcW w:w="9016" w:type="dxa"/>
          </w:tcPr>
          <w:p w14:paraId="3B656C3A" w14:textId="148E0D92" w:rsidR="00221410" w:rsidRPr="001E069C" w:rsidRDefault="00221410" w:rsidP="001E069C">
            <w:pPr>
              <w:pStyle w:val="Default"/>
              <w:rPr>
                <w:rFonts w:cstheme="minorHAnsi"/>
                <w:i/>
              </w:rPr>
            </w:pPr>
            <w:proofErr w:type="spellStart"/>
            <w:r w:rsidRPr="001E069C">
              <w:rPr>
                <w:rFonts w:asciiTheme="minorHAnsi" w:hAnsiTheme="minorHAnsi" w:cstheme="minorHAnsi"/>
                <w:i/>
                <w:iCs/>
                <w:sz w:val="22"/>
                <w:szCs w:val="22"/>
              </w:rPr>
              <w:t>Geagglomereerd</w:t>
            </w:r>
            <w:proofErr w:type="spellEnd"/>
            <w:r w:rsidRPr="001E069C">
              <w:rPr>
                <w:rFonts w:asciiTheme="minorHAnsi" w:hAnsiTheme="minorHAnsi" w:cstheme="minorHAnsi"/>
                <w:i/>
                <w:iCs/>
                <w:sz w:val="22"/>
                <w:szCs w:val="22"/>
              </w:rPr>
              <w:t xml:space="preserve"> ijzerhoudend product met fijne ijzerertsdeeltjes, vloeimiddelen en mogelijk ijzerhoudende recyclingmaterialen met de vereiste chemische en fysische eigenschappen, zoals </w:t>
            </w:r>
            <w:proofErr w:type="spellStart"/>
            <w:r w:rsidRPr="001E069C">
              <w:rPr>
                <w:rFonts w:asciiTheme="minorHAnsi" w:hAnsiTheme="minorHAnsi" w:cstheme="minorHAnsi"/>
                <w:i/>
                <w:iCs/>
                <w:sz w:val="22"/>
                <w:szCs w:val="22"/>
              </w:rPr>
              <w:t>basiciteit</w:t>
            </w:r>
            <w:proofErr w:type="spellEnd"/>
            <w:r w:rsidRPr="001E069C">
              <w:rPr>
                <w:rFonts w:asciiTheme="minorHAnsi" w:hAnsiTheme="minorHAnsi" w:cstheme="minorHAnsi"/>
                <w:i/>
                <w:iCs/>
                <w:sz w:val="22"/>
                <w:szCs w:val="22"/>
              </w:rPr>
              <w:t xml:space="preserve">, mechanische sterkte en doorlaatbaarheid, om ijzer en de nodige vloeimiddelen in procedés voor ijzerertsreductie te bezorgen. Uitgedrukt in ton </w:t>
            </w:r>
            <w:proofErr w:type="spellStart"/>
            <w:r w:rsidRPr="001E069C">
              <w:rPr>
                <w:rFonts w:asciiTheme="minorHAnsi" w:hAnsiTheme="minorHAnsi" w:cstheme="minorHAnsi"/>
                <w:i/>
                <w:iCs/>
                <w:sz w:val="22"/>
                <w:szCs w:val="22"/>
              </w:rPr>
              <w:t>geagglomereerd</w:t>
            </w:r>
            <w:proofErr w:type="spellEnd"/>
            <w:r w:rsidRPr="001E069C">
              <w:rPr>
                <w:rFonts w:asciiTheme="minorHAnsi" w:hAnsiTheme="minorHAnsi" w:cstheme="minorHAnsi"/>
                <w:i/>
                <w:iCs/>
                <w:sz w:val="22"/>
                <w:szCs w:val="22"/>
              </w:rPr>
              <w:t xml:space="preserve"> erts bij het afvoeren uit de fabriek voor de productie van </w:t>
            </w:r>
            <w:proofErr w:type="spellStart"/>
            <w:r w:rsidRPr="001E069C">
              <w:rPr>
                <w:rFonts w:asciiTheme="minorHAnsi" w:hAnsiTheme="minorHAnsi" w:cstheme="minorHAnsi"/>
                <w:i/>
                <w:iCs/>
                <w:sz w:val="22"/>
                <w:szCs w:val="22"/>
              </w:rPr>
              <w:t>geagglomereerd</w:t>
            </w:r>
            <w:proofErr w:type="spellEnd"/>
            <w:r w:rsidRPr="001E069C">
              <w:rPr>
                <w:rFonts w:asciiTheme="minorHAnsi" w:hAnsiTheme="minorHAnsi" w:cstheme="minorHAnsi"/>
                <w:i/>
                <w:iCs/>
                <w:sz w:val="22"/>
                <w:szCs w:val="22"/>
              </w:rPr>
              <w:t xml:space="preserve"> ijzererts. </w:t>
            </w:r>
            <w:proofErr w:type="spellStart"/>
            <w:r w:rsidRPr="001E069C">
              <w:rPr>
                <w:rFonts w:asciiTheme="minorHAnsi" w:hAnsiTheme="minorHAnsi" w:cstheme="minorHAnsi"/>
                <w:b/>
                <w:bCs/>
                <w:i/>
                <w:iCs/>
                <w:sz w:val="22"/>
                <w:szCs w:val="22"/>
              </w:rPr>
              <w:t>Geagglomereerd</w:t>
            </w:r>
            <w:proofErr w:type="spellEnd"/>
            <w:r w:rsidRPr="001E069C">
              <w:rPr>
                <w:rFonts w:asciiTheme="minorHAnsi" w:hAnsiTheme="minorHAnsi" w:cstheme="minorHAnsi"/>
                <w:b/>
                <w:bCs/>
                <w:i/>
                <w:iCs/>
                <w:sz w:val="22"/>
                <w:szCs w:val="22"/>
              </w:rPr>
              <w:t xml:space="preserve"> ijzererts dat weer aan het productieproces wordt onderworpen, mag niet als deel van het product worden beschouwd. </w:t>
            </w:r>
          </w:p>
        </w:tc>
      </w:tr>
    </w:tbl>
    <w:p w14:paraId="74F57133" w14:textId="77777777" w:rsidR="00221410" w:rsidRDefault="00221410" w:rsidP="002167A8">
      <w:pPr>
        <w:rPr>
          <w:lang w:val="nl-BE"/>
        </w:rPr>
      </w:pPr>
    </w:p>
    <w:p w14:paraId="189AFFD8" w14:textId="0B06D2C4" w:rsidR="00FF2AB2" w:rsidRDefault="00FF2AB2" w:rsidP="002167A8">
      <w:pPr>
        <w:rPr>
          <w:lang w:val="nl-BE"/>
        </w:rPr>
      </w:pPr>
      <w:r>
        <w:rPr>
          <w:lang w:val="nl-BE"/>
        </w:rPr>
        <w:t>De nieuwe systeemgrenzen zijn</w:t>
      </w:r>
      <w:r w:rsidR="00672823">
        <w:rPr>
          <w:lang w:val="nl-BE"/>
        </w:rPr>
        <w:t>:</w:t>
      </w:r>
    </w:p>
    <w:tbl>
      <w:tblPr>
        <w:tblStyle w:val="Tabelraster"/>
        <w:tblW w:w="0" w:type="auto"/>
        <w:tblLook w:val="04A0" w:firstRow="1" w:lastRow="0" w:firstColumn="1" w:lastColumn="0" w:noHBand="0" w:noVBand="1"/>
      </w:tblPr>
      <w:tblGrid>
        <w:gridCol w:w="9016"/>
      </w:tblGrid>
      <w:tr w:rsidR="00672823" w14:paraId="05260EFA" w14:textId="77777777" w:rsidTr="00672823">
        <w:tc>
          <w:tcPr>
            <w:tcW w:w="9016" w:type="dxa"/>
          </w:tcPr>
          <w:p w14:paraId="3CD65274" w14:textId="0727B00D" w:rsidR="00672823" w:rsidRPr="001E069C" w:rsidRDefault="00672823" w:rsidP="001E069C">
            <w:pPr>
              <w:pStyle w:val="Default"/>
              <w:rPr>
                <w:rFonts w:cstheme="minorHAnsi"/>
                <w:i/>
              </w:rPr>
            </w:pPr>
            <w:r w:rsidRPr="001E069C">
              <w:rPr>
                <w:rFonts w:asciiTheme="minorHAnsi" w:hAnsiTheme="minorHAnsi" w:cstheme="minorHAnsi"/>
                <w:i/>
                <w:iCs/>
                <w:sz w:val="22"/>
                <w:szCs w:val="22"/>
              </w:rPr>
              <w:t xml:space="preserve">Alle processen die direct of indirect verband houden met de productie van </w:t>
            </w:r>
            <w:proofErr w:type="spellStart"/>
            <w:r w:rsidRPr="001E069C">
              <w:rPr>
                <w:rFonts w:asciiTheme="minorHAnsi" w:hAnsiTheme="minorHAnsi" w:cstheme="minorHAnsi"/>
                <w:i/>
                <w:iCs/>
                <w:sz w:val="22"/>
                <w:szCs w:val="22"/>
              </w:rPr>
              <w:t>geagglomereerd</w:t>
            </w:r>
            <w:proofErr w:type="spellEnd"/>
            <w:r w:rsidRPr="001E069C">
              <w:rPr>
                <w:rFonts w:asciiTheme="minorHAnsi" w:hAnsiTheme="minorHAnsi" w:cstheme="minorHAnsi"/>
                <w:i/>
                <w:iCs/>
                <w:sz w:val="22"/>
                <w:szCs w:val="22"/>
              </w:rPr>
              <w:t xml:space="preserve"> ijzererts zijn inbegrepen. </w:t>
            </w:r>
          </w:p>
        </w:tc>
      </w:tr>
    </w:tbl>
    <w:p w14:paraId="61FE93AB" w14:textId="77777777" w:rsidR="00672823" w:rsidRDefault="00672823" w:rsidP="002167A8">
      <w:pPr>
        <w:rPr>
          <w:lang w:val="nl-BE"/>
        </w:rPr>
      </w:pPr>
    </w:p>
    <w:p w14:paraId="7035F659" w14:textId="45BB72B9" w:rsidR="007F10C6" w:rsidRDefault="007F10C6" w:rsidP="002167A8">
      <w:pPr>
        <w:rPr>
          <w:lang w:val="nl-BE"/>
        </w:rPr>
      </w:pPr>
      <w:r w:rsidRPr="007F10C6">
        <w:rPr>
          <w:lang w:val="nl-BE"/>
        </w:rPr>
        <w:t>Het Europese toelichtingsdocument “</w:t>
      </w:r>
      <w:proofErr w:type="spellStart"/>
      <w:r w:rsidRPr="007F10C6">
        <w:rPr>
          <w:lang w:val="nl-BE"/>
        </w:rPr>
        <w:t>Guidance</w:t>
      </w:r>
      <w:proofErr w:type="spellEnd"/>
      <w:r>
        <w:rPr>
          <w:lang w:val="nl-BE"/>
        </w:rPr>
        <w:t xml:space="preserve"> Document n°9</w:t>
      </w:r>
      <w:r w:rsidRPr="007F10C6">
        <w:rPr>
          <w:lang w:val="nl-BE"/>
        </w:rPr>
        <w:t xml:space="preserve"> </w:t>
      </w:r>
      <w:r>
        <w:rPr>
          <w:lang w:val="nl-BE"/>
        </w:rPr>
        <w:t>Sector-</w:t>
      </w:r>
      <w:proofErr w:type="spellStart"/>
      <w:r>
        <w:rPr>
          <w:lang w:val="nl-BE"/>
        </w:rPr>
        <w:t>specific</w:t>
      </w:r>
      <w:proofErr w:type="spellEnd"/>
      <w:r>
        <w:rPr>
          <w:lang w:val="nl-BE"/>
        </w:rPr>
        <w:t xml:space="preserve"> </w:t>
      </w:r>
      <w:proofErr w:type="spellStart"/>
      <w:r>
        <w:rPr>
          <w:lang w:val="nl-BE"/>
        </w:rPr>
        <w:t>guidance</w:t>
      </w:r>
      <w:proofErr w:type="spellEnd"/>
      <w:r w:rsidRPr="007F10C6">
        <w:rPr>
          <w:lang w:val="nl-BE"/>
        </w:rPr>
        <w:t xml:space="preserve">” gaat in groter detail in op de </w:t>
      </w:r>
      <w:r>
        <w:rPr>
          <w:lang w:val="nl-BE"/>
        </w:rPr>
        <w:t>wijziging van de</w:t>
      </w:r>
      <w:r w:rsidR="00FF14C6">
        <w:rPr>
          <w:lang w:val="nl-BE"/>
        </w:rPr>
        <w:t>ze productbenchmark</w:t>
      </w:r>
      <w:r w:rsidRPr="007F10C6">
        <w:rPr>
          <w:lang w:val="nl-BE"/>
        </w:rPr>
        <w:t>.</w:t>
      </w:r>
    </w:p>
    <w:p w14:paraId="0B6ACB10" w14:textId="77777777" w:rsidR="00A80729" w:rsidRDefault="00A80729">
      <w:pPr>
        <w:rPr>
          <w:rFonts w:asciiTheme="majorHAnsi" w:eastAsiaTheme="majorEastAsia" w:hAnsiTheme="majorHAnsi" w:cstheme="majorBidi"/>
          <w:color w:val="1F3763" w:themeColor="accent1" w:themeShade="7F"/>
          <w:sz w:val="24"/>
          <w:szCs w:val="24"/>
          <w:lang w:val="nl-BE"/>
        </w:rPr>
      </w:pPr>
      <w:r>
        <w:rPr>
          <w:lang w:val="nl-BE"/>
        </w:rPr>
        <w:br w:type="page"/>
      </w:r>
    </w:p>
    <w:p w14:paraId="28AC096B" w14:textId="42106E78" w:rsidR="003246BC" w:rsidRDefault="003246BC" w:rsidP="003246BC">
      <w:pPr>
        <w:pStyle w:val="Kop3"/>
        <w:numPr>
          <w:ilvl w:val="2"/>
          <w:numId w:val="35"/>
        </w:numPr>
        <w:rPr>
          <w:lang w:val="nl-BE"/>
        </w:rPr>
      </w:pPr>
      <w:bookmarkStart w:id="24" w:name="_Toc160465608"/>
      <w:r>
        <w:rPr>
          <w:lang w:val="nl-BE"/>
        </w:rPr>
        <w:lastRenderedPageBreak/>
        <w:t>Vloeibaar ruwijzer</w:t>
      </w:r>
      <w:bookmarkEnd w:id="24"/>
    </w:p>
    <w:p w14:paraId="6FDFD954" w14:textId="65C190C1" w:rsidR="00672823" w:rsidRDefault="005A6B2D" w:rsidP="00672823">
      <w:pPr>
        <w:rPr>
          <w:lang w:val="nl-BE"/>
        </w:rPr>
      </w:pPr>
      <w:r w:rsidRPr="005A6B2D">
        <w:rPr>
          <w:lang w:val="nl-BE"/>
        </w:rPr>
        <w:t xml:space="preserve">De benchmarkdefinitie en systeemgrenzen </w:t>
      </w:r>
      <w:r>
        <w:rPr>
          <w:lang w:val="nl-BE"/>
        </w:rPr>
        <w:t>werden</w:t>
      </w:r>
      <w:r w:rsidRPr="005A6B2D">
        <w:rPr>
          <w:lang w:val="nl-BE"/>
        </w:rPr>
        <w:t xml:space="preserve"> verbreed naar </w:t>
      </w:r>
      <w:r w:rsidR="009A2E53">
        <w:rPr>
          <w:lang w:val="nl-BE"/>
        </w:rPr>
        <w:t>ijzer geproduceerd uit ijzererts (</w:t>
      </w:r>
      <w:r w:rsidRPr="005A6B2D">
        <w:rPr>
          <w:lang w:val="nl-BE"/>
        </w:rPr>
        <w:t xml:space="preserve">Direct </w:t>
      </w:r>
      <w:proofErr w:type="spellStart"/>
      <w:r w:rsidRPr="005A6B2D">
        <w:rPr>
          <w:lang w:val="nl-BE"/>
        </w:rPr>
        <w:t>reduced</w:t>
      </w:r>
      <w:proofErr w:type="spellEnd"/>
      <w:r w:rsidRPr="005A6B2D">
        <w:rPr>
          <w:lang w:val="nl-BE"/>
        </w:rPr>
        <w:t xml:space="preserve"> iron (DRI)</w:t>
      </w:r>
      <w:r w:rsidR="009A2E53">
        <w:rPr>
          <w:lang w:val="nl-BE"/>
        </w:rPr>
        <w:t>).</w:t>
      </w:r>
    </w:p>
    <w:p w14:paraId="062B3BDD" w14:textId="588C8FF9" w:rsidR="009A2E53" w:rsidRDefault="009A2E53" w:rsidP="00672823">
      <w:pPr>
        <w:rPr>
          <w:lang w:val="nl-BE"/>
        </w:rPr>
      </w:pPr>
      <w:r>
        <w:rPr>
          <w:lang w:val="nl-BE"/>
        </w:rPr>
        <w:t>De nieuwe benchmarkdefinitie is de volgende:</w:t>
      </w:r>
    </w:p>
    <w:tbl>
      <w:tblPr>
        <w:tblStyle w:val="Tabelraster"/>
        <w:tblW w:w="0" w:type="auto"/>
        <w:tblLook w:val="04A0" w:firstRow="1" w:lastRow="0" w:firstColumn="1" w:lastColumn="0" w:noHBand="0" w:noVBand="1"/>
      </w:tblPr>
      <w:tblGrid>
        <w:gridCol w:w="9016"/>
      </w:tblGrid>
      <w:tr w:rsidR="009A2E53" w14:paraId="767739F6" w14:textId="77777777" w:rsidTr="009A2E53">
        <w:tc>
          <w:tcPr>
            <w:tcW w:w="9016" w:type="dxa"/>
          </w:tcPr>
          <w:p w14:paraId="4A06805D" w14:textId="0CFAE9D1" w:rsidR="009A2E53" w:rsidRPr="001E069C" w:rsidRDefault="009A2E53" w:rsidP="00672823">
            <w:pPr>
              <w:rPr>
                <w:i/>
                <w:iCs/>
                <w:lang w:val="nl-BE"/>
              </w:rPr>
            </w:pPr>
            <w:r w:rsidRPr="001E069C">
              <w:rPr>
                <w:i/>
                <w:iCs/>
                <w:lang w:val="nl-BE"/>
              </w:rPr>
              <w:t>IJzer geproduceerd uit ijzererts voor primaire staalproductie, met inbegrip van a) met koolstof verzadigd vloeibaar ijzer voor verdere verwerking, beschouwd als product uit hoogovens, uitgedrukt in ton vloeibaar ijzer bij het tapgat van de hoogoven, met uitzondering van vloeibaar ijzer geproduceerd uit sponsijzer onder b), b) sponsijzer bij de afvoer van een reactor voor direct-gereduceerd ijzer, en uitgedrukt in ton sponsijzer bij de afvoer van een reactor voor direct-gereduceerd ijzer. Soortgelijke producten, zoals ijzerlegeringen, vallen niet onder deze productbenchmark. Restmateriaal en bijproducten mogen niet als deel van het product worden beschouwd.</w:t>
            </w:r>
          </w:p>
        </w:tc>
      </w:tr>
    </w:tbl>
    <w:p w14:paraId="69F59B33" w14:textId="77777777" w:rsidR="009A2E53" w:rsidRDefault="009A2E53" w:rsidP="00672823">
      <w:pPr>
        <w:rPr>
          <w:lang w:val="nl-BE"/>
        </w:rPr>
      </w:pPr>
    </w:p>
    <w:p w14:paraId="4FDA0FA1" w14:textId="497FB39D" w:rsidR="0061508F" w:rsidRDefault="0061508F" w:rsidP="00672823">
      <w:pPr>
        <w:rPr>
          <w:lang w:val="nl-BE"/>
        </w:rPr>
      </w:pPr>
      <w:r>
        <w:rPr>
          <w:lang w:val="nl-BE"/>
        </w:rPr>
        <w:t>De nieuwe systeemgrenzen zijn de volgende:</w:t>
      </w:r>
    </w:p>
    <w:tbl>
      <w:tblPr>
        <w:tblStyle w:val="Tabelraster"/>
        <w:tblW w:w="0" w:type="auto"/>
        <w:tblLook w:val="04A0" w:firstRow="1" w:lastRow="0" w:firstColumn="1" w:lastColumn="0" w:noHBand="0" w:noVBand="1"/>
      </w:tblPr>
      <w:tblGrid>
        <w:gridCol w:w="9016"/>
      </w:tblGrid>
      <w:tr w:rsidR="0061508F" w14:paraId="72C60076" w14:textId="77777777" w:rsidTr="0061508F">
        <w:tc>
          <w:tcPr>
            <w:tcW w:w="9016" w:type="dxa"/>
          </w:tcPr>
          <w:p w14:paraId="200ECC72" w14:textId="70209428" w:rsidR="0061508F" w:rsidRPr="001E069C" w:rsidRDefault="0061508F" w:rsidP="00672823">
            <w:pPr>
              <w:rPr>
                <w:i/>
                <w:iCs/>
              </w:rPr>
            </w:pPr>
            <w:r w:rsidRPr="001E069C">
              <w:rPr>
                <w:i/>
                <w:iCs/>
              </w:rPr>
              <w:t xml:space="preserve">Alle processen die direct of indirect verband houden met de hoogoven, behandelingseenheden voor vloeibaar ruwijzer, ventilatoren van de hoogoven, </w:t>
            </w:r>
            <w:proofErr w:type="spellStart"/>
            <w:r w:rsidRPr="001E069C">
              <w:rPr>
                <w:i/>
                <w:iCs/>
              </w:rPr>
              <w:t>windverhitters</w:t>
            </w:r>
            <w:proofErr w:type="spellEnd"/>
            <w:r w:rsidRPr="001E069C">
              <w:rPr>
                <w:i/>
                <w:iCs/>
              </w:rPr>
              <w:t xml:space="preserve">, reactor voor direct-gereduceerd ijzer, vlamboogoven en elektrische smeltoven voor sponsijzer, </w:t>
            </w:r>
            <w:proofErr w:type="spellStart"/>
            <w:r w:rsidRPr="001E069C">
              <w:rPr>
                <w:i/>
                <w:iCs/>
              </w:rPr>
              <w:t>oxystaaloven</w:t>
            </w:r>
            <w:proofErr w:type="spellEnd"/>
            <w:r w:rsidRPr="001E069C">
              <w:rPr>
                <w:i/>
                <w:iCs/>
              </w:rPr>
              <w:t xml:space="preserve">, secundaire metallurgische installaties, vacuümovens, walsmachine (inclusief snijden), slakkenbehandelingsinstallatie, voorbereiding van de lading, gasbehandelingseenheden van de hoogoven, </w:t>
            </w:r>
            <w:proofErr w:type="spellStart"/>
            <w:r w:rsidRPr="001E069C">
              <w:rPr>
                <w:i/>
                <w:iCs/>
              </w:rPr>
              <w:t>ontstoffingsinstallaties</w:t>
            </w:r>
            <w:proofErr w:type="spellEnd"/>
            <w:r w:rsidRPr="001E069C">
              <w:rPr>
                <w:i/>
                <w:iCs/>
              </w:rPr>
              <w:t xml:space="preserve">, voorverwarming van schroot, droging van kool voor koolpoederinjectie (PCI), voorverwarmingsinstallaties voor vaten, voorverwarmingsinstallaties voor gietblokken, persluchtproductie, stofbehandelingseenheid (briketteren), slibverwerkingseenheid (briketteren), stoominjectie in de hoogoven, stoomgenerator, gaskoeling door de convertor van de </w:t>
            </w:r>
            <w:proofErr w:type="spellStart"/>
            <w:r w:rsidRPr="001E069C">
              <w:rPr>
                <w:i/>
                <w:iCs/>
              </w:rPr>
              <w:t>oxystaaloven</w:t>
            </w:r>
            <w:proofErr w:type="spellEnd"/>
            <w:r w:rsidRPr="001E069C">
              <w:rPr>
                <w:i/>
                <w:iCs/>
              </w:rPr>
              <w:t xml:space="preserve"> en diversen van de proceseenheden, zijn inbegrepen.</w:t>
            </w:r>
          </w:p>
        </w:tc>
      </w:tr>
    </w:tbl>
    <w:p w14:paraId="2B8D92AE" w14:textId="77777777" w:rsidR="0061508F" w:rsidRDefault="0061508F" w:rsidP="00672823">
      <w:pPr>
        <w:rPr>
          <w:lang w:val="nl-BE"/>
        </w:rPr>
      </w:pPr>
    </w:p>
    <w:p w14:paraId="309ED355" w14:textId="524C7038" w:rsidR="00FF14C6" w:rsidRPr="00672823" w:rsidRDefault="00FF14C6" w:rsidP="001E069C">
      <w:pPr>
        <w:rPr>
          <w:lang w:val="nl-BE"/>
        </w:rPr>
      </w:pPr>
      <w:r w:rsidRPr="007F10C6">
        <w:rPr>
          <w:lang w:val="nl-BE"/>
        </w:rPr>
        <w:t>Het Europese toelichtingsdocument “</w:t>
      </w:r>
      <w:proofErr w:type="spellStart"/>
      <w:r w:rsidRPr="007F10C6">
        <w:rPr>
          <w:lang w:val="nl-BE"/>
        </w:rPr>
        <w:t>Guidance</w:t>
      </w:r>
      <w:proofErr w:type="spellEnd"/>
      <w:r>
        <w:rPr>
          <w:lang w:val="nl-BE"/>
        </w:rPr>
        <w:t xml:space="preserve"> Document n°9</w:t>
      </w:r>
      <w:r w:rsidRPr="007F10C6">
        <w:rPr>
          <w:lang w:val="nl-BE"/>
        </w:rPr>
        <w:t xml:space="preserve"> </w:t>
      </w:r>
      <w:r>
        <w:rPr>
          <w:lang w:val="nl-BE"/>
        </w:rPr>
        <w:t>Sector-</w:t>
      </w:r>
      <w:proofErr w:type="spellStart"/>
      <w:r>
        <w:rPr>
          <w:lang w:val="nl-BE"/>
        </w:rPr>
        <w:t>specific</w:t>
      </w:r>
      <w:proofErr w:type="spellEnd"/>
      <w:r>
        <w:rPr>
          <w:lang w:val="nl-BE"/>
        </w:rPr>
        <w:t xml:space="preserve"> </w:t>
      </w:r>
      <w:proofErr w:type="spellStart"/>
      <w:r>
        <w:rPr>
          <w:lang w:val="nl-BE"/>
        </w:rPr>
        <w:t>guidance</w:t>
      </w:r>
      <w:proofErr w:type="spellEnd"/>
      <w:r w:rsidRPr="007F10C6">
        <w:rPr>
          <w:lang w:val="nl-BE"/>
        </w:rPr>
        <w:t xml:space="preserve">” gaat in groter detail in op de </w:t>
      </w:r>
      <w:r>
        <w:rPr>
          <w:lang w:val="nl-BE"/>
        </w:rPr>
        <w:t>wijziging van deze productbenchmark</w:t>
      </w:r>
      <w:r w:rsidR="004A638A">
        <w:rPr>
          <w:rStyle w:val="Voetnootmarkering"/>
          <w:lang w:val="nl-BE"/>
        </w:rPr>
        <w:footnoteReference w:id="6"/>
      </w:r>
      <w:r w:rsidRPr="007F10C6">
        <w:rPr>
          <w:lang w:val="nl-BE"/>
        </w:rPr>
        <w:t>.</w:t>
      </w:r>
    </w:p>
    <w:p w14:paraId="1FA9922C" w14:textId="725853B3" w:rsidR="00587BE3" w:rsidRDefault="00587BE3" w:rsidP="003246BC">
      <w:pPr>
        <w:pStyle w:val="Kop3"/>
        <w:numPr>
          <w:ilvl w:val="2"/>
          <w:numId w:val="35"/>
        </w:numPr>
        <w:rPr>
          <w:lang w:val="nl-BE"/>
        </w:rPr>
      </w:pPr>
      <w:bookmarkStart w:id="25" w:name="_Toc160465609"/>
      <w:proofErr w:type="spellStart"/>
      <w:r>
        <w:rPr>
          <w:lang w:val="nl-BE"/>
        </w:rPr>
        <w:t>Ongelegeerd</w:t>
      </w:r>
      <w:proofErr w:type="spellEnd"/>
      <w:r>
        <w:rPr>
          <w:lang w:val="nl-BE"/>
        </w:rPr>
        <w:t>/</w:t>
      </w:r>
      <w:proofErr w:type="spellStart"/>
      <w:r>
        <w:rPr>
          <w:lang w:val="nl-BE"/>
        </w:rPr>
        <w:t>hooggelegeerd</w:t>
      </w:r>
      <w:proofErr w:type="spellEnd"/>
      <w:r>
        <w:rPr>
          <w:lang w:val="nl-BE"/>
        </w:rPr>
        <w:t xml:space="preserve"> staal uit vlamboogovens</w:t>
      </w:r>
      <w:bookmarkEnd w:id="25"/>
    </w:p>
    <w:p w14:paraId="79F65352" w14:textId="1765BCC6" w:rsidR="00571C79" w:rsidRDefault="00571C79" w:rsidP="00571C79">
      <w:pPr>
        <w:rPr>
          <w:lang w:val="nl-BE"/>
        </w:rPr>
      </w:pPr>
      <w:r>
        <w:rPr>
          <w:lang w:val="nl-BE"/>
        </w:rPr>
        <w:t xml:space="preserve">De </w:t>
      </w:r>
      <w:proofErr w:type="spellStart"/>
      <w:r>
        <w:rPr>
          <w:lang w:val="nl-BE"/>
        </w:rPr>
        <w:t>benchmarkdefintie</w:t>
      </w:r>
      <w:proofErr w:type="spellEnd"/>
      <w:r>
        <w:rPr>
          <w:lang w:val="nl-BE"/>
        </w:rPr>
        <w:t xml:space="preserve"> van deze productbenchmarks werd aangepast om te verduidelijken dat s</w:t>
      </w:r>
      <w:r w:rsidRPr="00571C79">
        <w:rPr>
          <w:lang w:val="nl-BE"/>
        </w:rPr>
        <w:t>taal geproduceerd uit sponsijzer</w:t>
      </w:r>
      <w:r w:rsidR="00FB2D86">
        <w:rPr>
          <w:lang w:val="nl-BE"/>
        </w:rPr>
        <w:t xml:space="preserve"> (</w:t>
      </w:r>
      <w:r w:rsidR="004B1034">
        <w:rPr>
          <w:lang w:val="nl-BE"/>
        </w:rPr>
        <w:t>“</w:t>
      </w:r>
      <w:proofErr w:type="spellStart"/>
      <w:r w:rsidR="00FB2D86">
        <w:rPr>
          <w:lang w:val="nl-BE"/>
        </w:rPr>
        <w:t>sponge</w:t>
      </w:r>
      <w:proofErr w:type="spellEnd"/>
      <w:r w:rsidR="00FB2D86">
        <w:rPr>
          <w:lang w:val="nl-BE"/>
        </w:rPr>
        <w:t xml:space="preserve"> iron</w:t>
      </w:r>
      <w:r w:rsidR="004B1034">
        <w:rPr>
          <w:lang w:val="nl-BE"/>
        </w:rPr>
        <w:t>” (DRI</w:t>
      </w:r>
      <w:r w:rsidR="00FB2D86">
        <w:rPr>
          <w:lang w:val="nl-BE"/>
        </w:rPr>
        <w:t>)</w:t>
      </w:r>
      <w:r w:rsidR="004B1034">
        <w:rPr>
          <w:lang w:val="nl-BE"/>
        </w:rPr>
        <w:t>)</w:t>
      </w:r>
      <w:r w:rsidR="00FB2D86">
        <w:rPr>
          <w:lang w:val="nl-BE"/>
        </w:rPr>
        <w:t>,</w:t>
      </w:r>
      <w:r w:rsidRPr="00571C79">
        <w:rPr>
          <w:lang w:val="nl-BE"/>
        </w:rPr>
        <w:t xml:space="preserve"> dat reeds onder de benchmark voor vloeibaar ruwijzer valt, niet onder deze benchmark</w:t>
      </w:r>
      <w:r w:rsidR="004B1034">
        <w:rPr>
          <w:lang w:val="nl-BE"/>
        </w:rPr>
        <w:t xml:space="preserve"> valt</w:t>
      </w:r>
      <w:r w:rsidRPr="00571C79">
        <w:rPr>
          <w:lang w:val="nl-BE"/>
        </w:rPr>
        <w:t>.</w:t>
      </w:r>
    </w:p>
    <w:p w14:paraId="6D3EF634" w14:textId="110333E0" w:rsidR="004B1034" w:rsidRPr="00571C79" w:rsidRDefault="004B1034" w:rsidP="001E069C">
      <w:pPr>
        <w:rPr>
          <w:lang w:val="nl-BE"/>
        </w:rPr>
      </w:pPr>
      <w:r w:rsidRPr="007F10C6">
        <w:rPr>
          <w:lang w:val="nl-BE"/>
        </w:rPr>
        <w:t>Het Europese toelichtingsdocument “</w:t>
      </w:r>
      <w:proofErr w:type="spellStart"/>
      <w:r w:rsidRPr="007F10C6">
        <w:rPr>
          <w:lang w:val="nl-BE"/>
        </w:rPr>
        <w:t>Guidance</w:t>
      </w:r>
      <w:proofErr w:type="spellEnd"/>
      <w:r>
        <w:rPr>
          <w:lang w:val="nl-BE"/>
        </w:rPr>
        <w:t xml:space="preserve"> Document n°9</w:t>
      </w:r>
      <w:r w:rsidRPr="007F10C6">
        <w:rPr>
          <w:lang w:val="nl-BE"/>
        </w:rPr>
        <w:t xml:space="preserve"> </w:t>
      </w:r>
      <w:r>
        <w:rPr>
          <w:lang w:val="nl-BE"/>
        </w:rPr>
        <w:t>Sector-</w:t>
      </w:r>
      <w:proofErr w:type="spellStart"/>
      <w:r>
        <w:rPr>
          <w:lang w:val="nl-BE"/>
        </w:rPr>
        <w:t>specific</w:t>
      </w:r>
      <w:proofErr w:type="spellEnd"/>
      <w:r>
        <w:rPr>
          <w:lang w:val="nl-BE"/>
        </w:rPr>
        <w:t xml:space="preserve"> </w:t>
      </w:r>
      <w:proofErr w:type="spellStart"/>
      <w:r>
        <w:rPr>
          <w:lang w:val="nl-BE"/>
        </w:rPr>
        <w:t>guidance</w:t>
      </w:r>
      <w:proofErr w:type="spellEnd"/>
      <w:r w:rsidRPr="007F10C6">
        <w:rPr>
          <w:lang w:val="nl-BE"/>
        </w:rPr>
        <w:t xml:space="preserve">” gaat in groter detail in op de </w:t>
      </w:r>
      <w:r>
        <w:rPr>
          <w:lang w:val="nl-BE"/>
        </w:rPr>
        <w:t>wijziging van deze productbenchmark</w:t>
      </w:r>
      <w:r w:rsidRPr="007F10C6">
        <w:rPr>
          <w:lang w:val="nl-BE"/>
        </w:rPr>
        <w:t>.</w:t>
      </w:r>
    </w:p>
    <w:p w14:paraId="06016C2B" w14:textId="2A40919E" w:rsidR="00054F0D" w:rsidRPr="001E069C" w:rsidRDefault="00587BE3" w:rsidP="001E069C">
      <w:pPr>
        <w:pStyle w:val="Kop3"/>
        <w:numPr>
          <w:ilvl w:val="2"/>
          <w:numId w:val="35"/>
        </w:numPr>
        <w:rPr>
          <w:lang w:val="nl-BE"/>
        </w:rPr>
      </w:pPr>
      <w:bookmarkStart w:id="26" w:name="_Toc160465610"/>
      <w:r>
        <w:rPr>
          <w:lang w:val="nl-BE"/>
        </w:rPr>
        <w:t>Ammoniak</w:t>
      </w:r>
      <w:bookmarkEnd w:id="26"/>
    </w:p>
    <w:p w14:paraId="53D86099" w14:textId="61D12BD5" w:rsidR="00054F0D" w:rsidRDefault="00B870F1" w:rsidP="00054F0D">
      <w:pPr>
        <w:rPr>
          <w:lang w:val="nl-BE"/>
        </w:rPr>
      </w:pPr>
      <w:r>
        <w:rPr>
          <w:lang w:val="nl-BE"/>
        </w:rPr>
        <w:t>Volgende zin werd toegevoegd aan de benchmarkdefinitie voor Ammoniak:</w:t>
      </w:r>
    </w:p>
    <w:tbl>
      <w:tblPr>
        <w:tblStyle w:val="Tabelraster"/>
        <w:tblW w:w="0" w:type="auto"/>
        <w:tblLook w:val="04A0" w:firstRow="1" w:lastRow="0" w:firstColumn="1" w:lastColumn="0" w:noHBand="0" w:noVBand="1"/>
      </w:tblPr>
      <w:tblGrid>
        <w:gridCol w:w="9016"/>
      </w:tblGrid>
      <w:tr w:rsidR="00B870F1" w14:paraId="2A427599" w14:textId="77777777" w:rsidTr="00B870F1">
        <w:tc>
          <w:tcPr>
            <w:tcW w:w="9016" w:type="dxa"/>
          </w:tcPr>
          <w:p w14:paraId="3512B8A6" w14:textId="5232EF1C" w:rsidR="00B870F1" w:rsidRPr="001E069C" w:rsidRDefault="00B870F1" w:rsidP="00054F0D">
            <w:pPr>
              <w:rPr>
                <w:i/>
                <w:iCs/>
                <w:lang w:val="nl-BE"/>
              </w:rPr>
            </w:pPr>
            <w:r w:rsidRPr="001E069C">
              <w:rPr>
                <w:i/>
                <w:iCs/>
                <w:lang w:val="nl-BE"/>
              </w:rPr>
              <w:t xml:space="preserve">Ammoniak die wordt geproduceerd uit waterstof die wordt geproduceerd door elektrolyse van chlooralkali of door de productie van </w:t>
            </w:r>
            <w:proofErr w:type="spellStart"/>
            <w:r w:rsidRPr="001E069C">
              <w:rPr>
                <w:i/>
                <w:iCs/>
                <w:lang w:val="nl-BE"/>
              </w:rPr>
              <w:t>chloraat</w:t>
            </w:r>
            <w:proofErr w:type="spellEnd"/>
            <w:r w:rsidRPr="001E069C">
              <w:rPr>
                <w:i/>
                <w:iCs/>
                <w:lang w:val="nl-BE"/>
              </w:rPr>
              <w:t>, valt niet onder deze benchmark.</w:t>
            </w:r>
          </w:p>
        </w:tc>
      </w:tr>
    </w:tbl>
    <w:p w14:paraId="283284AD" w14:textId="77777777" w:rsidR="00030A00" w:rsidRPr="001E069C" w:rsidRDefault="00030A00" w:rsidP="00054F0D">
      <w:pPr>
        <w:rPr>
          <w:b/>
          <w:bCs/>
          <w:lang w:val="nl-BE"/>
        </w:rPr>
      </w:pPr>
    </w:p>
    <w:p w14:paraId="3BD64F9F" w14:textId="797B1D34" w:rsidR="00030A00" w:rsidRPr="001E069C" w:rsidRDefault="006911AB" w:rsidP="00054F0D">
      <w:pPr>
        <w:rPr>
          <w:lang w:val="nl-BE"/>
        </w:rPr>
      </w:pPr>
      <w:r>
        <w:rPr>
          <w:b/>
          <w:bCs/>
          <w:lang w:val="nl-BE"/>
        </w:rPr>
        <w:lastRenderedPageBreak/>
        <w:t>Let op:</w:t>
      </w:r>
      <w:r w:rsidR="00030A00">
        <w:rPr>
          <w:b/>
          <w:bCs/>
          <w:lang w:val="nl-BE"/>
        </w:rPr>
        <w:t xml:space="preserve"> </w:t>
      </w:r>
      <w:r w:rsidR="00D5314A">
        <w:rPr>
          <w:lang w:val="nl-BE"/>
        </w:rPr>
        <w:t xml:space="preserve">waterstof geproduceerd door chlooralkali-elektrolyse </w:t>
      </w:r>
      <w:r w:rsidR="009B3C7A">
        <w:rPr>
          <w:lang w:val="nl-BE"/>
        </w:rPr>
        <w:t xml:space="preserve">of voor de productie van </w:t>
      </w:r>
      <w:proofErr w:type="spellStart"/>
      <w:r w:rsidR="009B3C7A">
        <w:rPr>
          <w:lang w:val="nl-BE"/>
        </w:rPr>
        <w:t>chloraat</w:t>
      </w:r>
      <w:proofErr w:type="spellEnd"/>
      <w:r w:rsidR="009B3C7A">
        <w:rPr>
          <w:lang w:val="nl-BE"/>
        </w:rPr>
        <w:t xml:space="preserve"> valt ook niet onder de waterstofbenchmark, zie verder.</w:t>
      </w:r>
    </w:p>
    <w:p w14:paraId="4C5CB0DD" w14:textId="7418A89B" w:rsidR="00030A00" w:rsidRDefault="00030A00" w:rsidP="00030A00">
      <w:pPr>
        <w:rPr>
          <w:lang w:val="nl-BE"/>
        </w:rPr>
      </w:pPr>
      <w:r w:rsidRPr="007F10C6">
        <w:rPr>
          <w:lang w:val="nl-BE"/>
        </w:rPr>
        <w:t>Het Europese toelichtingsdocument “</w:t>
      </w:r>
      <w:proofErr w:type="spellStart"/>
      <w:r w:rsidRPr="007F10C6">
        <w:rPr>
          <w:lang w:val="nl-BE"/>
        </w:rPr>
        <w:t>Guidance</w:t>
      </w:r>
      <w:proofErr w:type="spellEnd"/>
      <w:r>
        <w:rPr>
          <w:lang w:val="nl-BE"/>
        </w:rPr>
        <w:t xml:space="preserve"> Document n°9</w:t>
      </w:r>
      <w:r w:rsidRPr="007F10C6">
        <w:rPr>
          <w:lang w:val="nl-BE"/>
        </w:rPr>
        <w:t xml:space="preserve"> </w:t>
      </w:r>
      <w:r>
        <w:rPr>
          <w:lang w:val="nl-BE"/>
        </w:rPr>
        <w:t>Sector-</w:t>
      </w:r>
      <w:proofErr w:type="spellStart"/>
      <w:r>
        <w:rPr>
          <w:lang w:val="nl-BE"/>
        </w:rPr>
        <w:t>specific</w:t>
      </w:r>
      <w:proofErr w:type="spellEnd"/>
      <w:r>
        <w:rPr>
          <w:lang w:val="nl-BE"/>
        </w:rPr>
        <w:t xml:space="preserve"> </w:t>
      </w:r>
      <w:proofErr w:type="spellStart"/>
      <w:r>
        <w:rPr>
          <w:lang w:val="nl-BE"/>
        </w:rPr>
        <w:t>guidance</w:t>
      </w:r>
      <w:proofErr w:type="spellEnd"/>
      <w:r w:rsidRPr="007F10C6">
        <w:rPr>
          <w:lang w:val="nl-BE"/>
        </w:rPr>
        <w:t xml:space="preserve">” gaat in groter detail in op de </w:t>
      </w:r>
      <w:r>
        <w:rPr>
          <w:lang w:val="nl-BE"/>
        </w:rPr>
        <w:t>wijziging van deze productbenchmark</w:t>
      </w:r>
      <w:r w:rsidR="00383079">
        <w:rPr>
          <w:rStyle w:val="Voetnootmarkering"/>
          <w:lang w:val="nl-BE"/>
        </w:rPr>
        <w:footnoteReference w:id="7"/>
      </w:r>
      <w:r w:rsidRPr="007F10C6">
        <w:rPr>
          <w:lang w:val="nl-BE"/>
        </w:rPr>
        <w:t>.</w:t>
      </w:r>
    </w:p>
    <w:p w14:paraId="00802664" w14:textId="68FC8DBC" w:rsidR="006911AB" w:rsidRPr="00E251EC" w:rsidRDefault="006911AB" w:rsidP="001E069C">
      <w:pPr>
        <w:rPr>
          <w:lang w:val="nl-BE"/>
        </w:rPr>
      </w:pPr>
      <w:r>
        <w:rPr>
          <w:b/>
          <w:bCs/>
          <w:lang w:val="nl-BE"/>
        </w:rPr>
        <w:t xml:space="preserve"> </w:t>
      </w:r>
    </w:p>
    <w:p w14:paraId="7037DC88" w14:textId="03DE6626" w:rsidR="003246BC" w:rsidRPr="003246BC" w:rsidRDefault="00587BE3" w:rsidP="001E069C">
      <w:pPr>
        <w:pStyle w:val="Kop3"/>
        <w:numPr>
          <w:ilvl w:val="2"/>
          <w:numId w:val="35"/>
        </w:numPr>
        <w:rPr>
          <w:lang w:val="nl-BE"/>
        </w:rPr>
      </w:pPr>
      <w:bookmarkStart w:id="27" w:name="_Toc160465611"/>
      <w:r>
        <w:rPr>
          <w:lang w:val="nl-BE"/>
        </w:rPr>
        <w:t xml:space="preserve">Waterstof en </w:t>
      </w:r>
      <w:proofErr w:type="spellStart"/>
      <w:r>
        <w:rPr>
          <w:lang w:val="nl-BE"/>
        </w:rPr>
        <w:t>syngas</w:t>
      </w:r>
      <w:bookmarkEnd w:id="27"/>
      <w:proofErr w:type="spellEnd"/>
    </w:p>
    <w:p w14:paraId="2255C101" w14:textId="491B4BD8" w:rsidR="003F308E" w:rsidRDefault="007F18B1" w:rsidP="007F18B1">
      <w:pPr>
        <w:rPr>
          <w:lang w:val="nl-BE"/>
        </w:rPr>
      </w:pPr>
      <w:r>
        <w:rPr>
          <w:lang w:val="nl-BE"/>
        </w:rPr>
        <w:t xml:space="preserve">De waterstof- en </w:t>
      </w:r>
      <w:proofErr w:type="spellStart"/>
      <w:r>
        <w:rPr>
          <w:lang w:val="nl-BE"/>
        </w:rPr>
        <w:t>syngasbenchmark</w:t>
      </w:r>
      <w:proofErr w:type="spellEnd"/>
      <w:r>
        <w:rPr>
          <w:lang w:val="nl-BE"/>
        </w:rPr>
        <w:t xml:space="preserve"> werden herzien in de FAR.</w:t>
      </w:r>
    </w:p>
    <w:p w14:paraId="31307AF7" w14:textId="68D6C106" w:rsidR="007F18B1" w:rsidRDefault="007F18B1" w:rsidP="007F18B1">
      <w:pPr>
        <w:rPr>
          <w:lang w:val="nl-BE"/>
        </w:rPr>
      </w:pPr>
      <w:r>
        <w:rPr>
          <w:lang w:val="nl-BE"/>
        </w:rPr>
        <w:t>Deze v</w:t>
      </w:r>
      <w:r w:rsidRPr="007F18B1">
        <w:rPr>
          <w:lang w:val="nl-BE"/>
        </w:rPr>
        <w:t>erwijz</w:t>
      </w:r>
      <w:r>
        <w:rPr>
          <w:lang w:val="nl-BE"/>
        </w:rPr>
        <w:t>en nu</w:t>
      </w:r>
      <w:r w:rsidRPr="007F18B1">
        <w:rPr>
          <w:lang w:val="nl-BE"/>
        </w:rPr>
        <w:t xml:space="preserve"> naar “</w:t>
      </w:r>
      <w:proofErr w:type="spellStart"/>
      <w:r w:rsidRPr="007F18B1">
        <w:rPr>
          <w:lang w:val="nl-BE"/>
        </w:rPr>
        <w:t>inputs</w:t>
      </w:r>
      <w:proofErr w:type="spellEnd"/>
      <w:r w:rsidRPr="007F18B1">
        <w:rPr>
          <w:lang w:val="nl-BE"/>
        </w:rPr>
        <w:t>” (“</w:t>
      </w:r>
      <w:proofErr w:type="spellStart"/>
      <w:r w:rsidRPr="007F18B1">
        <w:rPr>
          <w:lang w:val="nl-BE"/>
        </w:rPr>
        <w:t>feedstock</w:t>
      </w:r>
      <w:proofErr w:type="spellEnd"/>
      <w:r w:rsidRPr="007F18B1">
        <w:rPr>
          <w:lang w:val="nl-BE"/>
        </w:rPr>
        <w:t>”) in plaats van “</w:t>
      </w:r>
      <w:proofErr w:type="spellStart"/>
      <w:r w:rsidRPr="007F18B1">
        <w:rPr>
          <w:lang w:val="nl-BE"/>
        </w:rPr>
        <w:t>koolwaterstofinputs</w:t>
      </w:r>
      <w:proofErr w:type="spellEnd"/>
      <w:r w:rsidRPr="007F18B1">
        <w:rPr>
          <w:lang w:val="nl-BE"/>
        </w:rPr>
        <w:t>” (“</w:t>
      </w:r>
      <w:proofErr w:type="spellStart"/>
      <w:r w:rsidRPr="007F18B1">
        <w:rPr>
          <w:lang w:val="nl-BE"/>
        </w:rPr>
        <w:t>hydrocarbon</w:t>
      </w:r>
      <w:proofErr w:type="spellEnd"/>
      <w:r w:rsidRPr="007F18B1">
        <w:rPr>
          <w:lang w:val="nl-BE"/>
        </w:rPr>
        <w:t xml:space="preserve"> </w:t>
      </w:r>
      <w:proofErr w:type="spellStart"/>
      <w:r w:rsidRPr="007F18B1">
        <w:rPr>
          <w:lang w:val="nl-BE"/>
        </w:rPr>
        <w:t>feedstock</w:t>
      </w:r>
      <w:proofErr w:type="spellEnd"/>
      <w:r w:rsidRPr="007F18B1">
        <w:rPr>
          <w:lang w:val="nl-BE"/>
        </w:rPr>
        <w:t xml:space="preserve">”) zodanig dat de benchmark niet meer verwijst naar een specifiek proces. Op deze manier vallen andere </w:t>
      </w:r>
      <w:proofErr w:type="spellStart"/>
      <w:r w:rsidRPr="007F18B1">
        <w:rPr>
          <w:lang w:val="nl-BE"/>
        </w:rPr>
        <w:t>inputs</w:t>
      </w:r>
      <w:proofErr w:type="spellEnd"/>
      <w:r w:rsidRPr="007F18B1">
        <w:rPr>
          <w:lang w:val="nl-BE"/>
        </w:rPr>
        <w:t xml:space="preserve"> zoals water (voor water elektrolyse) of biomassa (voor </w:t>
      </w:r>
      <w:proofErr w:type="spellStart"/>
      <w:r w:rsidRPr="007F18B1">
        <w:rPr>
          <w:lang w:val="nl-BE"/>
        </w:rPr>
        <w:t>syngas</w:t>
      </w:r>
      <w:proofErr w:type="spellEnd"/>
      <w:r w:rsidRPr="007F18B1">
        <w:rPr>
          <w:lang w:val="nl-BE"/>
        </w:rPr>
        <w:t xml:space="preserve"> geproduceerd van biomassa) ook onder de benchmarkdefinitie.</w:t>
      </w:r>
    </w:p>
    <w:p w14:paraId="50304F38" w14:textId="50CC9586" w:rsidR="00A6796B" w:rsidRDefault="00C03DC5" w:rsidP="00C03DC5">
      <w:pPr>
        <w:rPr>
          <w:lang w:val="nl-BE"/>
        </w:rPr>
      </w:pPr>
      <w:r>
        <w:rPr>
          <w:lang w:val="nl-BE"/>
        </w:rPr>
        <w:t xml:space="preserve">Bij de waterstofbenchmarkdefinitie werden </w:t>
      </w:r>
      <w:r w:rsidRPr="00C03DC5">
        <w:rPr>
          <w:lang w:val="nl-BE"/>
        </w:rPr>
        <w:t>een aantal processen</w:t>
      </w:r>
      <w:r w:rsidR="003850EC">
        <w:rPr>
          <w:lang w:val="nl-BE"/>
        </w:rPr>
        <w:t xml:space="preserve"> expliciet uit de benchmark gehaald,</w:t>
      </w:r>
      <w:r w:rsidRPr="00C03DC5">
        <w:rPr>
          <w:lang w:val="nl-BE"/>
        </w:rPr>
        <w:t xml:space="preserve"> waar de waterstofproductie niet het hoofddoel is:</w:t>
      </w:r>
    </w:p>
    <w:p w14:paraId="685BEC16" w14:textId="77777777" w:rsidR="00A6796B" w:rsidRDefault="00C03DC5" w:rsidP="00C03DC5">
      <w:pPr>
        <w:pStyle w:val="Lijstalinea"/>
        <w:numPr>
          <w:ilvl w:val="0"/>
          <w:numId w:val="38"/>
        </w:numPr>
        <w:rPr>
          <w:lang w:val="nl-BE"/>
        </w:rPr>
      </w:pPr>
      <w:r w:rsidRPr="00A6796B">
        <w:rPr>
          <w:lang w:val="nl-BE"/>
        </w:rPr>
        <w:t>Waterstof dat gebruikt wordt voor de productie van ammoniak;</w:t>
      </w:r>
    </w:p>
    <w:p w14:paraId="1CA21A54" w14:textId="297CF28B" w:rsidR="007F18B1" w:rsidRDefault="00C03DC5" w:rsidP="00C03DC5">
      <w:pPr>
        <w:pStyle w:val="Lijstalinea"/>
        <w:numPr>
          <w:ilvl w:val="0"/>
          <w:numId w:val="38"/>
        </w:numPr>
        <w:rPr>
          <w:lang w:val="nl-BE"/>
        </w:rPr>
      </w:pPr>
      <w:r w:rsidRPr="00A6796B">
        <w:rPr>
          <w:lang w:val="nl-BE"/>
        </w:rPr>
        <w:t xml:space="preserve">Waterstof geproduceerd door chlooralkali elektrolyse of bij de productie van </w:t>
      </w:r>
      <w:proofErr w:type="spellStart"/>
      <w:r w:rsidRPr="00A6796B">
        <w:rPr>
          <w:lang w:val="nl-BE"/>
        </w:rPr>
        <w:t>chloraat</w:t>
      </w:r>
      <w:proofErr w:type="spellEnd"/>
      <w:r w:rsidRPr="00A6796B">
        <w:rPr>
          <w:lang w:val="nl-BE"/>
        </w:rPr>
        <w:t>.</w:t>
      </w:r>
    </w:p>
    <w:p w14:paraId="6D9A188E" w14:textId="77777777" w:rsidR="00930070" w:rsidRDefault="00930070" w:rsidP="00930070">
      <w:pPr>
        <w:rPr>
          <w:lang w:val="nl-BE"/>
        </w:rPr>
      </w:pPr>
    </w:p>
    <w:p w14:paraId="3357067D" w14:textId="0CCE49FE" w:rsidR="00930070" w:rsidRDefault="00930070" w:rsidP="00930070">
      <w:pPr>
        <w:rPr>
          <w:lang w:val="nl-BE"/>
        </w:rPr>
      </w:pPr>
      <w:r>
        <w:rPr>
          <w:lang w:val="nl-BE"/>
        </w:rPr>
        <w:t>Volledige benchmarkdefinitie waterstofbenchmark:</w:t>
      </w:r>
    </w:p>
    <w:tbl>
      <w:tblPr>
        <w:tblStyle w:val="Tabelraster"/>
        <w:tblW w:w="0" w:type="auto"/>
        <w:tblLook w:val="04A0" w:firstRow="1" w:lastRow="0" w:firstColumn="1" w:lastColumn="0" w:noHBand="0" w:noVBand="1"/>
      </w:tblPr>
      <w:tblGrid>
        <w:gridCol w:w="9016"/>
      </w:tblGrid>
      <w:tr w:rsidR="00930070" w14:paraId="2B26D58D" w14:textId="77777777" w:rsidTr="00930070">
        <w:tc>
          <w:tcPr>
            <w:tcW w:w="9016" w:type="dxa"/>
          </w:tcPr>
          <w:p w14:paraId="0919706A" w14:textId="52073655" w:rsidR="00930070" w:rsidRDefault="00930070" w:rsidP="00930070">
            <w:pPr>
              <w:rPr>
                <w:i/>
                <w:iCs/>
                <w:lang w:val="nl-BE"/>
              </w:rPr>
            </w:pPr>
            <w:r w:rsidRPr="001E069C">
              <w:rPr>
                <w:i/>
                <w:iCs/>
                <w:lang w:val="nl-BE"/>
              </w:rPr>
              <w:t xml:space="preserve">Zuivere waterstof en mengsels van waterstof en koolmonoxide met een waterstofgehalte van ≥ 60 % volumedeel van de totale massa waterstof en koolmonoxide op basis van de samenvoeging van alle waterstof en koolmonoxide bevattende productstromen die uit de betreffende </w:t>
            </w:r>
            <w:proofErr w:type="spellStart"/>
            <w:r w:rsidR="005E6A36">
              <w:rPr>
                <w:i/>
                <w:iCs/>
                <w:lang w:val="nl-BE"/>
              </w:rPr>
              <w:t>subinstallatie</w:t>
            </w:r>
            <w:proofErr w:type="spellEnd"/>
            <w:r w:rsidRPr="001E069C">
              <w:rPr>
                <w:i/>
                <w:iCs/>
                <w:lang w:val="nl-BE"/>
              </w:rPr>
              <w:t xml:space="preserve"> worden afgevoerd, uitgedrukt als 100 % zuivere waterstof, als verkoopbaar </w:t>
            </w:r>
            <w:proofErr w:type="spellStart"/>
            <w:r w:rsidRPr="001E069C">
              <w:rPr>
                <w:i/>
                <w:iCs/>
                <w:lang w:val="nl-BE"/>
              </w:rPr>
              <w:t>nettoproduct</w:t>
            </w:r>
            <w:proofErr w:type="spellEnd"/>
            <w:r w:rsidRPr="001E069C">
              <w:rPr>
                <w:i/>
                <w:iCs/>
                <w:lang w:val="nl-BE"/>
              </w:rPr>
              <w:t>.</w:t>
            </w:r>
          </w:p>
          <w:p w14:paraId="221FB748" w14:textId="77777777" w:rsidR="00003835" w:rsidRPr="001E069C" w:rsidRDefault="00003835" w:rsidP="00930070">
            <w:pPr>
              <w:rPr>
                <w:i/>
                <w:iCs/>
                <w:lang w:val="nl-BE"/>
              </w:rPr>
            </w:pPr>
          </w:p>
          <w:p w14:paraId="2FFA56EB" w14:textId="77777777" w:rsidR="00930070" w:rsidRPr="001E069C" w:rsidRDefault="00930070" w:rsidP="00930070">
            <w:pPr>
              <w:rPr>
                <w:b/>
                <w:bCs/>
                <w:i/>
                <w:iCs/>
                <w:lang w:val="nl-BE"/>
              </w:rPr>
            </w:pPr>
            <w:r w:rsidRPr="001E069C">
              <w:rPr>
                <w:b/>
                <w:bCs/>
                <w:i/>
                <w:iCs/>
                <w:lang w:val="nl-BE"/>
              </w:rPr>
              <w:t>Waterstof die wordt gebruikt voor de productie van ammoniak valt niet onder deze benchmark, maar onder de ammoniakbenchmark.</w:t>
            </w:r>
          </w:p>
          <w:p w14:paraId="28395105" w14:textId="77777777" w:rsidR="00003835" w:rsidRPr="001E069C" w:rsidRDefault="00003835" w:rsidP="00930070">
            <w:pPr>
              <w:rPr>
                <w:i/>
                <w:iCs/>
                <w:lang w:val="nl-BE"/>
              </w:rPr>
            </w:pPr>
          </w:p>
          <w:p w14:paraId="6054AABC" w14:textId="11D77C69" w:rsidR="00930070" w:rsidRPr="001E069C" w:rsidRDefault="00930070" w:rsidP="00930070">
            <w:pPr>
              <w:rPr>
                <w:b/>
                <w:bCs/>
              </w:rPr>
            </w:pPr>
            <w:r w:rsidRPr="001E069C">
              <w:rPr>
                <w:b/>
                <w:bCs/>
                <w:i/>
                <w:iCs/>
                <w:lang w:val="nl-BE"/>
              </w:rPr>
              <w:t>Waterstof die wordt</w:t>
            </w:r>
            <w:r w:rsidR="007C44E5" w:rsidRPr="001E069C">
              <w:rPr>
                <w:b/>
                <w:bCs/>
                <w:i/>
                <w:iCs/>
                <w:lang w:val="nl-BE"/>
              </w:rPr>
              <w:t xml:space="preserve"> geproduceerd door elektrolyse van chlooralkali of door de productie van </w:t>
            </w:r>
            <w:proofErr w:type="spellStart"/>
            <w:r w:rsidR="007C44E5" w:rsidRPr="001E069C">
              <w:rPr>
                <w:b/>
                <w:bCs/>
                <w:i/>
                <w:iCs/>
                <w:lang w:val="nl-BE"/>
              </w:rPr>
              <w:t>chloraat</w:t>
            </w:r>
            <w:proofErr w:type="spellEnd"/>
            <w:r w:rsidR="007C44E5" w:rsidRPr="001E069C">
              <w:rPr>
                <w:b/>
                <w:bCs/>
                <w:i/>
                <w:iCs/>
                <w:lang w:val="nl-BE"/>
              </w:rPr>
              <w:t>, of vrijkomt bij chemische omzetting van waterstofdragers die worden gebruikt om waterstof uit productiefaciliteiten te vervoeren, valt niet onder deze benchmark.</w:t>
            </w:r>
          </w:p>
        </w:tc>
      </w:tr>
    </w:tbl>
    <w:p w14:paraId="5647CEB4" w14:textId="77777777" w:rsidR="00930070" w:rsidRDefault="00930070" w:rsidP="00930070">
      <w:pPr>
        <w:rPr>
          <w:lang w:val="nl-BE"/>
        </w:rPr>
      </w:pPr>
    </w:p>
    <w:p w14:paraId="012111AA" w14:textId="3379B622" w:rsidR="007C44E5" w:rsidRDefault="007C44E5" w:rsidP="00930070">
      <w:pPr>
        <w:rPr>
          <w:lang w:val="nl-BE"/>
        </w:rPr>
      </w:pPr>
      <w:r>
        <w:rPr>
          <w:lang w:val="nl-BE"/>
        </w:rPr>
        <w:t>Systeemgren</w:t>
      </w:r>
      <w:r w:rsidR="00851324">
        <w:rPr>
          <w:lang w:val="nl-BE"/>
        </w:rPr>
        <w:t>zen waterstofbenchmark:</w:t>
      </w:r>
    </w:p>
    <w:tbl>
      <w:tblPr>
        <w:tblStyle w:val="Tabelraster"/>
        <w:tblW w:w="0" w:type="auto"/>
        <w:tblLook w:val="04A0" w:firstRow="1" w:lastRow="0" w:firstColumn="1" w:lastColumn="0" w:noHBand="0" w:noVBand="1"/>
      </w:tblPr>
      <w:tblGrid>
        <w:gridCol w:w="9016"/>
      </w:tblGrid>
      <w:tr w:rsidR="0038576F" w14:paraId="48F95BD4" w14:textId="77777777" w:rsidTr="0038576F">
        <w:tc>
          <w:tcPr>
            <w:tcW w:w="9016" w:type="dxa"/>
          </w:tcPr>
          <w:p w14:paraId="4D864DFC" w14:textId="77777777" w:rsidR="0038576F" w:rsidRPr="001E069C" w:rsidRDefault="0038576F" w:rsidP="0038576F">
            <w:pPr>
              <w:rPr>
                <w:i/>
                <w:iCs/>
                <w:lang w:val="nl-BE"/>
              </w:rPr>
            </w:pPr>
            <w:r w:rsidRPr="001E069C">
              <w:rPr>
                <w:i/>
                <w:iCs/>
                <w:lang w:val="nl-BE"/>
              </w:rPr>
              <w:t>Alle relevante proceselementen die direct of indirect verband houden met de productie van waterstof en de scheiding van waterstof en koolmonoxide, zijn inbegrepen. Deze elementen liggen tussen:</w:t>
            </w:r>
          </w:p>
          <w:p w14:paraId="346AACCA" w14:textId="77777777" w:rsidR="0038576F" w:rsidRPr="001E069C" w:rsidRDefault="0038576F" w:rsidP="001E069C">
            <w:pPr>
              <w:ind w:left="720"/>
              <w:rPr>
                <w:i/>
                <w:iCs/>
                <w:lang w:val="nl-BE"/>
              </w:rPr>
            </w:pPr>
            <w:r w:rsidRPr="001E069C">
              <w:rPr>
                <w:i/>
                <w:iCs/>
                <w:lang w:val="nl-BE"/>
              </w:rPr>
              <w:t xml:space="preserve">a) het (de) toegangspunt(en) voor de </w:t>
            </w:r>
            <w:r w:rsidRPr="001E069C">
              <w:rPr>
                <w:b/>
                <w:bCs/>
                <w:i/>
                <w:iCs/>
                <w:lang w:val="nl-BE"/>
              </w:rPr>
              <w:t>input</w:t>
            </w:r>
            <w:r w:rsidRPr="001E069C">
              <w:rPr>
                <w:i/>
                <w:iCs/>
                <w:lang w:val="nl-BE"/>
              </w:rPr>
              <w:t>(s) van de grondstof, en, indien afzonderlijk, brandstof(</w:t>
            </w:r>
            <w:proofErr w:type="spellStart"/>
            <w:r w:rsidRPr="001E069C">
              <w:rPr>
                <w:i/>
                <w:iCs/>
                <w:lang w:val="nl-BE"/>
              </w:rPr>
              <w:t>fen</w:t>
            </w:r>
            <w:proofErr w:type="spellEnd"/>
            <w:r w:rsidRPr="001E069C">
              <w:rPr>
                <w:i/>
                <w:iCs/>
                <w:lang w:val="nl-BE"/>
              </w:rPr>
              <w:t>);</w:t>
            </w:r>
          </w:p>
          <w:p w14:paraId="7B739EF7" w14:textId="77777777" w:rsidR="0038576F" w:rsidRPr="001E069C" w:rsidRDefault="0038576F" w:rsidP="001E069C">
            <w:pPr>
              <w:ind w:left="720"/>
              <w:rPr>
                <w:i/>
                <w:iCs/>
                <w:lang w:val="nl-BE"/>
              </w:rPr>
            </w:pPr>
            <w:r w:rsidRPr="001E069C">
              <w:rPr>
                <w:i/>
                <w:iCs/>
                <w:lang w:val="nl-BE"/>
              </w:rPr>
              <w:t>b) de uitgangspunten voor alle productstromen die waterstof en/of koolmonoxide bevatten;</w:t>
            </w:r>
          </w:p>
          <w:p w14:paraId="1DA664EA" w14:textId="77777777" w:rsidR="0038576F" w:rsidRDefault="0038576F" w:rsidP="00003835">
            <w:pPr>
              <w:ind w:left="720"/>
              <w:rPr>
                <w:i/>
                <w:iCs/>
                <w:lang w:val="nl-BE"/>
              </w:rPr>
            </w:pPr>
            <w:r w:rsidRPr="001E069C">
              <w:rPr>
                <w:i/>
                <w:iCs/>
                <w:lang w:val="nl-BE"/>
              </w:rPr>
              <w:t>c) het (de) toegangs- of uitgangspunt(en) voor de aan- en afvoer van warmte.</w:t>
            </w:r>
          </w:p>
          <w:p w14:paraId="495BEDAC" w14:textId="77777777" w:rsidR="00003835" w:rsidRPr="001E069C" w:rsidRDefault="00003835" w:rsidP="001E069C">
            <w:pPr>
              <w:ind w:left="720"/>
              <w:rPr>
                <w:i/>
                <w:iCs/>
                <w:lang w:val="nl-BE"/>
              </w:rPr>
            </w:pPr>
          </w:p>
          <w:p w14:paraId="47029420" w14:textId="7F227128" w:rsidR="0038576F" w:rsidRDefault="0038576F" w:rsidP="0038576F">
            <w:pPr>
              <w:rPr>
                <w:lang w:val="nl-BE"/>
              </w:rPr>
            </w:pPr>
            <w:r w:rsidRPr="001E069C">
              <w:rPr>
                <w:i/>
                <w:iCs/>
                <w:lang w:val="nl-BE"/>
              </w:rPr>
              <w:t>Voor het verzamelen van gegevens wordt het totale elektriciteitsverbruik binnen de</w:t>
            </w:r>
            <w:r w:rsidR="003A09CB" w:rsidRPr="001E069C">
              <w:rPr>
                <w:i/>
                <w:iCs/>
                <w:lang w:val="nl-BE"/>
              </w:rPr>
              <w:t xml:space="preserve"> systeemgrenzen in aanmerking genomen.</w:t>
            </w:r>
          </w:p>
        </w:tc>
      </w:tr>
    </w:tbl>
    <w:p w14:paraId="1AE1143F" w14:textId="77777777" w:rsidR="00851324" w:rsidRDefault="00851324" w:rsidP="00930070">
      <w:pPr>
        <w:rPr>
          <w:lang w:val="nl-BE"/>
        </w:rPr>
      </w:pPr>
    </w:p>
    <w:p w14:paraId="1CC6B928" w14:textId="77777777" w:rsidR="00394B78" w:rsidRDefault="00394B78" w:rsidP="00930070">
      <w:pPr>
        <w:rPr>
          <w:lang w:val="nl-BE"/>
        </w:rPr>
      </w:pPr>
    </w:p>
    <w:p w14:paraId="0EAF47E0" w14:textId="70AF139A" w:rsidR="00003835" w:rsidRDefault="00003835" w:rsidP="00930070">
      <w:pPr>
        <w:rPr>
          <w:lang w:val="nl-BE"/>
        </w:rPr>
      </w:pPr>
      <w:r>
        <w:rPr>
          <w:lang w:val="nl-BE"/>
        </w:rPr>
        <w:t xml:space="preserve">Volledige benchmarkdefinitie </w:t>
      </w:r>
      <w:proofErr w:type="spellStart"/>
      <w:r>
        <w:rPr>
          <w:lang w:val="nl-BE"/>
        </w:rPr>
        <w:t>syngasbenchmark</w:t>
      </w:r>
      <w:proofErr w:type="spellEnd"/>
      <w:r>
        <w:rPr>
          <w:lang w:val="nl-BE"/>
        </w:rPr>
        <w:t>:</w:t>
      </w:r>
    </w:p>
    <w:tbl>
      <w:tblPr>
        <w:tblStyle w:val="Tabelraster"/>
        <w:tblW w:w="0" w:type="auto"/>
        <w:tblLook w:val="04A0" w:firstRow="1" w:lastRow="0" w:firstColumn="1" w:lastColumn="0" w:noHBand="0" w:noVBand="1"/>
      </w:tblPr>
      <w:tblGrid>
        <w:gridCol w:w="9016"/>
      </w:tblGrid>
      <w:tr w:rsidR="00EC4E60" w14:paraId="6132CE17" w14:textId="77777777" w:rsidTr="00EC4E60">
        <w:tc>
          <w:tcPr>
            <w:tcW w:w="9016" w:type="dxa"/>
          </w:tcPr>
          <w:p w14:paraId="15971CA6" w14:textId="45C3570E" w:rsidR="00EC4E60" w:rsidRPr="001E069C" w:rsidRDefault="00EC4E60" w:rsidP="00930070">
            <w:pPr>
              <w:rPr>
                <w:i/>
                <w:iCs/>
                <w:lang w:val="nl-BE"/>
              </w:rPr>
            </w:pPr>
            <w:r w:rsidRPr="001E069C">
              <w:rPr>
                <w:i/>
                <w:iCs/>
                <w:lang w:val="nl-BE"/>
              </w:rPr>
              <w:t xml:space="preserve">Mengsels van waterstof en koolmonoxide met een waterstofgehalte van &lt; 60 % volumedeel van de totale massa waterstof en koolmonoxide op basis van de samenvoeging van alle waterstof en koolmonoxide bevattende productstromen die uit de betreffende </w:t>
            </w:r>
            <w:proofErr w:type="spellStart"/>
            <w:r w:rsidR="005E6A36">
              <w:rPr>
                <w:i/>
                <w:iCs/>
                <w:lang w:val="nl-BE"/>
              </w:rPr>
              <w:t>subinstallatie</w:t>
            </w:r>
            <w:proofErr w:type="spellEnd"/>
            <w:r w:rsidRPr="001E069C">
              <w:rPr>
                <w:i/>
                <w:iCs/>
                <w:lang w:val="nl-BE"/>
              </w:rPr>
              <w:t xml:space="preserve"> worden afgevoerd. Uitgedrukt in ton synthesegas, herleid tot 47 volumeprocent waterstof, als verkoopbaar </w:t>
            </w:r>
            <w:proofErr w:type="spellStart"/>
            <w:r w:rsidRPr="001E069C">
              <w:rPr>
                <w:i/>
                <w:iCs/>
                <w:lang w:val="nl-BE"/>
              </w:rPr>
              <w:t>nettoproduct</w:t>
            </w:r>
            <w:proofErr w:type="spellEnd"/>
            <w:r w:rsidRPr="001E069C">
              <w:rPr>
                <w:i/>
                <w:iCs/>
                <w:lang w:val="nl-BE"/>
              </w:rPr>
              <w:t>.</w:t>
            </w:r>
          </w:p>
        </w:tc>
      </w:tr>
    </w:tbl>
    <w:p w14:paraId="2642118E" w14:textId="77777777" w:rsidR="00003835" w:rsidRDefault="00003835" w:rsidP="00930070">
      <w:pPr>
        <w:rPr>
          <w:lang w:val="nl-BE"/>
        </w:rPr>
      </w:pPr>
    </w:p>
    <w:p w14:paraId="5FED3E4F" w14:textId="64350ADD" w:rsidR="00394B78" w:rsidRDefault="00394B78" w:rsidP="00930070">
      <w:pPr>
        <w:rPr>
          <w:lang w:val="nl-BE"/>
        </w:rPr>
      </w:pPr>
      <w:r>
        <w:rPr>
          <w:lang w:val="nl-BE"/>
        </w:rPr>
        <w:t xml:space="preserve">Systeemgrenzen </w:t>
      </w:r>
      <w:proofErr w:type="spellStart"/>
      <w:r>
        <w:rPr>
          <w:lang w:val="nl-BE"/>
        </w:rPr>
        <w:t>syngasbenchmark</w:t>
      </w:r>
      <w:proofErr w:type="spellEnd"/>
      <w:r>
        <w:rPr>
          <w:lang w:val="nl-BE"/>
        </w:rPr>
        <w:t>:</w:t>
      </w:r>
    </w:p>
    <w:tbl>
      <w:tblPr>
        <w:tblStyle w:val="Tabelraster"/>
        <w:tblW w:w="0" w:type="auto"/>
        <w:tblLook w:val="04A0" w:firstRow="1" w:lastRow="0" w:firstColumn="1" w:lastColumn="0" w:noHBand="0" w:noVBand="1"/>
      </w:tblPr>
      <w:tblGrid>
        <w:gridCol w:w="9016"/>
      </w:tblGrid>
      <w:tr w:rsidR="00394B78" w14:paraId="68D5FD5C" w14:textId="77777777" w:rsidTr="00394B78">
        <w:tc>
          <w:tcPr>
            <w:tcW w:w="9016" w:type="dxa"/>
          </w:tcPr>
          <w:p w14:paraId="588CFE13" w14:textId="77777777" w:rsidR="00394B78" w:rsidRPr="001E069C" w:rsidRDefault="00394B78" w:rsidP="00394B78">
            <w:pPr>
              <w:rPr>
                <w:i/>
                <w:iCs/>
                <w:lang w:val="nl-BE"/>
              </w:rPr>
            </w:pPr>
            <w:r w:rsidRPr="001E069C">
              <w:rPr>
                <w:i/>
                <w:iCs/>
                <w:lang w:val="nl-BE"/>
              </w:rPr>
              <w:t xml:space="preserve">Alle relevante proceselementen die direct of indirect verband houden met de productie van </w:t>
            </w:r>
            <w:proofErr w:type="spellStart"/>
            <w:r w:rsidRPr="001E069C">
              <w:rPr>
                <w:i/>
                <w:iCs/>
                <w:lang w:val="nl-BE"/>
              </w:rPr>
              <w:t>syngas</w:t>
            </w:r>
            <w:proofErr w:type="spellEnd"/>
            <w:r w:rsidRPr="001E069C">
              <w:rPr>
                <w:i/>
                <w:iCs/>
                <w:lang w:val="nl-BE"/>
              </w:rPr>
              <w:t xml:space="preserve"> en de scheiding van waterstof en koolmonoxide, zijn inbegrepen. Deze elementen liggen tussen:</w:t>
            </w:r>
          </w:p>
          <w:p w14:paraId="33FC0555" w14:textId="77777777" w:rsidR="00394B78" w:rsidRPr="001E069C" w:rsidRDefault="00394B78" w:rsidP="001E069C">
            <w:pPr>
              <w:ind w:left="720"/>
              <w:rPr>
                <w:i/>
                <w:iCs/>
                <w:lang w:val="nl-BE"/>
              </w:rPr>
            </w:pPr>
            <w:r w:rsidRPr="001E069C">
              <w:rPr>
                <w:i/>
                <w:iCs/>
                <w:lang w:val="nl-BE"/>
              </w:rPr>
              <w:t xml:space="preserve">a) het (de) toegangspunt(en) voor de </w:t>
            </w:r>
            <w:r w:rsidRPr="001E069C">
              <w:rPr>
                <w:b/>
                <w:bCs/>
                <w:i/>
                <w:iCs/>
                <w:lang w:val="nl-BE"/>
              </w:rPr>
              <w:t>input</w:t>
            </w:r>
            <w:r w:rsidRPr="001E069C">
              <w:rPr>
                <w:i/>
                <w:iCs/>
                <w:lang w:val="nl-BE"/>
              </w:rPr>
              <w:t>(s) van de grondstof, en, indien afzonderlijk, brandstof(</w:t>
            </w:r>
            <w:proofErr w:type="spellStart"/>
            <w:r w:rsidRPr="001E069C">
              <w:rPr>
                <w:i/>
                <w:iCs/>
                <w:lang w:val="nl-BE"/>
              </w:rPr>
              <w:t>fen</w:t>
            </w:r>
            <w:proofErr w:type="spellEnd"/>
            <w:r w:rsidRPr="001E069C">
              <w:rPr>
                <w:i/>
                <w:iCs/>
                <w:lang w:val="nl-BE"/>
              </w:rPr>
              <w:t>);</w:t>
            </w:r>
          </w:p>
          <w:p w14:paraId="66654CF7" w14:textId="77777777" w:rsidR="00394B78" w:rsidRPr="001E069C" w:rsidRDefault="00394B78" w:rsidP="001E069C">
            <w:pPr>
              <w:ind w:left="720"/>
              <w:rPr>
                <w:i/>
                <w:iCs/>
                <w:lang w:val="nl-BE"/>
              </w:rPr>
            </w:pPr>
            <w:r w:rsidRPr="001E069C">
              <w:rPr>
                <w:i/>
                <w:iCs/>
                <w:lang w:val="nl-BE"/>
              </w:rPr>
              <w:t>b) de uitgangspunten voor alle productstromen die waterstof en/of koolmonoxide bevatten;</w:t>
            </w:r>
          </w:p>
          <w:p w14:paraId="57469DAF" w14:textId="77777777" w:rsidR="00394B78" w:rsidRDefault="00394B78" w:rsidP="00394B78">
            <w:pPr>
              <w:ind w:left="720"/>
              <w:rPr>
                <w:i/>
                <w:iCs/>
                <w:lang w:val="nl-BE"/>
              </w:rPr>
            </w:pPr>
            <w:r w:rsidRPr="001E069C">
              <w:rPr>
                <w:i/>
                <w:iCs/>
                <w:lang w:val="nl-BE"/>
              </w:rPr>
              <w:t>c) het (de) toegangs- of uitgangspunt(en) voor de aan- en afvoer van warmte.</w:t>
            </w:r>
          </w:p>
          <w:p w14:paraId="2A4AA494" w14:textId="77777777" w:rsidR="00394B78" w:rsidRPr="001E069C" w:rsidRDefault="00394B78" w:rsidP="001E069C">
            <w:pPr>
              <w:ind w:left="720"/>
              <w:rPr>
                <w:i/>
                <w:iCs/>
                <w:lang w:val="nl-BE"/>
              </w:rPr>
            </w:pPr>
          </w:p>
          <w:p w14:paraId="1FF082C8" w14:textId="4B1C2960" w:rsidR="00394B78" w:rsidRDefault="00394B78" w:rsidP="00394B78">
            <w:pPr>
              <w:rPr>
                <w:lang w:val="nl-BE"/>
              </w:rPr>
            </w:pPr>
            <w:r w:rsidRPr="001E069C">
              <w:rPr>
                <w:i/>
                <w:iCs/>
                <w:lang w:val="nl-BE"/>
              </w:rPr>
              <w:t>Voor het verzamelen van gegevens wordt het totale elektriciteitsverbruik binnen de systeemgrenzen in aanmerking genomen.</w:t>
            </w:r>
          </w:p>
        </w:tc>
      </w:tr>
    </w:tbl>
    <w:p w14:paraId="7EDA4F66" w14:textId="77777777" w:rsidR="00394B78" w:rsidRPr="00930070" w:rsidRDefault="00394B78" w:rsidP="00930070">
      <w:pPr>
        <w:rPr>
          <w:lang w:val="nl-BE"/>
        </w:rPr>
      </w:pPr>
    </w:p>
    <w:p w14:paraId="17536029" w14:textId="4DE9035A" w:rsidR="00394B78" w:rsidRDefault="00394B78" w:rsidP="00394B78">
      <w:pPr>
        <w:rPr>
          <w:lang w:val="nl-BE"/>
        </w:rPr>
      </w:pPr>
      <w:r w:rsidRPr="007F10C6">
        <w:rPr>
          <w:lang w:val="nl-BE"/>
        </w:rPr>
        <w:t>Het Europese toelichtingsdocument “</w:t>
      </w:r>
      <w:proofErr w:type="spellStart"/>
      <w:r w:rsidRPr="007F10C6">
        <w:rPr>
          <w:lang w:val="nl-BE"/>
        </w:rPr>
        <w:t>Guidance</w:t>
      </w:r>
      <w:proofErr w:type="spellEnd"/>
      <w:r>
        <w:rPr>
          <w:lang w:val="nl-BE"/>
        </w:rPr>
        <w:t xml:space="preserve"> Document n°9</w:t>
      </w:r>
      <w:r w:rsidRPr="007F10C6">
        <w:rPr>
          <w:lang w:val="nl-BE"/>
        </w:rPr>
        <w:t xml:space="preserve"> </w:t>
      </w:r>
      <w:r>
        <w:rPr>
          <w:lang w:val="nl-BE"/>
        </w:rPr>
        <w:t>Sector-</w:t>
      </w:r>
      <w:proofErr w:type="spellStart"/>
      <w:r>
        <w:rPr>
          <w:lang w:val="nl-BE"/>
        </w:rPr>
        <w:t>specific</w:t>
      </w:r>
      <w:proofErr w:type="spellEnd"/>
      <w:r>
        <w:rPr>
          <w:lang w:val="nl-BE"/>
        </w:rPr>
        <w:t xml:space="preserve"> </w:t>
      </w:r>
      <w:proofErr w:type="spellStart"/>
      <w:r>
        <w:rPr>
          <w:lang w:val="nl-BE"/>
        </w:rPr>
        <w:t>guidance</w:t>
      </w:r>
      <w:proofErr w:type="spellEnd"/>
      <w:r w:rsidRPr="007F10C6">
        <w:rPr>
          <w:lang w:val="nl-BE"/>
        </w:rPr>
        <w:t xml:space="preserve">” gaat in groter detail in op de </w:t>
      </w:r>
      <w:r>
        <w:rPr>
          <w:lang w:val="nl-BE"/>
        </w:rPr>
        <w:t>wijziging van deze productbenchmark</w:t>
      </w:r>
      <w:r w:rsidR="00383079">
        <w:rPr>
          <w:rStyle w:val="Voetnootmarkering"/>
          <w:lang w:val="nl-BE"/>
        </w:rPr>
        <w:footnoteReference w:id="8"/>
      </w:r>
      <w:r w:rsidRPr="007F10C6">
        <w:rPr>
          <w:lang w:val="nl-BE"/>
        </w:rPr>
        <w:t>.</w:t>
      </w:r>
    </w:p>
    <w:p w14:paraId="6BB0D9B5" w14:textId="1555E9EF" w:rsidR="00745B45" w:rsidRPr="001E069C" w:rsidRDefault="00745B45" w:rsidP="001E069C">
      <w:pPr>
        <w:rPr>
          <w:rFonts w:asciiTheme="majorHAnsi" w:eastAsiaTheme="majorEastAsia" w:hAnsiTheme="majorHAnsi" w:cstheme="majorBidi"/>
          <w:color w:val="2F5496" w:themeColor="accent1" w:themeShade="BF"/>
          <w:sz w:val="26"/>
          <w:szCs w:val="26"/>
          <w:lang w:val="nl-BE"/>
        </w:rPr>
      </w:pPr>
    </w:p>
    <w:p w14:paraId="75B6E0B5" w14:textId="48643AE8" w:rsidR="00B113E6" w:rsidRDefault="00D45B87" w:rsidP="001E069C">
      <w:pPr>
        <w:pStyle w:val="Kop3"/>
        <w:numPr>
          <w:ilvl w:val="2"/>
          <w:numId w:val="35"/>
        </w:numPr>
        <w:rPr>
          <w:lang w:val="nl-BE"/>
        </w:rPr>
      </w:pPr>
      <w:bookmarkStart w:id="28" w:name="_Toc160465612"/>
      <w:r>
        <w:rPr>
          <w:lang w:val="nl-BE"/>
        </w:rPr>
        <w:t>Grijze/witte cementklinker</w:t>
      </w:r>
      <w:bookmarkEnd w:id="28"/>
    </w:p>
    <w:p w14:paraId="11EA2058" w14:textId="361016A7" w:rsidR="00D45B87" w:rsidRDefault="00F514DE" w:rsidP="00D45B87">
      <w:pPr>
        <w:rPr>
          <w:lang w:val="nl-BE"/>
        </w:rPr>
      </w:pPr>
      <w:r>
        <w:rPr>
          <w:lang w:val="nl-BE"/>
        </w:rPr>
        <w:t>De nieuwe benchmarkdefinitie</w:t>
      </w:r>
      <w:r w:rsidR="00701F31">
        <w:rPr>
          <w:lang w:val="nl-BE"/>
        </w:rPr>
        <w:t>s</w:t>
      </w:r>
      <w:r>
        <w:rPr>
          <w:lang w:val="nl-BE"/>
        </w:rPr>
        <w:t xml:space="preserve"> omvat</w:t>
      </w:r>
      <w:r w:rsidR="00701F31">
        <w:rPr>
          <w:lang w:val="nl-BE"/>
        </w:rPr>
        <w:t xml:space="preserve">ten in de </w:t>
      </w:r>
      <w:r w:rsidR="00335CA8">
        <w:rPr>
          <w:lang w:val="nl-BE"/>
        </w:rPr>
        <w:t>herziene</w:t>
      </w:r>
      <w:r w:rsidR="00701F31">
        <w:rPr>
          <w:lang w:val="nl-BE"/>
        </w:rPr>
        <w:t xml:space="preserve"> FAR ook</w:t>
      </w:r>
      <w:r>
        <w:rPr>
          <w:lang w:val="nl-BE"/>
        </w:rPr>
        <w:t xml:space="preserve"> het gebruik van alternatieve hydraulische bindmiddelen</w:t>
      </w:r>
      <w:r w:rsidR="00701F31">
        <w:rPr>
          <w:lang w:val="nl-BE"/>
        </w:rPr>
        <w:t>.</w:t>
      </w:r>
    </w:p>
    <w:p w14:paraId="37C5A1D3" w14:textId="0B917254" w:rsidR="008E1654" w:rsidRDefault="008E1654" w:rsidP="008E1654">
      <w:pPr>
        <w:rPr>
          <w:lang w:val="nl-BE"/>
        </w:rPr>
      </w:pPr>
      <w:r w:rsidRPr="007F10C6">
        <w:rPr>
          <w:lang w:val="nl-BE"/>
        </w:rPr>
        <w:t>Het Europese toelichtingsdocument “</w:t>
      </w:r>
      <w:proofErr w:type="spellStart"/>
      <w:r w:rsidRPr="007F10C6">
        <w:rPr>
          <w:lang w:val="nl-BE"/>
        </w:rPr>
        <w:t>Guidance</w:t>
      </w:r>
      <w:proofErr w:type="spellEnd"/>
      <w:r>
        <w:rPr>
          <w:lang w:val="nl-BE"/>
        </w:rPr>
        <w:t xml:space="preserve"> Document n°9</w:t>
      </w:r>
      <w:r w:rsidRPr="007F10C6">
        <w:rPr>
          <w:lang w:val="nl-BE"/>
        </w:rPr>
        <w:t xml:space="preserve"> </w:t>
      </w:r>
      <w:r>
        <w:rPr>
          <w:lang w:val="nl-BE"/>
        </w:rPr>
        <w:t>Sector-</w:t>
      </w:r>
      <w:proofErr w:type="spellStart"/>
      <w:r>
        <w:rPr>
          <w:lang w:val="nl-BE"/>
        </w:rPr>
        <w:t>specific</w:t>
      </w:r>
      <w:proofErr w:type="spellEnd"/>
      <w:r>
        <w:rPr>
          <w:lang w:val="nl-BE"/>
        </w:rPr>
        <w:t xml:space="preserve"> </w:t>
      </w:r>
      <w:proofErr w:type="spellStart"/>
      <w:r>
        <w:rPr>
          <w:lang w:val="nl-BE"/>
        </w:rPr>
        <w:t>guidance</w:t>
      </w:r>
      <w:proofErr w:type="spellEnd"/>
      <w:r w:rsidRPr="007F10C6">
        <w:rPr>
          <w:lang w:val="nl-BE"/>
        </w:rPr>
        <w:t xml:space="preserve">” gaat in groter detail in op de </w:t>
      </w:r>
      <w:r>
        <w:rPr>
          <w:lang w:val="nl-BE"/>
        </w:rPr>
        <w:t>wijziging van deze productbenchmark</w:t>
      </w:r>
      <w:r w:rsidR="00383079">
        <w:rPr>
          <w:rStyle w:val="Voetnootmarkering"/>
          <w:lang w:val="nl-BE"/>
        </w:rPr>
        <w:footnoteReference w:id="9"/>
      </w:r>
      <w:r w:rsidRPr="007F10C6">
        <w:rPr>
          <w:lang w:val="nl-BE"/>
        </w:rPr>
        <w:t>.</w:t>
      </w:r>
    </w:p>
    <w:p w14:paraId="61424DC3" w14:textId="77777777" w:rsidR="00701F31" w:rsidRPr="00D45B87" w:rsidRDefault="00701F31" w:rsidP="001E069C">
      <w:pPr>
        <w:rPr>
          <w:lang w:val="nl-BE"/>
        </w:rPr>
      </w:pPr>
    </w:p>
    <w:p w14:paraId="56E97A77" w14:textId="560C05DD" w:rsidR="00B1207E" w:rsidRPr="005364F7" w:rsidRDefault="00B1207E" w:rsidP="005364F7">
      <w:pPr>
        <w:autoSpaceDE w:val="0"/>
        <w:autoSpaceDN w:val="0"/>
        <w:adjustRightInd w:val="0"/>
        <w:spacing w:after="0" w:line="240" w:lineRule="auto"/>
        <w:jc w:val="both"/>
        <w:rPr>
          <w:rFonts w:ascii="Arial" w:hAnsi="Arial" w:cs="Arial"/>
          <w:color w:val="1C1A15"/>
          <w:lang w:val="nl-BE"/>
        </w:rPr>
      </w:pPr>
    </w:p>
    <w:p w14:paraId="00CFC4EC" w14:textId="77777777" w:rsidR="00234F6C" w:rsidRDefault="00234F6C">
      <w:pPr>
        <w:rPr>
          <w:rFonts w:asciiTheme="majorHAnsi" w:eastAsiaTheme="majorEastAsia" w:hAnsiTheme="majorHAnsi" w:cstheme="majorBidi"/>
          <w:color w:val="2F5496" w:themeColor="accent1" w:themeShade="BF"/>
          <w:sz w:val="32"/>
          <w:szCs w:val="32"/>
          <w:lang w:val="nl-BE"/>
        </w:rPr>
      </w:pPr>
      <w:r>
        <w:rPr>
          <w:lang w:val="nl-BE"/>
        </w:rPr>
        <w:br w:type="page"/>
      </w:r>
    </w:p>
    <w:p w14:paraId="5EAB4E61" w14:textId="54A418D2" w:rsidR="00906B65" w:rsidRDefault="00483416" w:rsidP="00996B15">
      <w:pPr>
        <w:pStyle w:val="Kop2"/>
        <w:numPr>
          <w:ilvl w:val="1"/>
          <w:numId w:val="35"/>
        </w:numPr>
        <w:rPr>
          <w:lang w:val="nl-BE"/>
        </w:rPr>
      </w:pPr>
      <w:bookmarkStart w:id="29" w:name="_Toc160465613"/>
      <w:r>
        <w:rPr>
          <w:lang w:val="nl-BE"/>
        </w:rPr>
        <w:lastRenderedPageBreak/>
        <w:t xml:space="preserve">Extra </w:t>
      </w:r>
      <w:proofErr w:type="spellStart"/>
      <w:r>
        <w:rPr>
          <w:lang w:val="nl-BE"/>
        </w:rPr>
        <w:t>lidstaatspecifieke</w:t>
      </w:r>
      <w:proofErr w:type="spellEnd"/>
      <w:r>
        <w:rPr>
          <w:lang w:val="nl-BE"/>
        </w:rPr>
        <w:t xml:space="preserve"> vraag i</w:t>
      </w:r>
      <w:r w:rsidR="00883905">
        <w:rPr>
          <w:lang w:val="nl-BE"/>
        </w:rPr>
        <w:t>.</w:t>
      </w:r>
      <w:r>
        <w:rPr>
          <w:lang w:val="nl-BE"/>
        </w:rPr>
        <w:t>v</w:t>
      </w:r>
      <w:r w:rsidR="00883905">
        <w:rPr>
          <w:lang w:val="nl-BE"/>
        </w:rPr>
        <w:t>.</w:t>
      </w:r>
      <w:r>
        <w:rPr>
          <w:lang w:val="nl-BE"/>
        </w:rPr>
        <w:t>m</w:t>
      </w:r>
      <w:r w:rsidR="00883905">
        <w:rPr>
          <w:lang w:val="nl-BE"/>
        </w:rPr>
        <w:t>.</w:t>
      </w:r>
      <w:r w:rsidR="004254AC">
        <w:rPr>
          <w:lang w:val="nl-BE"/>
        </w:rPr>
        <w:t xml:space="preserve"> de</w:t>
      </w:r>
      <w:r>
        <w:rPr>
          <w:lang w:val="nl-BE"/>
        </w:rPr>
        <w:t xml:space="preserve"> mogelijkheid tot gebruik van MMP26-30 in toewijzingsperiode </w:t>
      </w:r>
      <w:r w:rsidR="00206CE6">
        <w:rPr>
          <w:lang w:val="nl-BE"/>
        </w:rPr>
        <w:t>20</w:t>
      </w:r>
      <w:r>
        <w:rPr>
          <w:lang w:val="nl-BE"/>
        </w:rPr>
        <w:t>21-</w:t>
      </w:r>
      <w:r w:rsidR="00206CE6">
        <w:rPr>
          <w:lang w:val="nl-BE"/>
        </w:rPr>
        <w:t>20</w:t>
      </w:r>
      <w:r>
        <w:rPr>
          <w:lang w:val="nl-BE"/>
        </w:rPr>
        <w:t>25</w:t>
      </w:r>
      <w:bookmarkEnd w:id="29"/>
    </w:p>
    <w:p w14:paraId="4C7AF25F" w14:textId="77777777" w:rsidR="003537E0" w:rsidRPr="003537E0" w:rsidRDefault="003537E0" w:rsidP="001E069C">
      <w:pPr>
        <w:rPr>
          <w:lang w:val="nl-BE"/>
        </w:rPr>
      </w:pPr>
    </w:p>
    <w:p w14:paraId="0A33E352" w14:textId="77A51C54" w:rsidR="00483416" w:rsidRDefault="006A6F1C" w:rsidP="00483416">
      <w:pPr>
        <w:rPr>
          <w:lang w:val="nl-BE"/>
        </w:rPr>
      </w:pPr>
      <w:r>
        <w:rPr>
          <w:lang w:val="nl-BE"/>
        </w:rPr>
        <w:t>Installaties die aanspraak maken op kosteloze toewijzing van emissierecht</w:t>
      </w:r>
      <w:r w:rsidR="00631E86">
        <w:rPr>
          <w:lang w:val="nl-BE"/>
        </w:rPr>
        <w:t xml:space="preserve">en </w:t>
      </w:r>
      <w:r w:rsidR="003E2D6D">
        <w:rPr>
          <w:lang w:val="nl-BE"/>
        </w:rPr>
        <w:t>zullen in veel gevallen in</w:t>
      </w:r>
      <w:r w:rsidR="00483416">
        <w:rPr>
          <w:lang w:val="nl-BE"/>
        </w:rPr>
        <w:t xml:space="preserve"> principe </w:t>
      </w:r>
      <w:r w:rsidR="003E2D6D">
        <w:rPr>
          <w:lang w:val="nl-BE"/>
        </w:rPr>
        <w:t xml:space="preserve">twee </w:t>
      </w:r>
      <w:proofErr w:type="spellStart"/>
      <w:r w:rsidR="003E2D6D">
        <w:rPr>
          <w:lang w:val="nl-BE"/>
        </w:rPr>
        <w:t>MMP’s</w:t>
      </w:r>
      <w:proofErr w:type="spellEnd"/>
      <w:r w:rsidR="003E2D6D">
        <w:rPr>
          <w:lang w:val="nl-BE"/>
        </w:rPr>
        <w:t xml:space="preserve"> hebben die beide nog in gebruik zullen zijn tot </w:t>
      </w:r>
      <w:r w:rsidR="003537E0">
        <w:rPr>
          <w:lang w:val="nl-BE"/>
        </w:rPr>
        <w:t>1/01/</w:t>
      </w:r>
      <w:r w:rsidR="003E2D6D">
        <w:rPr>
          <w:lang w:val="nl-BE"/>
        </w:rPr>
        <w:t xml:space="preserve">2026. </w:t>
      </w:r>
      <w:r w:rsidR="000219AC">
        <w:rPr>
          <w:lang w:val="nl-BE"/>
        </w:rPr>
        <w:t xml:space="preserve">Dit creëert een situatie waarbij aanpassingen aan </w:t>
      </w:r>
      <w:r w:rsidR="007A3D45">
        <w:rPr>
          <w:lang w:val="nl-BE"/>
        </w:rPr>
        <w:t xml:space="preserve">de installatie in </w:t>
      </w:r>
      <w:r w:rsidR="000219AC">
        <w:rPr>
          <w:lang w:val="nl-BE"/>
        </w:rPr>
        <w:t xml:space="preserve">beide </w:t>
      </w:r>
      <w:proofErr w:type="spellStart"/>
      <w:r w:rsidR="000219AC">
        <w:rPr>
          <w:lang w:val="nl-BE"/>
        </w:rPr>
        <w:t>MMP</w:t>
      </w:r>
      <w:r w:rsidR="003537E0">
        <w:rPr>
          <w:lang w:val="nl-BE"/>
        </w:rPr>
        <w:t>’</w:t>
      </w:r>
      <w:r w:rsidR="000219AC">
        <w:rPr>
          <w:lang w:val="nl-BE"/>
        </w:rPr>
        <w:t>s</w:t>
      </w:r>
      <w:proofErr w:type="spellEnd"/>
      <w:r w:rsidR="000219AC">
        <w:rPr>
          <w:lang w:val="nl-BE"/>
        </w:rPr>
        <w:t xml:space="preserve"> zullen moeten doorgevoerd worden</w:t>
      </w:r>
      <w:r w:rsidR="007A3D45">
        <w:rPr>
          <w:lang w:val="nl-BE"/>
        </w:rPr>
        <w:t xml:space="preserve"> via </w:t>
      </w:r>
      <w:proofErr w:type="spellStart"/>
      <w:r w:rsidR="007A3D45">
        <w:rPr>
          <w:lang w:val="nl-BE"/>
        </w:rPr>
        <w:t>SW’en</w:t>
      </w:r>
      <w:proofErr w:type="spellEnd"/>
      <w:r w:rsidR="007A3D45">
        <w:rPr>
          <w:lang w:val="nl-BE"/>
        </w:rPr>
        <w:t xml:space="preserve">, </w:t>
      </w:r>
      <w:proofErr w:type="spellStart"/>
      <w:r w:rsidR="007A3D45">
        <w:rPr>
          <w:lang w:val="nl-BE"/>
        </w:rPr>
        <w:t>NSW’en</w:t>
      </w:r>
      <w:proofErr w:type="spellEnd"/>
      <w:r w:rsidR="007A3D45">
        <w:rPr>
          <w:lang w:val="nl-BE"/>
        </w:rPr>
        <w:t xml:space="preserve"> en </w:t>
      </w:r>
      <w:proofErr w:type="spellStart"/>
      <w:r w:rsidR="007A3D45">
        <w:rPr>
          <w:lang w:val="nl-BE"/>
        </w:rPr>
        <w:t>TW’en</w:t>
      </w:r>
      <w:proofErr w:type="spellEnd"/>
      <w:r w:rsidR="000219AC">
        <w:rPr>
          <w:lang w:val="nl-BE"/>
        </w:rPr>
        <w:t>.</w:t>
      </w:r>
    </w:p>
    <w:p w14:paraId="4E5AFA64" w14:textId="143CB0AA" w:rsidR="000219AC" w:rsidRDefault="000219AC" w:rsidP="00483416">
      <w:pPr>
        <w:rPr>
          <w:lang w:val="nl-BE"/>
        </w:rPr>
      </w:pPr>
      <w:r>
        <w:rPr>
          <w:lang w:val="nl-BE"/>
        </w:rPr>
        <w:t>Om</w:t>
      </w:r>
      <w:r w:rsidR="003537E0">
        <w:rPr>
          <w:lang w:val="nl-BE"/>
        </w:rPr>
        <w:t>, waar mogelijk,</w:t>
      </w:r>
      <w:r>
        <w:rPr>
          <w:lang w:val="nl-BE"/>
        </w:rPr>
        <w:t xml:space="preserve"> een oplossing voor deze situatie te voorzien, geeft VEKA de mogelijkheid om in het MMP26-30 aan te duiden </w:t>
      </w:r>
      <w:r w:rsidR="00EF0598">
        <w:rPr>
          <w:lang w:val="nl-BE"/>
        </w:rPr>
        <w:t>of</w:t>
      </w:r>
      <w:r>
        <w:rPr>
          <w:lang w:val="nl-BE"/>
        </w:rPr>
        <w:t xml:space="preserve"> </w:t>
      </w:r>
      <w:r w:rsidR="00FB1AD3">
        <w:rPr>
          <w:lang w:val="nl-BE"/>
        </w:rPr>
        <w:t xml:space="preserve">dit </w:t>
      </w:r>
      <w:r w:rsidR="003537E0">
        <w:rPr>
          <w:lang w:val="nl-BE"/>
        </w:rPr>
        <w:t xml:space="preserve">nieuwe </w:t>
      </w:r>
      <w:r w:rsidR="00FB1AD3">
        <w:rPr>
          <w:lang w:val="nl-BE"/>
        </w:rPr>
        <w:t>MMP ook gebruikt kan worden voor de opmaak van het ALC-rapport van 2025.</w:t>
      </w:r>
      <w:r w:rsidR="0014377A">
        <w:rPr>
          <w:lang w:val="nl-BE"/>
        </w:rPr>
        <w:t xml:space="preserve"> De exploitant wordt gevraagd om hiervan zelf een inschatting te maken, die samen met het MMP zelf door het VBBV geverifieerd moet worden en door het VEKA worden goedgekeurd.</w:t>
      </w:r>
    </w:p>
    <w:p w14:paraId="0C5E4A5C" w14:textId="769831DA" w:rsidR="00FB1AD3" w:rsidRDefault="004634DB" w:rsidP="00483416">
      <w:pPr>
        <w:rPr>
          <w:lang w:val="nl-BE"/>
        </w:rPr>
      </w:pPr>
      <w:r>
        <w:rPr>
          <w:lang w:val="nl-BE"/>
        </w:rPr>
        <w:t>D</w:t>
      </w:r>
      <w:r w:rsidR="00DA0BD5">
        <w:rPr>
          <w:lang w:val="nl-BE"/>
        </w:rPr>
        <w:t>eze vraag kan gevonden worden in tabblad “</w:t>
      </w:r>
      <w:proofErr w:type="spellStart"/>
      <w:r w:rsidR="00DA0BD5">
        <w:rPr>
          <w:lang w:val="nl-BE"/>
        </w:rPr>
        <w:t>I_MSSpecific</w:t>
      </w:r>
      <w:proofErr w:type="spellEnd"/>
      <w:r w:rsidR="00DA0BD5">
        <w:rPr>
          <w:lang w:val="nl-BE"/>
        </w:rPr>
        <w:t>” van de nieuwe template van het MMP.</w:t>
      </w:r>
    </w:p>
    <w:p w14:paraId="2D39A5FF" w14:textId="6CEFB5C4" w:rsidR="00E344C1" w:rsidRDefault="00844E4C" w:rsidP="00483416">
      <w:pPr>
        <w:rPr>
          <w:lang w:val="nl-BE"/>
        </w:rPr>
      </w:pPr>
      <w:r>
        <w:rPr>
          <w:lang w:val="nl-BE"/>
        </w:rPr>
        <w:t xml:space="preserve">Voorbeelden waar het MMP26-30 </w:t>
      </w:r>
      <w:r>
        <w:rPr>
          <w:b/>
          <w:bCs/>
          <w:lang w:val="nl-BE"/>
        </w:rPr>
        <w:t xml:space="preserve">niet </w:t>
      </w:r>
      <w:r>
        <w:rPr>
          <w:lang w:val="nl-BE"/>
        </w:rPr>
        <w:t>gebruikt kan word</w:t>
      </w:r>
      <w:r w:rsidR="00E344C1">
        <w:rPr>
          <w:lang w:val="nl-BE"/>
        </w:rPr>
        <w:t>en voor de opmaak van het ALC</w:t>
      </w:r>
      <w:r w:rsidR="00924590">
        <w:rPr>
          <w:lang w:val="nl-BE"/>
        </w:rPr>
        <w:t xml:space="preserve">-rapport in </w:t>
      </w:r>
      <w:r w:rsidR="00E344C1">
        <w:rPr>
          <w:lang w:val="nl-BE"/>
        </w:rPr>
        <w:t>2025:</w:t>
      </w:r>
    </w:p>
    <w:p w14:paraId="457AD95A" w14:textId="56D6AD97" w:rsidR="00E344C1" w:rsidRDefault="00E344C1" w:rsidP="00E344C1">
      <w:pPr>
        <w:pStyle w:val="Lijstalinea"/>
        <w:numPr>
          <w:ilvl w:val="0"/>
          <w:numId w:val="38"/>
        </w:numPr>
        <w:rPr>
          <w:lang w:val="nl-BE"/>
        </w:rPr>
      </w:pPr>
      <w:r>
        <w:rPr>
          <w:lang w:val="nl-BE"/>
        </w:rPr>
        <w:t xml:space="preserve">Als er een impact is op de berekeningsmethode van </w:t>
      </w:r>
      <w:r w:rsidR="00922A22">
        <w:rPr>
          <w:lang w:val="nl-BE"/>
        </w:rPr>
        <w:t>activiteit</w:t>
      </w:r>
      <w:r w:rsidR="00236DDA">
        <w:rPr>
          <w:lang w:val="nl-BE"/>
        </w:rPr>
        <w:t xml:space="preserve">enniveaus van een </w:t>
      </w:r>
      <w:proofErr w:type="spellStart"/>
      <w:r w:rsidR="00236DDA">
        <w:rPr>
          <w:lang w:val="nl-BE"/>
        </w:rPr>
        <w:t>subinstallatie</w:t>
      </w:r>
      <w:proofErr w:type="spellEnd"/>
      <w:r w:rsidR="001728F4">
        <w:rPr>
          <w:lang w:val="nl-BE"/>
        </w:rPr>
        <w:t xml:space="preserve">, </w:t>
      </w:r>
      <w:proofErr w:type="spellStart"/>
      <w:r w:rsidR="001728F4">
        <w:rPr>
          <w:lang w:val="nl-BE"/>
        </w:rPr>
        <w:t>bvb</w:t>
      </w:r>
      <w:proofErr w:type="spellEnd"/>
      <w:r w:rsidR="001728F4">
        <w:rPr>
          <w:lang w:val="nl-BE"/>
        </w:rPr>
        <w:t xml:space="preserve"> een installatie die waterstof produceert </w:t>
      </w:r>
      <w:r w:rsidR="003537E0">
        <w:rPr>
          <w:lang w:val="nl-BE"/>
        </w:rPr>
        <w:t>a.d.h.v.</w:t>
      </w:r>
      <w:r w:rsidR="001728F4">
        <w:rPr>
          <w:lang w:val="nl-BE"/>
        </w:rPr>
        <w:t xml:space="preserve"> water-elektrolyse (die nu onder de waterstofbenchmark valt)</w:t>
      </w:r>
      <w:r w:rsidR="00397D5C">
        <w:rPr>
          <w:lang w:val="nl-BE"/>
        </w:rPr>
        <w:t xml:space="preserve"> of een installatie die warmte produceert </w:t>
      </w:r>
      <w:r w:rsidR="003537E0">
        <w:rPr>
          <w:lang w:val="nl-BE"/>
        </w:rPr>
        <w:t>a.d.h.v.</w:t>
      </w:r>
      <w:r w:rsidR="00397D5C">
        <w:rPr>
          <w:lang w:val="nl-BE"/>
        </w:rPr>
        <w:t xml:space="preserve"> elektriciteit</w:t>
      </w:r>
      <w:r w:rsidR="001728F4">
        <w:rPr>
          <w:lang w:val="nl-BE"/>
        </w:rPr>
        <w:t>;</w:t>
      </w:r>
    </w:p>
    <w:p w14:paraId="73A9451E" w14:textId="3A3BDF61" w:rsidR="001728F4" w:rsidRDefault="001728F4" w:rsidP="00E344C1">
      <w:pPr>
        <w:pStyle w:val="Lijstalinea"/>
        <w:numPr>
          <w:ilvl w:val="0"/>
          <w:numId w:val="38"/>
        </w:numPr>
        <w:rPr>
          <w:lang w:val="nl-BE"/>
        </w:rPr>
      </w:pPr>
      <w:r>
        <w:rPr>
          <w:lang w:val="nl-BE"/>
        </w:rPr>
        <w:t xml:space="preserve">Als een </w:t>
      </w:r>
      <w:proofErr w:type="spellStart"/>
      <w:r w:rsidR="00FD6BA3">
        <w:rPr>
          <w:lang w:val="nl-BE"/>
        </w:rPr>
        <w:t>subinstallatie</w:t>
      </w:r>
      <w:proofErr w:type="spellEnd"/>
      <w:r w:rsidR="00FD6BA3">
        <w:rPr>
          <w:lang w:val="nl-BE"/>
        </w:rPr>
        <w:t xml:space="preserve"> gesplitst of samengevoegd wordt door de nieuwe regels, bijvoorbeeld door een CBAM/niet-CBAM splitsing van de warmtebenchmark </w:t>
      </w:r>
      <w:proofErr w:type="spellStart"/>
      <w:r w:rsidR="00FD6BA3">
        <w:rPr>
          <w:lang w:val="nl-BE"/>
        </w:rPr>
        <w:t>subinstallatie</w:t>
      </w:r>
      <w:proofErr w:type="spellEnd"/>
      <w:r w:rsidR="00FD6BA3">
        <w:rPr>
          <w:lang w:val="nl-BE"/>
        </w:rPr>
        <w:t>;</w:t>
      </w:r>
    </w:p>
    <w:p w14:paraId="2D376D5E" w14:textId="3981CA83" w:rsidR="00FD6BA3" w:rsidRDefault="00924590" w:rsidP="00924590">
      <w:pPr>
        <w:rPr>
          <w:lang w:val="nl-BE"/>
        </w:rPr>
      </w:pPr>
      <w:r>
        <w:rPr>
          <w:lang w:val="nl-BE"/>
        </w:rPr>
        <w:t xml:space="preserve">Voorbeelden waar het MMP26-30 </w:t>
      </w:r>
      <w:r>
        <w:rPr>
          <w:b/>
          <w:bCs/>
          <w:lang w:val="nl-BE"/>
        </w:rPr>
        <w:t xml:space="preserve">wel </w:t>
      </w:r>
      <w:r>
        <w:rPr>
          <w:lang w:val="nl-BE"/>
        </w:rPr>
        <w:t>gebruikt kan worden voor de opmaak van het ALC-rapport in 2025:</w:t>
      </w:r>
    </w:p>
    <w:p w14:paraId="44589727" w14:textId="00549E86" w:rsidR="00924590" w:rsidRDefault="00924590" w:rsidP="00924590">
      <w:pPr>
        <w:pStyle w:val="Lijstalinea"/>
        <w:numPr>
          <w:ilvl w:val="0"/>
          <w:numId w:val="38"/>
        </w:numPr>
        <w:rPr>
          <w:lang w:val="nl-BE"/>
        </w:rPr>
      </w:pPr>
      <w:r>
        <w:rPr>
          <w:lang w:val="nl-BE"/>
        </w:rPr>
        <w:t xml:space="preserve">Een installatie met een productbenchmark </w:t>
      </w:r>
      <w:proofErr w:type="spellStart"/>
      <w:r>
        <w:rPr>
          <w:lang w:val="nl-BE"/>
        </w:rPr>
        <w:t>subinstallatie</w:t>
      </w:r>
      <w:proofErr w:type="spellEnd"/>
      <w:r>
        <w:rPr>
          <w:lang w:val="nl-BE"/>
        </w:rPr>
        <w:t xml:space="preserve"> </w:t>
      </w:r>
      <w:r w:rsidR="0083685D">
        <w:rPr>
          <w:lang w:val="nl-BE"/>
        </w:rPr>
        <w:t>uit de groep van productbenchmarks met uitwisselbaarheid</w:t>
      </w:r>
      <w:r w:rsidR="009F5CDC">
        <w:rPr>
          <w:lang w:val="nl-BE"/>
        </w:rPr>
        <w:t xml:space="preserve"> van brandstof en elektriciteit (aangezien het elektriciteitsgebruik nog steeds gemonitord moet worden volgens de nieuwe regels);</w:t>
      </w:r>
    </w:p>
    <w:p w14:paraId="3899C2ED" w14:textId="5E5319BE" w:rsidR="009F5CDC" w:rsidRDefault="009F5CDC" w:rsidP="00924590">
      <w:pPr>
        <w:pStyle w:val="Lijstalinea"/>
        <w:numPr>
          <w:ilvl w:val="0"/>
          <w:numId w:val="38"/>
        </w:numPr>
        <w:rPr>
          <w:lang w:val="nl-BE"/>
        </w:rPr>
      </w:pPr>
      <w:r>
        <w:rPr>
          <w:lang w:val="nl-BE"/>
        </w:rPr>
        <w:t xml:space="preserve">Een installatie met een procesemissie </w:t>
      </w:r>
      <w:proofErr w:type="spellStart"/>
      <w:r>
        <w:rPr>
          <w:lang w:val="nl-BE"/>
        </w:rPr>
        <w:t>subinstallatie</w:t>
      </w:r>
      <w:proofErr w:type="spellEnd"/>
      <w:r>
        <w:rPr>
          <w:lang w:val="nl-BE"/>
        </w:rPr>
        <w:t>. De</w:t>
      </w:r>
      <w:r w:rsidR="00DC3DC1">
        <w:rPr>
          <w:lang w:val="nl-BE"/>
        </w:rPr>
        <w:t xml:space="preserve"> hoeveelheid allocatie zal veranderen door de verandering van de multiplicator (97% naar 91%). Dit heeft, buiten op het rekenblad, geen impact op het MMP.</w:t>
      </w:r>
    </w:p>
    <w:p w14:paraId="3B7E8157" w14:textId="77777777" w:rsidR="00DC3DC1" w:rsidRDefault="00DC3DC1" w:rsidP="00DC3DC1">
      <w:pPr>
        <w:rPr>
          <w:lang w:val="nl-BE"/>
        </w:rPr>
      </w:pPr>
    </w:p>
    <w:p w14:paraId="7B961437" w14:textId="369CFBAE" w:rsidR="003537E0" w:rsidRDefault="00DC3DC1" w:rsidP="00DC3DC1">
      <w:pPr>
        <w:rPr>
          <w:lang w:val="nl-BE"/>
        </w:rPr>
      </w:pPr>
      <w:r>
        <w:rPr>
          <w:lang w:val="nl-BE"/>
        </w:rPr>
        <w:t xml:space="preserve">Bijkomend, in geval dat het MMP26-30 ook gebruikt kan worden voor de resterende jaren van de toewijzingsperiode 2021-2025, dient de naam van het MMP veranderd te worden naar </w:t>
      </w:r>
      <w:r>
        <w:rPr>
          <w:b/>
          <w:bCs/>
          <w:lang w:val="nl-BE"/>
        </w:rPr>
        <w:t>MMP</w:t>
      </w:r>
      <w:r w:rsidR="003537E0">
        <w:rPr>
          <w:b/>
          <w:bCs/>
          <w:lang w:val="nl-BE"/>
        </w:rPr>
        <w:t>24-30</w:t>
      </w:r>
      <w:r w:rsidR="003537E0">
        <w:rPr>
          <w:lang w:val="nl-BE"/>
        </w:rPr>
        <w:t>.</w:t>
      </w:r>
    </w:p>
    <w:p w14:paraId="67FA4401" w14:textId="58172B12" w:rsidR="003537E0" w:rsidRPr="003537E0" w:rsidRDefault="003537E0" w:rsidP="00DC3DC1">
      <w:pPr>
        <w:rPr>
          <w:lang w:val="nl-BE"/>
        </w:rPr>
      </w:pPr>
      <w:r>
        <w:rPr>
          <w:lang w:val="nl-BE"/>
        </w:rPr>
        <w:t xml:space="preserve">Voorbeeld: </w:t>
      </w:r>
      <w:r w:rsidRPr="001E069C">
        <w:rPr>
          <w:i/>
          <w:iCs/>
          <w:lang w:val="nl-BE"/>
        </w:rPr>
        <w:t>“VERCODE-MMP24-30-vs1.xlsx”</w:t>
      </w:r>
    </w:p>
    <w:p w14:paraId="7384BAF3" w14:textId="77777777" w:rsidR="00924590" w:rsidRPr="00924590" w:rsidRDefault="00924590" w:rsidP="00924590">
      <w:pPr>
        <w:rPr>
          <w:lang w:val="nl-BE"/>
        </w:rPr>
      </w:pPr>
    </w:p>
    <w:p w14:paraId="37714418" w14:textId="77777777" w:rsidR="00DA0BD5" w:rsidRPr="00483416" w:rsidRDefault="00DA0BD5" w:rsidP="001E069C">
      <w:pPr>
        <w:rPr>
          <w:lang w:val="nl-BE"/>
        </w:rPr>
      </w:pPr>
    </w:p>
    <w:p w14:paraId="527B041E" w14:textId="77777777" w:rsidR="003537E0" w:rsidRDefault="003537E0">
      <w:pPr>
        <w:rPr>
          <w:rFonts w:asciiTheme="majorHAnsi" w:eastAsiaTheme="majorEastAsia" w:hAnsiTheme="majorHAnsi" w:cstheme="majorBidi"/>
          <w:color w:val="2F5496" w:themeColor="accent1" w:themeShade="BF"/>
          <w:sz w:val="32"/>
          <w:szCs w:val="32"/>
          <w:lang w:val="nl-BE"/>
        </w:rPr>
      </w:pPr>
      <w:r>
        <w:rPr>
          <w:lang w:val="nl-BE"/>
        </w:rPr>
        <w:br w:type="page"/>
      </w:r>
    </w:p>
    <w:p w14:paraId="75119C9E" w14:textId="53C599D4" w:rsidR="00C64C29" w:rsidRPr="005364F7" w:rsidRDefault="00C64C29" w:rsidP="001E069C">
      <w:pPr>
        <w:pStyle w:val="Kop1"/>
        <w:numPr>
          <w:ilvl w:val="0"/>
          <w:numId w:val="35"/>
        </w:numPr>
        <w:rPr>
          <w:lang w:val="nl-BE"/>
        </w:rPr>
      </w:pPr>
      <w:bookmarkStart w:id="30" w:name="_Toc160465614"/>
      <w:r w:rsidRPr="005364F7">
        <w:rPr>
          <w:lang w:val="nl-BE"/>
        </w:rPr>
        <w:lastRenderedPageBreak/>
        <w:t>Verbetering gegevensbronnen</w:t>
      </w:r>
      <w:r w:rsidR="00B113E6" w:rsidRPr="005364F7">
        <w:rPr>
          <w:lang w:val="nl-BE"/>
        </w:rPr>
        <w:t xml:space="preserve"> en -methodieken</w:t>
      </w:r>
      <w:bookmarkEnd w:id="30"/>
    </w:p>
    <w:p w14:paraId="0DAA019C" w14:textId="77777777" w:rsidR="00C64C29" w:rsidRPr="005364F7" w:rsidRDefault="00C64C29" w:rsidP="005364F7">
      <w:pPr>
        <w:autoSpaceDE w:val="0"/>
        <w:autoSpaceDN w:val="0"/>
        <w:adjustRightInd w:val="0"/>
        <w:spacing w:after="0" w:line="240" w:lineRule="auto"/>
        <w:jc w:val="both"/>
        <w:rPr>
          <w:rFonts w:ascii="Arial" w:hAnsi="Arial" w:cs="Arial"/>
          <w:b/>
          <w:color w:val="1C1A15"/>
          <w:u w:val="single"/>
          <w:lang w:val="nl-BE"/>
        </w:rPr>
      </w:pPr>
    </w:p>
    <w:p w14:paraId="51A5F4F2" w14:textId="12EA129F" w:rsidR="008D04CC" w:rsidRPr="00DF4F6E" w:rsidRDefault="00B53355" w:rsidP="001E069C">
      <w:pPr>
        <w:pStyle w:val="Kop2"/>
        <w:numPr>
          <w:ilvl w:val="2"/>
          <w:numId w:val="35"/>
        </w:numPr>
        <w:rPr>
          <w:lang w:val="nl-BE"/>
        </w:rPr>
      </w:pPr>
      <w:bookmarkStart w:id="31" w:name="_Toc160465615"/>
      <w:r w:rsidRPr="00DF4F6E">
        <w:rPr>
          <w:lang w:val="nl-BE"/>
        </w:rPr>
        <w:t>Waaraan moeten meti</w:t>
      </w:r>
      <w:r w:rsidR="00535873" w:rsidRPr="00DF4F6E">
        <w:rPr>
          <w:lang w:val="nl-BE"/>
        </w:rPr>
        <w:t>ngen van gegevens voldoen en mag</w:t>
      </w:r>
      <w:r w:rsidRPr="00DF4F6E">
        <w:rPr>
          <w:lang w:val="nl-BE"/>
        </w:rPr>
        <w:t xml:space="preserve"> men hiervan afwijken?</w:t>
      </w:r>
      <w:bookmarkEnd w:id="31"/>
    </w:p>
    <w:p w14:paraId="488A7E1C" w14:textId="77777777" w:rsidR="00065231" w:rsidRPr="005364F7" w:rsidRDefault="00065231" w:rsidP="005364F7">
      <w:pPr>
        <w:autoSpaceDE w:val="0"/>
        <w:autoSpaceDN w:val="0"/>
        <w:adjustRightInd w:val="0"/>
        <w:spacing w:after="0" w:line="240" w:lineRule="auto"/>
        <w:jc w:val="both"/>
        <w:rPr>
          <w:rFonts w:ascii="Arial" w:hAnsi="Arial" w:cs="Arial"/>
          <w:color w:val="1C1A15"/>
          <w:lang w:val="nl-BE"/>
        </w:rPr>
      </w:pPr>
    </w:p>
    <w:p w14:paraId="0414CFC4" w14:textId="7AB75DBA" w:rsidR="00065231" w:rsidRPr="001E069C" w:rsidRDefault="00B113E6"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Artikel 7 van de Europese Free </w:t>
      </w:r>
      <w:proofErr w:type="spellStart"/>
      <w:r w:rsidRPr="001E069C">
        <w:rPr>
          <w:rFonts w:cstheme="minorHAnsi"/>
          <w:color w:val="1C1A15"/>
          <w:lang w:val="nl-BE"/>
        </w:rPr>
        <w:t>Allocation</w:t>
      </w:r>
      <w:proofErr w:type="spellEnd"/>
      <w:r w:rsidRPr="001E069C">
        <w:rPr>
          <w:rFonts w:cstheme="minorHAnsi"/>
          <w:color w:val="1C1A15"/>
          <w:lang w:val="nl-BE"/>
        </w:rPr>
        <w:t xml:space="preserve"> </w:t>
      </w:r>
      <w:proofErr w:type="spellStart"/>
      <w:r w:rsidRPr="001E069C">
        <w:rPr>
          <w:rFonts w:cstheme="minorHAnsi"/>
          <w:color w:val="1C1A15"/>
          <w:lang w:val="nl-BE"/>
        </w:rPr>
        <w:t>Regulation</w:t>
      </w:r>
      <w:proofErr w:type="spellEnd"/>
      <w:r w:rsidRPr="001E069C">
        <w:rPr>
          <w:rFonts w:cstheme="minorHAnsi"/>
          <w:color w:val="1C1A15"/>
          <w:lang w:val="nl-BE"/>
        </w:rPr>
        <w:t xml:space="preserve"> (of FAR) legt de beginselen vast voor de monitoring van gegevens voor de bepaling van de toewijzing onder het EU ETS. </w:t>
      </w:r>
      <w:r w:rsidR="008D04CC" w:rsidRPr="001E069C">
        <w:rPr>
          <w:rFonts w:cstheme="minorHAnsi"/>
          <w:color w:val="1C1A15"/>
          <w:lang w:val="nl-BE"/>
        </w:rPr>
        <w:t>De standaardregel is</w:t>
      </w:r>
      <w:r w:rsidR="00B53355" w:rsidRPr="001E069C">
        <w:rPr>
          <w:rFonts w:cstheme="minorHAnsi"/>
          <w:color w:val="1C1A15"/>
          <w:lang w:val="nl-BE"/>
        </w:rPr>
        <w:t xml:space="preserve"> </w:t>
      </w:r>
      <w:r w:rsidR="008D04CC" w:rsidRPr="001E069C">
        <w:rPr>
          <w:rFonts w:cstheme="minorHAnsi"/>
          <w:color w:val="1C1A15"/>
          <w:lang w:val="nl-BE"/>
        </w:rPr>
        <w:t xml:space="preserve">dat voor elke dataset </w:t>
      </w:r>
      <w:r w:rsidR="008D04CC" w:rsidRPr="001E069C">
        <w:rPr>
          <w:rFonts w:cstheme="minorHAnsi"/>
          <w:color w:val="1C1A15"/>
          <w:u w:val="single"/>
          <w:lang w:val="nl-BE"/>
        </w:rPr>
        <w:t>de meest nauwkeurige methodiek</w:t>
      </w:r>
      <w:r w:rsidR="008D04CC" w:rsidRPr="001E069C">
        <w:rPr>
          <w:rFonts w:cstheme="minorHAnsi"/>
          <w:color w:val="1C1A15"/>
          <w:lang w:val="nl-BE"/>
        </w:rPr>
        <w:t xml:space="preserve"> </w:t>
      </w:r>
      <w:r w:rsidR="004B3A5D" w:rsidRPr="001E069C">
        <w:rPr>
          <w:rFonts w:cstheme="minorHAnsi"/>
          <w:color w:val="1C1A15"/>
          <w:lang w:val="nl-BE"/>
        </w:rPr>
        <w:t xml:space="preserve">moet gebruikt </w:t>
      </w:r>
      <w:r w:rsidR="008D04CC" w:rsidRPr="001E069C">
        <w:rPr>
          <w:rFonts w:cstheme="minorHAnsi"/>
          <w:color w:val="1C1A15"/>
          <w:lang w:val="nl-BE"/>
        </w:rPr>
        <w:t>word</w:t>
      </w:r>
      <w:r w:rsidR="004B3A5D" w:rsidRPr="001E069C">
        <w:rPr>
          <w:rFonts w:cstheme="minorHAnsi"/>
          <w:color w:val="1C1A15"/>
          <w:lang w:val="nl-BE"/>
        </w:rPr>
        <w:t>en</w:t>
      </w:r>
      <w:r w:rsidR="008D04CC" w:rsidRPr="001E069C">
        <w:rPr>
          <w:rFonts w:cstheme="minorHAnsi"/>
          <w:color w:val="1C1A15"/>
          <w:lang w:val="nl-BE"/>
        </w:rPr>
        <w:t>. Per type dataset is een</w:t>
      </w:r>
      <w:r w:rsidR="00B53355" w:rsidRPr="001E069C">
        <w:rPr>
          <w:rFonts w:cstheme="minorHAnsi"/>
          <w:color w:val="1C1A15"/>
          <w:lang w:val="nl-BE"/>
        </w:rPr>
        <w:t xml:space="preserve"> </w:t>
      </w:r>
      <w:r w:rsidR="008D04CC" w:rsidRPr="001E069C">
        <w:rPr>
          <w:rFonts w:cstheme="minorHAnsi"/>
          <w:color w:val="1C1A15"/>
          <w:lang w:val="nl-BE"/>
        </w:rPr>
        <w:t xml:space="preserve">hiërarchie van methodieken opgenomen in punten 4.4 tot 4.6 van bijlage VII bij de </w:t>
      </w:r>
      <w:r w:rsidR="00932E65">
        <w:rPr>
          <w:rFonts w:cstheme="minorHAnsi"/>
          <w:color w:val="1C1A15"/>
          <w:lang w:val="nl-BE"/>
        </w:rPr>
        <w:t xml:space="preserve">herziene </w:t>
      </w:r>
      <w:r w:rsidR="008D04CC" w:rsidRPr="001E069C">
        <w:rPr>
          <w:rFonts w:cstheme="minorHAnsi"/>
          <w:color w:val="1C1A15"/>
          <w:lang w:val="nl-BE"/>
        </w:rPr>
        <w:t xml:space="preserve">FAR. </w:t>
      </w:r>
    </w:p>
    <w:p w14:paraId="3CAC235C" w14:textId="77777777" w:rsidR="00A66DA1" w:rsidRPr="001E069C" w:rsidRDefault="00A66DA1" w:rsidP="005364F7">
      <w:pPr>
        <w:autoSpaceDE w:val="0"/>
        <w:autoSpaceDN w:val="0"/>
        <w:adjustRightInd w:val="0"/>
        <w:spacing w:after="0" w:line="240" w:lineRule="auto"/>
        <w:jc w:val="both"/>
        <w:rPr>
          <w:rFonts w:cstheme="minorHAnsi"/>
          <w:color w:val="1C1A15"/>
          <w:lang w:val="nl-BE"/>
        </w:rPr>
      </w:pPr>
    </w:p>
    <w:p w14:paraId="2D7352A5" w14:textId="474E1180" w:rsidR="008D04CC" w:rsidRPr="001E069C" w:rsidRDefault="00B53355"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De metingen van gegevens moeten voldoen aan:</w:t>
      </w:r>
    </w:p>
    <w:p w14:paraId="3C363F83" w14:textId="6793AB65" w:rsidR="00B53355" w:rsidRPr="001E069C" w:rsidRDefault="00065231" w:rsidP="005364F7">
      <w:pPr>
        <w:pStyle w:val="Lijstalinea"/>
        <w:numPr>
          <w:ilvl w:val="0"/>
          <w:numId w:val="2"/>
        </w:numPr>
        <w:autoSpaceDE w:val="0"/>
        <w:autoSpaceDN w:val="0"/>
        <w:adjustRightInd w:val="0"/>
        <w:spacing w:after="0" w:line="240" w:lineRule="auto"/>
        <w:ind w:left="851" w:hanging="284"/>
        <w:jc w:val="both"/>
        <w:rPr>
          <w:rFonts w:cstheme="minorHAnsi"/>
          <w:color w:val="1C1A15"/>
          <w:lang w:val="nl-BE"/>
        </w:rPr>
      </w:pPr>
      <w:r w:rsidRPr="001E069C">
        <w:rPr>
          <w:rFonts w:cstheme="minorHAnsi"/>
          <w:b/>
          <w:color w:val="1C1A15"/>
          <w:lang w:val="nl-BE"/>
        </w:rPr>
        <w:t>4.4</w:t>
      </w:r>
      <w:r w:rsidR="00460085" w:rsidRPr="001E069C">
        <w:rPr>
          <w:rFonts w:cstheme="minorHAnsi"/>
          <w:b/>
          <w:color w:val="1C1A15"/>
          <w:lang w:val="nl-BE"/>
        </w:rPr>
        <w:t xml:space="preserve"> </w:t>
      </w:r>
      <w:r w:rsidRPr="001E069C">
        <w:rPr>
          <w:rFonts w:cstheme="minorHAnsi"/>
          <w:b/>
          <w:color w:val="1C1A15"/>
          <w:lang w:val="nl-BE"/>
        </w:rPr>
        <w:t>a</w:t>
      </w:r>
      <w:r w:rsidR="00460085" w:rsidRPr="001E069C">
        <w:rPr>
          <w:rFonts w:cstheme="minorHAnsi"/>
          <w:b/>
          <w:color w:val="1C1A15"/>
          <w:lang w:val="nl-BE"/>
        </w:rPr>
        <w:t>)</w:t>
      </w:r>
      <w:r w:rsidRPr="001E069C">
        <w:rPr>
          <w:rFonts w:cstheme="minorHAnsi"/>
          <w:b/>
          <w:color w:val="1C1A15"/>
          <w:lang w:val="nl-BE"/>
        </w:rPr>
        <w:t xml:space="preserve"> of </w:t>
      </w:r>
      <w:r w:rsidR="0040243A" w:rsidRPr="001E069C">
        <w:rPr>
          <w:rFonts w:cstheme="minorHAnsi"/>
          <w:b/>
          <w:color w:val="1C1A15"/>
          <w:lang w:val="nl-BE"/>
        </w:rPr>
        <w:t>4.4</w:t>
      </w:r>
      <w:r w:rsidR="00460085" w:rsidRPr="001E069C">
        <w:rPr>
          <w:rFonts w:cstheme="minorHAnsi"/>
          <w:b/>
          <w:color w:val="1C1A15"/>
          <w:lang w:val="nl-BE"/>
        </w:rPr>
        <w:t xml:space="preserve"> </w:t>
      </w:r>
      <w:r w:rsidRPr="001E069C">
        <w:rPr>
          <w:rFonts w:cstheme="minorHAnsi"/>
          <w:b/>
          <w:color w:val="1C1A15"/>
          <w:lang w:val="nl-BE"/>
        </w:rPr>
        <w:t>b</w:t>
      </w:r>
      <w:r w:rsidR="00460085" w:rsidRPr="001E069C">
        <w:rPr>
          <w:rFonts w:cstheme="minorHAnsi"/>
          <w:b/>
          <w:color w:val="1C1A15"/>
          <w:lang w:val="nl-BE"/>
        </w:rPr>
        <w:t>)</w:t>
      </w:r>
      <w:r w:rsidRPr="001E069C">
        <w:rPr>
          <w:rFonts w:cstheme="minorHAnsi"/>
          <w:color w:val="1C1A15"/>
          <w:lang w:val="nl-BE"/>
        </w:rPr>
        <w:t xml:space="preserve">: in geval van </w:t>
      </w:r>
      <w:r w:rsidRPr="001E069C">
        <w:rPr>
          <w:rFonts w:cstheme="minorHAnsi"/>
          <w:bCs/>
          <w:lang w:val="nl-BE"/>
        </w:rPr>
        <w:t>gegevensbronnen voor de kwantificering van materialen en brandstoffen (bv</w:t>
      </w:r>
      <w:r w:rsidR="004F6A0A" w:rsidRPr="001E069C">
        <w:rPr>
          <w:rFonts w:cstheme="minorHAnsi"/>
          <w:bCs/>
          <w:lang w:val="nl-BE"/>
        </w:rPr>
        <w:t>.</w:t>
      </w:r>
      <w:r w:rsidRPr="001E069C">
        <w:rPr>
          <w:rFonts w:cstheme="minorHAnsi"/>
          <w:bCs/>
          <w:lang w:val="nl-BE"/>
        </w:rPr>
        <w:t xml:space="preserve"> hoeveelheid</w:t>
      </w:r>
      <w:r w:rsidR="0040243A" w:rsidRPr="001E069C">
        <w:rPr>
          <w:rFonts w:cstheme="minorHAnsi"/>
          <w:bCs/>
          <w:lang w:val="nl-BE"/>
        </w:rPr>
        <w:t xml:space="preserve"> verbruikte</w:t>
      </w:r>
      <w:r w:rsidRPr="001E069C">
        <w:rPr>
          <w:rFonts w:cstheme="minorHAnsi"/>
          <w:bCs/>
          <w:lang w:val="nl-BE"/>
        </w:rPr>
        <w:t xml:space="preserve"> brandstof,</w:t>
      </w:r>
      <w:r w:rsidR="004F6A0A" w:rsidRPr="001E069C">
        <w:rPr>
          <w:rFonts w:cstheme="minorHAnsi"/>
          <w:bCs/>
          <w:lang w:val="nl-BE"/>
        </w:rPr>
        <w:t xml:space="preserve"> hoeveelheid geproduceerd product,</w:t>
      </w:r>
      <w:r w:rsidRPr="001E069C">
        <w:rPr>
          <w:rFonts w:cstheme="minorHAnsi"/>
          <w:bCs/>
          <w:lang w:val="nl-BE"/>
        </w:rPr>
        <w:t>…)</w:t>
      </w:r>
    </w:p>
    <w:p w14:paraId="573B7C5F" w14:textId="77777777" w:rsidR="003C204C" w:rsidRPr="001E069C" w:rsidRDefault="003C204C" w:rsidP="005364F7">
      <w:pPr>
        <w:pStyle w:val="Lijstalinea"/>
        <w:autoSpaceDE w:val="0"/>
        <w:autoSpaceDN w:val="0"/>
        <w:adjustRightInd w:val="0"/>
        <w:spacing w:after="0" w:line="240" w:lineRule="auto"/>
        <w:ind w:left="851"/>
        <w:jc w:val="both"/>
        <w:rPr>
          <w:rFonts w:cstheme="minorHAnsi"/>
          <w:color w:val="1C1A15"/>
          <w:lang w:val="nl-BE"/>
        </w:rPr>
      </w:pPr>
    </w:p>
    <w:p w14:paraId="082F4794" w14:textId="2723213A" w:rsidR="00065231" w:rsidRPr="001E069C" w:rsidRDefault="00065231" w:rsidP="005364F7">
      <w:pPr>
        <w:pStyle w:val="Lijstalinea"/>
        <w:numPr>
          <w:ilvl w:val="0"/>
          <w:numId w:val="2"/>
        </w:numPr>
        <w:autoSpaceDE w:val="0"/>
        <w:autoSpaceDN w:val="0"/>
        <w:adjustRightInd w:val="0"/>
        <w:spacing w:after="0" w:line="240" w:lineRule="auto"/>
        <w:ind w:left="851" w:hanging="284"/>
        <w:jc w:val="both"/>
        <w:rPr>
          <w:rFonts w:cstheme="minorHAnsi"/>
          <w:color w:val="1C1A15"/>
          <w:lang w:val="nl-BE"/>
        </w:rPr>
      </w:pPr>
      <w:r w:rsidRPr="001E069C">
        <w:rPr>
          <w:rFonts w:cstheme="minorHAnsi"/>
          <w:b/>
          <w:bCs/>
          <w:lang w:val="nl-BE"/>
        </w:rPr>
        <w:t>4.5</w:t>
      </w:r>
      <w:r w:rsidR="00460085" w:rsidRPr="001E069C">
        <w:rPr>
          <w:rFonts w:cstheme="minorHAnsi"/>
          <w:b/>
          <w:bCs/>
          <w:lang w:val="nl-BE"/>
        </w:rPr>
        <w:t xml:space="preserve"> </w:t>
      </w:r>
      <w:r w:rsidRPr="001E069C">
        <w:rPr>
          <w:rFonts w:cstheme="minorHAnsi"/>
          <w:b/>
          <w:bCs/>
          <w:lang w:val="nl-BE"/>
        </w:rPr>
        <w:t>a</w:t>
      </w:r>
      <w:r w:rsidR="00460085" w:rsidRPr="001E069C">
        <w:rPr>
          <w:rFonts w:cstheme="minorHAnsi"/>
          <w:b/>
          <w:bCs/>
          <w:lang w:val="nl-BE"/>
        </w:rPr>
        <w:t>)</w:t>
      </w:r>
      <w:r w:rsidRPr="001E069C">
        <w:rPr>
          <w:rFonts w:cstheme="minorHAnsi"/>
          <w:bCs/>
          <w:lang w:val="nl-BE"/>
        </w:rPr>
        <w:t>: in geval van gegevensbronnen voor de kwantificering van energiestromen (bv</w:t>
      </w:r>
      <w:r w:rsidR="0040243A" w:rsidRPr="001E069C">
        <w:rPr>
          <w:rFonts w:cstheme="minorHAnsi"/>
          <w:bCs/>
          <w:lang w:val="nl-BE"/>
        </w:rPr>
        <w:t>.</w:t>
      </w:r>
      <w:r w:rsidRPr="001E069C">
        <w:rPr>
          <w:rFonts w:cstheme="minorHAnsi"/>
          <w:bCs/>
          <w:lang w:val="nl-BE"/>
        </w:rPr>
        <w:t xml:space="preserve"> </w:t>
      </w:r>
      <w:r w:rsidR="0040243A" w:rsidRPr="001E069C">
        <w:rPr>
          <w:rFonts w:cstheme="minorHAnsi"/>
          <w:bCs/>
          <w:lang w:val="nl-BE"/>
        </w:rPr>
        <w:t xml:space="preserve">calorie- of </w:t>
      </w:r>
      <w:r w:rsidRPr="001E069C">
        <w:rPr>
          <w:rFonts w:cstheme="minorHAnsi"/>
          <w:bCs/>
          <w:lang w:val="nl-BE"/>
        </w:rPr>
        <w:t>warmtemeters</w:t>
      </w:r>
      <w:r w:rsidR="0040243A" w:rsidRPr="001E069C">
        <w:rPr>
          <w:rFonts w:cstheme="minorHAnsi"/>
          <w:bCs/>
          <w:lang w:val="nl-BE"/>
        </w:rPr>
        <w:t>,</w:t>
      </w:r>
      <w:r w:rsidRPr="001E069C">
        <w:rPr>
          <w:rFonts w:cstheme="minorHAnsi"/>
          <w:bCs/>
          <w:lang w:val="nl-BE"/>
        </w:rPr>
        <w:t xml:space="preserve"> enthalpiemeting</w:t>
      </w:r>
      <w:r w:rsidR="0040243A" w:rsidRPr="001E069C">
        <w:rPr>
          <w:rFonts w:cstheme="minorHAnsi"/>
          <w:bCs/>
          <w:lang w:val="nl-BE"/>
        </w:rPr>
        <w:t>en</w:t>
      </w:r>
      <w:r w:rsidRPr="001E069C">
        <w:rPr>
          <w:rFonts w:cstheme="minorHAnsi"/>
          <w:bCs/>
          <w:lang w:val="nl-BE"/>
        </w:rPr>
        <w:t xml:space="preserve"> van stoom of condensaat gekoppeld aan debietmeting</w:t>
      </w:r>
      <w:r w:rsidR="0040243A" w:rsidRPr="001E069C">
        <w:rPr>
          <w:rFonts w:cstheme="minorHAnsi"/>
          <w:bCs/>
          <w:lang w:val="nl-BE"/>
        </w:rPr>
        <w:t>,</w:t>
      </w:r>
      <w:r w:rsidRPr="001E069C">
        <w:rPr>
          <w:rFonts w:cstheme="minorHAnsi"/>
          <w:bCs/>
          <w:lang w:val="nl-BE"/>
        </w:rPr>
        <w:t>…)</w:t>
      </w:r>
    </w:p>
    <w:p w14:paraId="67333452" w14:textId="6DFA9AF3" w:rsidR="003C204C" w:rsidRPr="001E069C" w:rsidRDefault="003C204C" w:rsidP="005364F7">
      <w:pPr>
        <w:autoSpaceDE w:val="0"/>
        <w:autoSpaceDN w:val="0"/>
        <w:adjustRightInd w:val="0"/>
        <w:spacing w:after="0" w:line="240" w:lineRule="auto"/>
        <w:jc w:val="both"/>
        <w:rPr>
          <w:rFonts w:cstheme="minorHAnsi"/>
          <w:color w:val="1C1A15"/>
          <w:lang w:val="nl-BE"/>
        </w:rPr>
      </w:pPr>
    </w:p>
    <w:p w14:paraId="18D9BB14" w14:textId="09BE7841" w:rsidR="00065231" w:rsidRPr="001E069C" w:rsidRDefault="00065231" w:rsidP="005364F7">
      <w:pPr>
        <w:pStyle w:val="Lijstalinea"/>
        <w:numPr>
          <w:ilvl w:val="0"/>
          <w:numId w:val="2"/>
        </w:numPr>
        <w:autoSpaceDE w:val="0"/>
        <w:autoSpaceDN w:val="0"/>
        <w:adjustRightInd w:val="0"/>
        <w:spacing w:after="0" w:line="240" w:lineRule="auto"/>
        <w:ind w:left="851" w:hanging="284"/>
        <w:jc w:val="both"/>
        <w:rPr>
          <w:rFonts w:cstheme="minorHAnsi"/>
          <w:color w:val="1C1A15"/>
          <w:lang w:val="nl-BE"/>
        </w:rPr>
      </w:pPr>
      <w:r w:rsidRPr="001E069C">
        <w:rPr>
          <w:rFonts w:cstheme="minorHAnsi"/>
          <w:b/>
          <w:bCs/>
          <w:lang w:val="nl-BE"/>
        </w:rPr>
        <w:t>4.6</w:t>
      </w:r>
      <w:r w:rsidR="00460085" w:rsidRPr="001E069C">
        <w:rPr>
          <w:rFonts w:cstheme="minorHAnsi"/>
          <w:b/>
          <w:bCs/>
          <w:lang w:val="nl-BE"/>
        </w:rPr>
        <w:t xml:space="preserve"> </w:t>
      </w:r>
      <w:r w:rsidRPr="001E069C">
        <w:rPr>
          <w:rFonts w:cstheme="minorHAnsi"/>
          <w:b/>
          <w:bCs/>
          <w:lang w:val="nl-BE"/>
        </w:rPr>
        <w:t>a</w:t>
      </w:r>
      <w:r w:rsidR="00460085" w:rsidRPr="001E069C">
        <w:rPr>
          <w:rFonts w:cstheme="minorHAnsi"/>
          <w:b/>
          <w:bCs/>
          <w:lang w:val="nl-BE"/>
        </w:rPr>
        <w:t>)</w:t>
      </w:r>
      <w:r w:rsidRPr="001E069C">
        <w:rPr>
          <w:rFonts w:cstheme="minorHAnsi"/>
          <w:b/>
          <w:bCs/>
          <w:lang w:val="nl-BE"/>
        </w:rPr>
        <w:t xml:space="preserve"> of </w:t>
      </w:r>
      <w:r w:rsidR="0040243A" w:rsidRPr="001E069C">
        <w:rPr>
          <w:rFonts w:cstheme="minorHAnsi"/>
          <w:b/>
          <w:bCs/>
          <w:lang w:val="nl-BE"/>
        </w:rPr>
        <w:t>4.6</w:t>
      </w:r>
      <w:r w:rsidR="00460085" w:rsidRPr="001E069C">
        <w:rPr>
          <w:rFonts w:cstheme="minorHAnsi"/>
          <w:b/>
          <w:bCs/>
          <w:lang w:val="nl-BE"/>
        </w:rPr>
        <w:t xml:space="preserve"> </w:t>
      </w:r>
      <w:r w:rsidRPr="001E069C">
        <w:rPr>
          <w:rFonts w:cstheme="minorHAnsi"/>
          <w:b/>
          <w:bCs/>
          <w:lang w:val="nl-BE"/>
        </w:rPr>
        <w:t>b</w:t>
      </w:r>
      <w:r w:rsidR="00460085" w:rsidRPr="001E069C">
        <w:rPr>
          <w:rFonts w:cstheme="minorHAnsi"/>
          <w:b/>
          <w:bCs/>
          <w:lang w:val="nl-BE"/>
        </w:rPr>
        <w:t>)</w:t>
      </w:r>
      <w:r w:rsidRPr="001E069C">
        <w:rPr>
          <w:rFonts w:cstheme="minorHAnsi"/>
          <w:bCs/>
          <w:lang w:val="nl-BE"/>
        </w:rPr>
        <w:t>: in geval van gegevensbronnen voor materiaaleigenschappen (bv</w:t>
      </w:r>
      <w:r w:rsidR="00E210B2" w:rsidRPr="001E069C">
        <w:rPr>
          <w:rFonts w:cstheme="minorHAnsi"/>
          <w:bCs/>
          <w:lang w:val="nl-BE"/>
        </w:rPr>
        <w:t>.</w:t>
      </w:r>
      <w:r w:rsidRPr="001E069C">
        <w:rPr>
          <w:rFonts w:cstheme="minorHAnsi"/>
          <w:bCs/>
          <w:lang w:val="nl-BE"/>
        </w:rPr>
        <w:t xml:space="preserve"> concentratie, C-gehalte,…)</w:t>
      </w:r>
    </w:p>
    <w:p w14:paraId="7F8802B0" w14:textId="77777777" w:rsidR="00A66DA1" w:rsidRPr="001E069C" w:rsidRDefault="00A66DA1" w:rsidP="005364F7">
      <w:pPr>
        <w:pStyle w:val="Lijstalinea"/>
        <w:autoSpaceDE w:val="0"/>
        <w:autoSpaceDN w:val="0"/>
        <w:adjustRightInd w:val="0"/>
        <w:spacing w:after="0" w:line="240" w:lineRule="auto"/>
        <w:ind w:left="851"/>
        <w:jc w:val="both"/>
        <w:rPr>
          <w:rFonts w:cstheme="minorHAnsi"/>
          <w:color w:val="1C1A15"/>
          <w:lang w:val="nl-BE"/>
        </w:rPr>
      </w:pPr>
    </w:p>
    <w:p w14:paraId="0F9E75E8" w14:textId="6EDB6A22" w:rsidR="008D04CC" w:rsidRPr="001E069C" w:rsidRDefault="003C204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Indien hieraan niet voldaan wordt kan enkel e</w:t>
      </w:r>
      <w:r w:rsidR="008D04CC" w:rsidRPr="001E069C">
        <w:rPr>
          <w:rFonts w:cstheme="minorHAnsi"/>
          <w:color w:val="1C1A15"/>
          <w:lang w:val="nl-BE"/>
        </w:rPr>
        <w:t xml:space="preserve">en </w:t>
      </w:r>
      <w:r w:rsidR="008D04CC" w:rsidRPr="001E069C">
        <w:rPr>
          <w:rFonts w:cstheme="minorHAnsi"/>
          <w:color w:val="1C1A15"/>
          <w:u w:val="single"/>
          <w:lang w:val="nl-BE"/>
        </w:rPr>
        <w:t>afwijking</w:t>
      </w:r>
      <w:r w:rsidR="008D04CC" w:rsidRPr="001E069C">
        <w:rPr>
          <w:rFonts w:cstheme="minorHAnsi"/>
          <w:color w:val="1C1A15"/>
          <w:lang w:val="nl-BE"/>
        </w:rPr>
        <w:t xml:space="preserve"> toegestaan worden indien:</w:t>
      </w:r>
    </w:p>
    <w:p w14:paraId="1F65ADE3" w14:textId="77777777" w:rsidR="003C204C" w:rsidRPr="001E069C" w:rsidRDefault="003C204C" w:rsidP="005364F7">
      <w:pPr>
        <w:autoSpaceDE w:val="0"/>
        <w:autoSpaceDN w:val="0"/>
        <w:adjustRightInd w:val="0"/>
        <w:spacing w:after="0" w:line="240" w:lineRule="auto"/>
        <w:jc w:val="both"/>
        <w:rPr>
          <w:rFonts w:cstheme="minorHAnsi"/>
          <w:color w:val="1C1A15"/>
          <w:lang w:val="nl-BE"/>
        </w:rPr>
      </w:pPr>
    </w:p>
    <w:p w14:paraId="4D1E1109" w14:textId="5AB2A8D8" w:rsidR="003C6B07" w:rsidRPr="001E069C" w:rsidRDefault="00BA08DA" w:rsidP="005364F7">
      <w:pPr>
        <w:pStyle w:val="Lijstalinea"/>
        <w:numPr>
          <w:ilvl w:val="0"/>
          <w:numId w:val="1"/>
        </w:numPr>
        <w:autoSpaceDE w:val="0"/>
        <w:autoSpaceDN w:val="0"/>
        <w:adjustRightInd w:val="0"/>
        <w:spacing w:after="0" w:line="240" w:lineRule="auto"/>
        <w:ind w:left="851" w:hanging="284"/>
        <w:jc w:val="both"/>
        <w:rPr>
          <w:rFonts w:cstheme="minorHAnsi"/>
          <w:color w:val="1C1A15"/>
          <w:lang w:val="nl-BE"/>
        </w:rPr>
      </w:pPr>
      <w:r w:rsidRPr="001E069C">
        <w:rPr>
          <w:rFonts w:cstheme="minorHAnsi"/>
          <w:color w:val="1C1A15"/>
          <w:lang w:val="nl-BE"/>
        </w:rPr>
        <w:t>De</w:t>
      </w:r>
      <w:r w:rsidR="008D04CC" w:rsidRPr="001E069C">
        <w:rPr>
          <w:rFonts w:cstheme="minorHAnsi"/>
          <w:color w:val="1C1A15"/>
          <w:lang w:val="nl-BE"/>
        </w:rPr>
        <w:t xml:space="preserve"> exploitant kan aantonen dat de meest nauwkeurige methodiek </w:t>
      </w:r>
      <w:r w:rsidR="003C204C" w:rsidRPr="001E069C">
        <w:rPr>
          <w:rFonts w:cstheme="minorHAnsi"/>
          <w:color w:val="1C1A15"/>
          <w:lang w:val="nl-BE"/>
        </w:rPr>
        <w:t xml:space="preserve">– </w:t>
      </w:r>
      <w:r w:rsidR="008D04CC" w:rsidRPr="001E069C">
        <w:rPr>
          <w:rFonts w:cstheme="minorHAnsi"/>
          <w:color w:val="1C1A15"/>
          <w:lang w:val="nl-BE"/>
        </w:rPr>
        <w:t>d</w:t>
      </w:r>
      <w:r w:rsidR="00F17D1E" w:rsidRPr="001E069C">
        <w:rPr>
          <w:rFonts w:cstheme="minorHAnsi"/>
          <w:color w:val="1C1A15"/>
          <w:lang w:val="nl-BE"/>
        </w:rPr>
        <w:t>.i.</w:t>
      </w:r>
      <w:r w:rsidR="008D04CC" w:rsidRPr="001E069C">
        <w:rPr>
          <w:rFonts w:cstheme="minorHAnsi"/>
          <w:color w:val="1C1A15"/>
          <w:lang w:val="nl-BE"/>
        </w:rPr>
        <w:t xml:space="preserve"> 4.4</w:t>
      </w:r>
      <w:r w:rsidR="00F17D1E" w:rsidRPr="001E069C">
        <w:rPr>
          <w:rFonts w:cstheme="minorHAnsi"/>
          <w:color w:val="1C1A15"/>
          <w:lang w:val="nl-BE"/>
        </w:rPr>
        <w:t xml:space="preserve"> </w:t>
      </w:r>
      <w:r w:rsidR="008D04CC" w:rsidRPr="001E069C">
        <w:rPr>
          <w:rFonts w:cstheme="minorHAnsi"/>
          <w:color w:val="1C1A15"/>
          <w:lang w:val="nl-BE"/>
        </w:rPr>
        <w:t>a</w:t>
      </w:r>
      <w:r w:rsidR="00F17D1E" w:rsidRPr="001E069C">
        <w:rPr>
          <w:rFonts w:cstheme="minorHAnsi"/>
          <w:color w:val="1C1A15"/>
          <w:lang w:val="nl-BE"/>
        </w:rPr>
        <w:t>)</w:t>
      </w:r>
      <w:r w:rsidR="008D04CC" w:rsidRPr="001E069C">
        <w:rPr>
          <w:rFonts w:cstheme="minorHAnsi"/>
          <w:color w:val="1C1A15"/>
          <w:lang w:val="nl-BE"/>
        </w:rPr>
        <w:t xml:space="preserve"> of b</w:t>
      </w:r>
      <w:r w:rsidR="00F17D1E" w:rsidRPr="001E069C">
        <w:rPr>
          <w:rFonts w:cstheme="minorHAnsi"/>
          <w:color w:val="1C1A15"/>
          <w:lang w:val="nl-BE"/>
        </w:rPr>
        <w:t>)</w:t>
      </w:r>
      <w:r w:rsidR="008D04CC" w:rsidRPr="001E069C">
        <w:rPr>
          <w:rFonts w:cstheme="minorHAnsi"/>
          <w:color w:val="1C1A15"/>
          <w:lang w:val="nl-BE"/>
        </w:rPr>
        <w:t>; 4.5</w:t>
      </w:r>
      <w:r w:rsidR="00F17D1E" w:rsidRPr="001E069C">
        <w:rPr>
          <w:rFonts w:cstheme="minorHAnsi"/>
          <w:color w:val="1C1A15"/>
          <w:lang w:val="nl-BE"/>
        </w:rPr>
        <w:t xml:space="preserve"> </w:t>
      </w:r>
      <w:r w:rsidR="008D04CC" w:rsidRPr="001E069C">
        <w:rPr>
          <w:rFonts w:cstheme="minorHAnsi"/>
          <w:color w:val="1C1A15"/>
          <w:lang w:val="nl-BE"/>
        </w:rPr>
        <w:t>a</w:t>
      </w:r>
      <w:r w:rsidR="00F17D1E" w:rsidRPr="001E069C">
        <w:rPr>
          <w:rFonts w:cstheme="minorHAnsi"/>
          <w:color w:val="1C1A15"/>
          <w:lang w:val="nl-BE"/>
        </w:rPr>
        <w:t>)</w:t>
      </w:r>
      <w:r w:rsidR="008D04CC" w:rsidRPr="001E069C">
        <w:rPr>
          <w:rFonts w:cstheme="minorHAnsi"/>
          <w:color w:val="1C1A15"/>
          <w:lang w:val="nl-BE"/>
        </w:rPr>
        <w:t>; 4.6</w:t>
      </w:r>
      <w:r w:rsidR="00F17D1E" w:rsidRPr="001E069C">
        <w:rPr>
          <w:rFonts w:cstheme="minorHAnsi"/>
          <w:color w:val="1C1A15"/>
          <w:lang w:val="nl-BE"/>
        </w:rPr>
        <w:t xml:space="preserve"> </w:t>
      </w:r>
      <w:r w:rsidR="008D04CC" w:rsidRPr="001E069C">
        <w:rPr>
          <w:rFonts w:cstheme="minorHAnsi"/>
          <w:color w:val="1C1A15"/>
          <w:lang w:val="nl-BE"/>
        </w:rPr>
        <w:t>a</w:t>
      </w:r>
      <w:r w:rsidR="00F17D1E" w:rsidRPr="001E069C">
        <w:rPr>
          <w:rFonts w:cstheme="minorHAnsi"/>
          <w:color w:val="1C1A15"/>
          <w:lang w:val="nl-BE"/>
        </w:rPr>
        <w:t>)</w:t>
      </w:r>
      <w:r w:rsidR="008D04CC" w:rsidRPr="001E069C">
        <w:rPr>
          <w:rFonts w:cstheme="minorHAnsi"/>
          <w:color w:val="1C1A15"/>
          <w:lang w:val="nl-BE"/>
        </w:rPr>
        <w:t xml:space="preserve"> of b</w:t>
      </w:r>
      <w:r w:rsidR="00F17D1E" w:rsidRPr="001E069C">
        <w:rPr>
          <w:rFonts w:cstheme="minorHAnsi"/>
          <w:color w:val="1C1A15"/>
          <w:lang w:val="nl-BE"/>
        </w:rPr>
        <w:t>)</w:t>
      </w:r>
      <w:r w:rsidR="003C204C" w:rsidRPr="001E069C">
        <w:rPr>
          <w:rFonts w:cstheme="minorHAnsi"/>
          <w:color w:val="1C1A15"/>
          <w:lang w:val="nl-BE"/>
        </w:rPr>
        <w:t xml:space="preserve"> – </w:t>
      </w:r>
      <w:r w:rsidR="008D04CC" w:rsidRPr="001E069C">
        <w:rPr>
          <w:rFonts w:cstheme="minorHAnsi"/>
          <w:color w:val="1C1A15"/>
          <w:u w:val="single"/>
          <w:lang w:val="nl-BE"/>
        </w:rPr>
        <w:t>technisch onhaalbaar</w:t>
      </w:r>
      <w:r w:rsidR="008D04CC" w:rsidRPr="001E069C">
        <w:rPr>
          <w:rFonts w:cstheme="minorHAnsi"/>
          <w:color w:val="1C1A15"/>
          <w:lang w:val="nl-BE"/>
        </w:rPr>
        <w:t xml:space="preserve"> is of leidt tot </w:t>
      </w:r>
      <w:r w:rsidR="008D04CC" w:rsidRPr="001E069C">
        <w:rPr>
          <w:rFonts w:cstheme="minorHAnsi"/>
          <w:color w:val="1C1A15"/>
          <w:u w:val="single"/>
          <w:lang w:val="nl-BE"/>
        </w:rPr>
        <w:t>onredelijke kosten</w:t>
      </w:r>
      <w:r w:rsidR="008D04CC" w:rsidRPr="001E069C">
        <w:rPr>
          <w:rFonts w:cstheme="minorHAnsi"/>
          <w:color w:val="1C1A15"/>
          <w:lang w:val="nl-BE"/>
        </w:rPr>
        <w:t xml:space="preserve">. In dat geval mag de exploitant voor die dataset </w:t>
      </w:r>
      <w:r w:rsidR="00F17D1E" w:rsidRPr="001E069C">
        <w:rPr>
          <w:rFonts w:cstheme="minorHAnsi"/>
          <w:color w:val="1C1A15"/>
          <w:lang w:val="nl-BE"/>
        </w:rPr>
        <w:t>afdalen</w:t>
      </w:r>
      <w:r w:rsidR="008D04CC" w:rsidRPr="001E069C">
        <w:rPr>
          <w:rFonts w:cstheme="minorHAnsi"/>
          <w:color w:val="1C1A15"/>
          <w:lang w:val="nl-BE"/>
        </w:rPr>
        <w:t xml:space="preserve"> in de hiërarchie tot op de meest nauwkeurige methodiek die niet langer leidt tot technische onhaa</w:t>
      </w:r>
      <w:r w:rsidR="003C6B07" w:rsidRPr="001E069C">
        <w:rPr>
          <w:rFonts w:cstheme="minorHAnsi"/>
          <w:color w:val="1C1A15"/>
          <w:lang w:val="nl-BE"/>
        </w:rPr>
        <w:t>lbaarheid/</w:t>
      </w:r>
      <w:r w:rsidR="00FE793A" w:rsidRPr="001E069C">
        <w:rPr>
          <w:rFonts w:cstheme="minorHAnsi"/>
          <w:color w:val="1C1A15"/>
          <w:lang w:val="nl-BE"/>
        </w:rPr>
        <w:t xml:space="preserve"> </w:t>
      </w:r>
      <w:r w:rsidR="003C6B07" w:rsidRPr="001E069C">
        <w:rPr>
          <w:rFonts w:cstheme="minorHAnsi"/>
          <w:color w:val="1C1A15"/>
          <w:lang w:val="nl-BE"/>
        </w:rPr>
        <w:t>onredelijke kosten. Hierbij gelden volgende vaststellingen:</w:t>
      </w:r>
    </w:p>
    <w:p w14:paraId="15805240" w14:textId="1304463B" w:rsidR="008D04CC" w:rsidRPr="001E069C" w:rsidRDefault="003C6B07" w:rsidP="005364F7">
      <w:pPr>
        <w:pStyle w:val="Lijstalinea"/>
        <w:numPr>
          <w:ilvl w:val="1"/>
          <w:numId w:val="1"/>
        </w:numPr>
        <w:autoSpaceDE w:val="0"/>
        <w:autoSpaceDN w:val="0"/>
        <w:adjustRightInd w:val="0"/>
        <w:spacing w:after="0" w:line="240" w:lineRule="auto"/>
        <w:ind w:left="1418" w:hanging="284"/>
        <w:jc w:val="both"/>
        <w:rPr>
          <w:rFonts w:cstheme="minorHAnsi"/>
          <w:color w:val="1C1A15"/>
          <w:lang w:val="nl-BE"/>
        </w:rPr>
      </w:pPr>
      <w:r w:rsidRPr="001E069C">
        <w:rPr>
          <w:rFonts w:cstheme="minorHAnsi"/>
          <w:color w:val="1C1A15"/>
          <w:lang w:val="nl-BE"/>
        </w:rPr>
        <w:t>Aan 4.4</w:t>
      </w:r>
      <w:r w:rsidR="00FE793A" w:rsidRPr="001E069C">
        <w:rPr>
          <w:rFonts w:cstheme="minorHAnsi"/>
          <w:color w:val="1C1A15"/>
          <w:lang w:val="nl-BE"/>
        </w:rPr>
        <w:t xml:space="preserve"> </w:t>
      </w:r>
      <w:r w:rsidRPr="001E069C">
        <w:rPr>
          <w:rFonts w:cstheme="minorHAnsi"/>
          <w:color w:val="1C1A15"/>
          <w:lang w:val="nl-BE"/>
        </w:rPr>
        <w:t>a</w:t>
      </w:r>
      <w:r w:rsidR="00FE793A" w:rsidRPr="001E069C">
        <w:rPr>
          <w:rFonts w:cstheme="minorHAnsi"/>
          <w:color w:val="1C1A15"/>
          <w:lang w:val="nl-BE"/>
        </w:rPr>
        <w:t>)</w:t>
      </w:r>
      <w:r w:rsidRPr="001E069C">
        <w:rPr>
          <w:rFonts w:cstheme="minorHAnsi"/>
          <w:color w:val="1C1A15"/>
          <w:lang w:val="nl-BE"/>
        </w:rPr>
        <w:t xml:space="preserve"> kan enkel voldaan worden met gegeve</w:t>
      </w:r>
      <w:r w:rsidR="00FE793A" w:rsidRPr="001E069C">
        <w:rPr>
          <w:rFonts w:cstheme="minorHAnsi"/>
          <w:color w:val="1C1A15"/>
          <w:lang w:val="nl-BE"/>
        </w:rPr>
        <w:t>nsbronnen die in het monitoring</w:t>
      </w:r>
      <w:r w:rsidRPr="001E069C">
        <w:rPr>
          <w:rFonts w:cstheme="minorHAnsi"/>
          <w:color w:val="1C1A15"/>
          <w:lang w:val="nl-BE"/>
        </w:rPr>
        <w:t>plan</w:t>
      </w:r>
      <w:r w:rsidR="00F17D1E" w:rsidRPr="001E069C">
        <w:rPr>
          <w:rFonts w:cstheme="minorHAnsi"/>
          <w:color w:val="1C1A15"/>
          <w:lang w:val="nl-BE"/>
        </w:rPr>
        <w:t xml:space="preserve"> (vnl. brandstofmetingen)</w:t>
      </w:r>
      <w:r w:rsidRPr="001E069C">
        <w:rPr>
          <w:rFonts w:cstheme="minorHAnsi"/>
          <w:color w:val="1C1A15"/>
          <w:lang w:val="nl-BE"/>
        </w:rPr>
        <w:t xml:space="preserve"> staan</w:t>
      </w:r>
    </w:p>
    <w:p w14:paraId="0E962917" w14:textId="6B180258" w:rsidR="003C6B07" w:rsidRPr="001E069C" w:rsidRDefault="003C6B07" w:rsidP="005364F7">
      <w:pPr>
        <w:pStyle w:val="Lijstalinea"/>
        <w:numPr>
          <w:ilvl w:val="1"/>
          <w:numId w:val="1"/>
        </w:numPr>
        <w:autoSpaceDE w:val="0"/>
        <w:autoSpaceDN w:val="0"/>
        <w:adjustRightInd w:val="0"/>
        <w:spacing w:after="0" w:line="240" w:lineRule="auto"/>
        <w:ind w:left="1418" w:hanging="284"/>
        <w:jc w:val="both"/>
        <w:rPr>
          <w:rFonts w:cstheme="minorHAnsi"/>
          <w:color w:val="1C1A15"/>
          <w:lang w:val="nl-BE"/>
        </w:rPr>
      </w:pPr>
      <w:r w:rsidRPr="001E069C">
        <w:rPr>
          <w:rFonts w:cstheme="minorHAnsi"/>
          <w:color w:val="1C1A15"/>
          <w:lang w:val="nl-BE"/>
        </w:rPr>
        <w:t>Aan 4.5</w:t>
      </w:r>
      <w:r w:rsidR="00FE793A" w:rsidRPr="001E069C">
        <w:rPr>
          <w:rFonts w:cstheme="minorHAnsi"/>
          <w:color w:val="1C1A15"/>
          <w:lang w:val="nl-BE"/>
        </w:rPr>
        <w:t xml:space="preserve"> </w:t>
      </w:r>
      <w:r w:rsidRPr="001E069C">
        <w:rPr>
          <w:rFonts w:cstheme="minorHAnsi"/>
          <w:color w:val="1C1A15"/>
          <w:lang w:val="nl-BE"/>
        </w:rPr>
        <w:t>a</w:t>
      </w:r>
      <w:r w:rsidR="00FE793A" w:rsidRPr="001E069C">
        <w:rPr>
          <w:rFonts w:cstheme="minorHAnsi"/>
          <w:color w:val="1C1A15"/>
          <w:lang w:val="nl-BE"/>
        </w:rPr>
        <w:t>)</w:t>
      </w:r>
      <w:r w:rsidRPr="001E069C">
        <w:rPr>
          <w:rFonts w:cstheme="minorHAnsi"/>
          <w:color w:val="1C1A15"/>
          <w:lang w:val="nl-BE"/>
        </w:rPr>
        <w:t xml:space="preserve"> kan in Vlaanderen enkel voldaan worden met gegevensbronnen die onder controle van de VREG (bv</w:t>
      </w:r>
      <w:r w:rsidR="001C2D7B" w:rsidRPr="001E069C">
        <w:rPr>
          <w:rFonts w:cstheme="minorHAnsi"/>
          <w:color w:val="1C1A15"/>
          <w:lang w:val="nl-BE"/>
        </w:rPr>
        <w:t>.</w:t>
      </w:r>
      <w:r w:rsidRPr="001E069C">
        <w:rPr>
          <w:rFonts w:cstheme="minorHAnsi"/>
          <w:color w:val="1C1A15"/>
          <w:lang w:val="nl-BE"/>
        </w:rPr>
        <w:t xml:space="preserve"> </w:t>
      </w:r>
      <w:r w:rsidR="001C2D7B" w:rsidRPr="001E069C">
        <w:rPr>
          <w:rFonts w:cstheme="minorHAnsi"/>
          <w:color w:val="1C1A15"/>
          <w:lang w:val="nl-BE"/>
        </w:rPr>
        <w:t xml:space="preserve">voor </w:t>
      </w:r>
      <w:r w:rsidRPr="001E069C">
        <w:rPr>
          <w:rFonts w:cstheme="minorHAnsi"/>
          <w:color w:val="1C1A15"/>
          <w:lang w:val="nl-BE"/>
        </w:rPr>
        <w:t>WKK</w:t>
      </w:r>
      <w:r w:rsidR="001C2D7B" w:rsidRPr="001E069C">
        <w:rPr>
          <w:rFonts w:cstheme="minorHAnsi"/>
          <w:color w:val="1C1A15"/>
          <w:lang w:val="nl-BE"/>
        </w:rPr>
        <w:t xml:space="preserve"> warmte</w:t>
      </w:r>
      <w:r w:rsidRPr="001E069C">
        <w:rPr>
          <w:rFonts w:cstheme="minorHAnsi"/>
          <w:color w:val="1C1A15"/>
          <w:lang w:val="nl-BE"/>
        </w:rPr>
        <w:t>) vallen</w:t>
      </w:r>
    </w:p>
    <w:p w14:paraId="31B306A3" w14:textId="131ED4AB" w:rsidR="003C6B07" w:rsidRPr="001E069C" w:rsidRDefault="003C6B07" w:rsidP="005364F7">
      <w:pPr>
        <w:pStyle w:val="Lijstalinea"/>
        <w:numPr>
          <w:ilvl w:val="1"/>
          <w:numId w:val="1"/>
        </w:numPr>
        <w:autoSpaceDE w:val="0"/>
        <w:autoSpaceDN w:val="0"/>
        <w:adjustRightInd w:val="0"/>
        <w:spacing w:after="0" w:line="240" w:lineRule="auto"/>
        <w:ind w:left="1418" w:hanging="284"/>
        <w:jc w:val="both"/>
        <w:rPr>
          <w:rFonts w:cstheme="minorHAnsi"/>
          <w:color w:val="1C1A15"/>
          <w:lang w:val="nl-BE"/>
        </w:rPr>
      </w:pPr>
      <w:r w:rsidRPr="001E069C">
        <w:rPr>
          <w:rFonts w:cstheme="minorHAnsi"/>
          <w:color w:val="1C1A15"/>
          <w:lang w:val="nl-BE"/>
        </w:rPr>
        <w:t>Aan 4.6</w:t>
      </w:r>
      <w:r w:rsidR="00FE793A" w:rsidRPr="001E069C">
        <w:rPr>
          <w:rFonts w:cstheme="minorHAnsi"/>
          <w:color w:val="1C1A15"/>
          <w:lang w:val="nl-BE"/>
        </w:rPr>
        <w:t xml:space="preserve"> </w:t>
      </w:r>
      <w:r w:rsidRPr="001E069C">
        <w:rPr>
          <w:rFonts w:cstheme="minorHAnsi"/>
          <w:color w:val="1C1A15"/>
          <w:lang w:val="nl-BE"/>
        </w:rPr>
        <w:t>a</w:t>
      </w:r>
      <w:r w:rsidR="00FE793A" w:rsidRPr="001E069C">
        <w:rPr>
          <w:rFonts w:cstheme="minorHAnsi"/>
          <w:color w:val="1C1A15"/>
          <w:lang w:val="nl-BE"/>
        </w:rPr>
        <w:t>)</w:t>
      </w:r>
      <w:r w:rsidRPr="001E069C">
        <w:rPr>
          <w:rFonts w:cstheme="minorHAnsi"/>
          <w:color w:val="1C1A15"/>
          <w:lang w:val="nl-BE"/>
        </w:rPr>
        <w:t xml:space="preserve"> kan enkel voldaan worden met gegevensbronnen die in het monitoringplan staan</w:t>
      </w:r>
      <w:r w:rsidR="00065231" w:rsidRPr="001E069C">
        <w:rPr>
          <w:rFonts w:cstheme="minorHAnsi"/>
          <w:color w:val="1C1A15"/>
          <w:lang w:val="nl-BE"/>
        </w:rPr>
        <w:t xml:space="preserve"> (bv</w:t>
      </w:r>
      <w:r w:rsidR="001C2D7B" w:rsidRPr="001E069C">
        <w:rPr>
          <w:rFonts w:cstheme="minorHAnsi"/>
          <w:color w:val="1C1A15"/>
          <w:lang w:val="nl-BE"/>
        </w:rPr>
        <w:t>.</w:t>
      </w:r>
      <w:r w:rsidR="00065231" w:rsidRPr="001E069C">
        <w:rPr>
          <w:rFonts w:cstheme="minorHAnsi"/>
          <w:color w:val="1C1A15"/>
          <w:lang w:val="nl-BE"/>
        </w:rPr>
        <w:t xml:space="preserve"> in</w:t>
      </w:r>
      <w:r w:rsidR="001C2D7B" w:rsidRPr="001E069C">
        <w:rPr>
          <w:rFonts w:cstheme="minorHAnsi"/>
          <w:color w:val="1C1A15"/>
          <w:lang w:val="nl-BE"/>
        </w:rPr>
        <w:t>-line</w:t>
      </w:r>
      <w:r w:rsidR="00065231" w:rsidRPr="001E069C">
        <w:rPr>
          <w:rFonts w:cstheme="minorHAnsi"/>
          <w:color w:val="1C1A15"/>
          <w:lang w:val="nl-BE"/>
        </w:rPr>
        <w:t xml:space="preserve"> of </w:t>
      </w:r>
      <w:proofErr w:type="spellStart"/>
      <w:r w:rsidR="00065231" w:rsidRPr="001E069C">
        <w:rPr>
          <w:rFonts w:cstheme="minorHAnsi"/>
          <w:color w:val="1C1A15"/>
          <w:lang w:val="nl-BE"/>
        </w:rPr>
        <w:t>off</w:t>
      </w:r>
      <w:r w:rsidR="001C2D7B" w:rsidRPr="001E069C">
        <w:rPr>
          <w:rFonts w:cstheme="minorHAnsi"/>
          <w:color w:val="1C1A15"/>
          <w:lang w:val="nl-BE"/>
        </w:rPr>
        <w:t>-line</w:t>
      </w:r>
      <w:proofErr w:type="spellEnd"/>
      <w:r w:rsidR="00065231" w:rsidRPr="001E069C">
        <w:rPr>
          <w:rFonts w:cstheme="minorHAnsi"/>
          <w:color w:val="1C1A15"/>
          <w:lang w:val="nl-BE"/>
        </w:rPr>
        <w:t xml:space="preserve"> GC-analyse</w:t>
      </w:r>
      <w:r w:rsidR="00450631" w:rsidRPr="001E069C">
        <w:rPr>
          <w:rFonts w:cstheme="minorHAnsi"/>
          <w:color w:val="1C1A15"/>
          <w:lang w:val="nl-BE"/>
        </w:rPr>
        <w:t xml:space="preserve"> die aan tier 3 voldoet</w:t>
      </w:r>
      <w:r w:rsidR="00065231" w:rsidRPr="001E069C">
        <w:rPr>
          <w:rFonts w:cstheme="minorHAnsi"/>
          <w:color w:val="1C1A15"/>
          <w:lang w:val="nl-BE"/>
        </w:rPr>
        <w:t>)</w:t>
      </w:r>
    </w:p>
    <w:p w14:paraId="3C12664B" w14:textId="1EC6B258" w:rsidR="003C6B07" w:rsidRPr="001E069C" w:rsidRDefault="003C6B07" w:rsidP="005364F7">
      <w:pPr>
        <w:pStyle w:val="Default"/>
        <w:numPr>
          <w:ilvl w:val="1"/>
          <w:numId w:val="1"/>
        </w:numPr>
        <w:ind w:left="1418" w:hanging="284"/>
        <w:jc w:val="both"/>
        <w:rPr>
          <w:rFonts w:asciiTheme="minorHAnsi" w:hAnsiTheme="minorHAnsi" w:cstheme="minorHAnsi"/>
          <w:color w:val="1C1A15"/>
          <w:sz w:val="22"/>
          <w:szCs w:val="22"/>
          <w:lang w:val="nl-BE"/>
        </w:rPr>
      </w:pPr>
      <w:r w:rsidRPr="001E069C">
        <w:rPr>
          <w:rFonts w:asciiTheme="minorHAnsi" w:hAnsiTheme="minorHAnsi" w:cstheme="minorHAnsi"/>
          <w:color w:val="1C1A15"/>
          <w:sz w:val="22"/>
          <w:szCs w:val="22"/>
          <w:lang w:val="nl-BE"/>
        </w:rPr>
        <w:t>Aan 4.6</w:t>
      </w:r>
      <w:r w:rsidR="00FE793A" w:rsidRPr="001E069C">
        <w:rPr>
          <w:rFonts w:asciiTheme="minorHAnsi" w:hAnsiTheme="minorHAnsi" w:cstheme="minorHAnsi"/>
          <w:color w:val="1C1A15"/>
          <w:sz w:val="22"/>
          <w:szCs w:val="22"/>
          <w:lang w:val="nl-BE"/>
        </w:rPr>
        <w:t xml:space="preserve"> </w:t>
      </w:r>
      <w:r w:rsidRPr="001E069C">
        <w:rPr>
          <w:rFonts w:asciiTheme="minorHAnsi" w:hAnsiTheme="minorHAnsi" w:cstheme="minorHAnsi"/>
          <w:color w:val="1C1A15"/>
          <w:sz w:val="22"/>
          <w:szCs w:val="22"/>
          <w:lang w:val="nl-BE"/>
        </w:rPr>
        <w:t>b</w:t>
      </w:r>
      <w:r w:rsidR="00FE793A" w:rsidRPr="001E069C">
        <w:rPr>
          <w:rFonts w:asciiTheme="minorHAnsi" w:hAnsiTheme="minorHAnsi" w:cstheme="minorHAnsi"/>
          <w:color w:val="1C1A15"/>
          <w:sz w:val="22"/>
          <w:szCs w:val="22"/>
          <w:lang w:val="nl-BE"/>
        </w:rPr>
        <w:t>)</w:t>
      </w:r>
      <w:r w:rsidRPr="001E069C">
        <w:rPr>
          <w:rFonts w:asciiTheme="minorHAnsi" w:hAnsiTheme="minorHAnsi" w:cstheme="minorHAnsi"/>
          <w:color w:val="1C1A15"/>
          <w:sz w:val="22"/>
          <w:szCs w:val="22"/>
          <w:lang w:val="nl-BE"/>
        </w:rPr>
        <w:t xml:space="preserve"> kan men voor laboratoriumanalyses </w:t>
      </w:r>
      <w:r w:rsidR="00B53355" w:rsidRPr="001E069C">
        <w:rPr>
          <w:rFonts w:asciiTheme="minorHAnsi" w:hAnsiTheme="minorHAnsi" w:cstheme="minorHAnsi"/>
          <w:sz w:val="22"/>
          <w:szCs w:val="22"/>
          <w:lang w:val="nl-BE"/>
        </w:rPr>
        <w:t xml:space="preserve">(waaronder vochtgehalte, zuiverheidsgraad, concentratie, koolstofgehalte, </w:t>
      </w:r>
      <w:r w:rsidR="00B53355" w:rsidRPr="001E069C">
        <w:rPr>
          <w:rFonts w:asciiTheme="minorHAnsi" w:hAnsiTheme="minorHAnsi" w:cstheme="minorHAnsi"/>
          <w:color w:val="auto"/>
          <w:sz w:val="22"/>
          <w:szCs w:val="22"/>
          <w:lang w:val="nl-BE"/>
        </w:rPr>
        <w:t xml:space="preserve">biomassafractie, calorische </w:t>
      </w:r>
      <w:proofErr w:type="spellStart"/>
      <w:r w:rsidR="00B53355" w:rsidRPr="001E069C">
        <w:rPr>
          <w:rFonts w:asciiTheme="minorHAnsi" w:hAnsiTheme="minorHAnsi" w:cstheme="minorHAnsi"/>
          <w:color w:val="auto"/>
          <w:sz w:val="22"/>
          <w:szCs w:val="22"/>
          <w:lang w:val="nl-BE"/>
        </w:rPr>
        <w:t>onderwaarde</w:t>
      </w:r>
      <w:proofErr w:type="spellEnd"/>
      <w:r w:rsidR="00B53355" w:rsidRPr="001E069C">
        <w:rPr>
          <w:rFonts w:asciiTheme="minorHAnsi" w:hAnsiTheme="minorHAnsi" w:cstheme="minorHAnsi"/>
          <w:color w:val="auto"/>
          <w:sz w:val="22"/>
          <w:szCs w:val="22"/>
          <w:lang w:val="nl-BE"/>
        </w:rPr>
        <w:t xml:space="preserve"> en dichtheid van producten, materialen, brandstoffen of afgassen, of voor het vaststellen van correlaties tussen parameters voor het indirect bepalen van de vereiste gegevens) </w:t>
      </w:r>
      <w:r w:rsidRPr="001E069C">
        <w:rPr>
          <w:rFonts w:asciiTheme="minorHAnsi" w:hAnsiTheme="minorHAnsi" w:cstheme="minorHAnsi"/>
          <w:color w:val="1C1A15"/>
          <w:sz w:val="22"/>
          <w:szCs w:val="22"/>
          <w:lang w:val="nl-BE"/>
        </w:rPr>
        <w:t xml:space="preserve">voldoen indien deze uitgevoerd worden door een erkend laboratorium en met een frequentie zoals voorgeschreven in </w:t>
      </w:r>
      <w:r w:rsidR="00111D22">
        <w:rPr>
          <w:rFonts w:asciiTheme="minorHAnsi" w:hAnsiTheme="minorHAnsi" w:cstheme="minorHAnsi"/>
          <w:color w:val="1C1A15"/>
          <w:sz w:val="22"/>
          <w:szCs w:val="22"/>
          <w:lang w:val="nl-BE"/>
        </w:rPr>
        <w:t>a</w:t>
      </w:r>
      <w:r w:rsidRPr="001E069C">
        <w:rPr>
          <w:rFonts w:asciiTheme="minorHAnsi" w:hAnsiTheme="minorHAnsi" w:cstheme="minorHAnsi"/>
          <w:color w:val="1C1A15"/>
          <w:sz w:val="22"/>
          <w:szCs w:val="22"/>
          <w:lang w:val="nl-BE"/>
        </w:rPr>
        <w:t>rt</w:t>
      </w:r>
      <w:r w:rsidR="00111D22">
        <w:rPr>
          <w:rFonts w:asciiTheme="minorHAnsi" w:hAnsiTheme="minorHAnsi" w:cstheme="minorHAnsi"/>
          <w:color w:val="1C1A15"/>
          <w:sz w:val="22"/>
          <w:szCs w:val="22"/>
          <w:lang w:val="nl-BE"/>
        </w:rPr>
        <w:t>ikele</w:t>
      </w:r>
      <w:r w:rsidR="00432E18">
        <w:rPr>
          <w:rFonts w:asciiTheme="minorHAnsi" w:hAnsiTheme="minorHAnsi" w:cstheme="minorHAnsi"/>
          <w:color w:val="1C1A15"/>
          <w:sz w:val="22"/>
          <w:szCs w:val="22"/>
          <w:lang w:val="nl-BE"/>
        </w:rPr>
        <w:t>n</w:t>
      </w:r>
      <w:r w:rsidRPr="001E069C">
        <w:rPr>
          <w:rFonts w:asciiTheme="minorHAnsi" w:hAnsiTheme="minorHAnsi" w:cstheme="minorHAnsi"/>
          <w:color w:val="1C1A15"/>
          <w:sz w:val="22"/>
          <w:szCs w:val="22"/>
          <w:lang w:val="nl-BE"/>
        </w:rPr>
        <w:t xml:space="preserve"> 32</w:t>
      </w:r>
      <w:r w:rsidR="00432E18">
        <w:rPr>
          <w:rFonts w:asciiTheme="minorHAnsi" w:hAnsiTheme="minorHAnsi" w:cstheme="minorHAnsi"/>
          <w:color w:val="1C1A15"/>
          <w:sz w:val="22"/>
          <w:szCs w:val="22"/>
          <w:lang w:val="nl-BE"/>
        </w:rPr>
        <w:t xml:space="preserve"> tot en met </w:t>
      </w:r>
      <w:r w:rsidRPr="001E069C">
        <w:rPr>
          <w:rFonts w:asciiTheme="minorHAnsi" w:hAnsiTheme="minorHAnsi" w:cstheme="minorHAnsi"/>
          <w:color w:val="1C1A15"/>
          <w:sz w:val="22"/>
          <w:szCs w:val="22"/>
          <w:lang w:val="nl-BE"/>
        </w:rPr>
        <w:t>35 van de MRR</w:t>
      </w:r>
      <w:r w:rsidR="00B53355" w:rsidRPr="001E069C">
        <w:rPr>
          <w:rFonts w:asciiTheme="minorHAnsi" w:hAnsiTheme="minorHAnsi" w:cstheme="minorHAnsi"/>
          <w:color w:val="auto"/>
          <w:sz w:val="22"/>
          <w:szCs w:val="22"/>
          <w:lang w:val="nl-BE"/>
        </w:rPr>
        <w:t>. Indien er geen frequentie is</w:t>
      </w:r>
      <w:r w:rsidR="00432E18">
        <w:rPr>
          <w:rFonts w:asciiTheme="minorHAnsi" w:hAnsiTheme="minorHAnsi" w:cstheme="minorHAnsi"/>
          <w:color w:val="auto"/>
          <w:sz w:val="22"/>
          <w:szCs w:val="22"/>
          <w:lang w:val="nl-BE"/>
        </w:rPr>
        <w:t>,</w:t>
      </w:r>
      <w:r w:rsidR="00B53355" w:rsidRPr="001E069C">
        <w:rPr>
          <w:rFonts w:asciiTheme="minorHAnsi" w:hAnsiTheme="minorHAnsi" w:cstheme="minorHAnsi"/>
          <w:color w:val="auto"/>
          <w:sz w:val="22"/>
          <w:szCs w:val="22"/>
          <w:lang w:val="nl-BE"/>
        </w:rPr>
        <w:t xml:space="preserve"> </w:t>
      </w:r>
      <w:r w:rsidR="001C2D7B" w:rsidRPr="001E069C">
        <w:rPr>
          <w:rFonts w:asciiTheme="minorHAnsi" w:hAnsiTheme="minorHAnsi" w:cstheme="minorHAnsi"/>
          <w:color w:val="auto"/>
          <w:sz w:val="22"/>
          <w:szCs w:val="22"/>
          <w:lang w:val="nl-BE"/>
        </w:rPr>
        <w:t xml:space="preserve">zoals </w:t>
      </w:r>
      <w:r w:rsidR="00B53355" w:rsidRPr="001E069C">
        <w:rPr>
          <w:rFonts w:asciiTheme="minorHAnsi" w:hAnsiTheme="minorHAnsi" w:cstheme="minorHAnsi"/>
          <w:color w:val="auto"/>
          <w:sz w:val="22"/>
          <w:szCs w:val="22"/>
          <w:lang w:val="nl-BE"/>
        </w:rPr>
        <w:t xml:space="preserve">voorgeschreven in </w:t>
      </w:r>
      <w:r w:rsidR="00111D22">
        <w:rPr>
          <w:rFonts w:asciiTheme="minorHAnsi" w:hAnsiTheme="minorHAnsi" w:cstheme="minorHAnsi"/>
          <w:color w:val="auto"/>
          <w:sz w:val="22"/>
          <w:szCs w:val="22"/>
          <w:lang w:val="nl-BE"/>
        </w:rPr>
        <w:t>a</w:t>
      </w:r>
      <w:r w:rsidR="00B53355" w:rsidRPr="001E069C">
        <w:rPr>
          <w:rFonts w:asciiTheme="minorHAnsi" w:hAnsiTheme="minorHAnsi" w:cstheme="minorHAnsi"/>
          <w:color w:val="auto"/>
          <w:sz w:val="22"/>
          <w:szCs w:val="22"/>
          <w:lang w:val="nl-BE"/>
        </w:rPr>
        <w:t>rt</w:t>
      </w:r>
      <w:r w:rsidR="00432E18">
        <w:rPr>
          <w:rFonts w:asciiTheme="minorHAnsi" w:hAnsiTheme="minorHAnsi" w:cstheme="minorHAnsi"/>
          <w:color w:val="auto"/>
          <w:sz w:val="22"/>
          <w:szCs w:val="22"/>
          <w:lang w:val="nl-BE"/>
        </w:rPr>
        <w:t xml:space="preserve">ikelen </w:t>
      </w:r>
      <w:r w:rsidR="00B53355" w:rsidRPr="001E069C">
        <w:rPr>
          <w:rFonts w:asciiTheme="minorHAnsi" w:hAnsiTheme="minorHAnsi" w:cstheme="minorHAnsi"/>
          <w:color w:val="auto"/>
          <w:sz w:val="22"/>
          <w:szCs w:val="22"/>
          <w:lang w:val="nl-BE"/>
        </w:rPr>
        <w:t xml:space="preserve"> 32</w:t>
      </w:r>
      <w:r w:rsidR="00432E18">
        <w:rPr>
          <w:rFonts w:asciiTheme="minorHAnsi" w:hAnsiTheme="minorHAnsi" w:cstheme="minorHAnsi"/>
          <w:color w:val="auto"/>
          <w:sz w:val="22"/>
          <w:szCs w:val="22"/>
          <w:lang w:val="nl-BE"/>
        </w:rPr>
        <w:t xml:space="preserve"> tot en met</w:t>
      </w:r>
      <w:r w:rsidR="00B53355" w:rsidRPr="001E069C">
        <w:rPr>
          <w:rFonts w:asciiTheme="minorHAnsi" w:hAnsiTheme="minorHAnsi" w:cstheme="minorHAnsi"/>
          <w:color w:val="auto"/>
          <w:sz w:val="22"/>
          <w:szCs w:val="22"/>
          <w:lang w:val="nl-BE"/>
        </w:rPr>
        <w:t>35 MRR</w:t>
      </w:r>
      <w:r w:rsidR="00432E18">
        <w:rPr>
          <w:rFonts w:asciiTheme="minorHAnsi" w:hAnsiTheme="minorHAnsi" w:cstheme="minorHAnsi"/>
          <w:color w:val="auto"/>
          <w:sz w:val="22"/>
          <w:szCs w:val="22"/>
          <w:lang w:val="nl-BE"/>
        </w:rPr>
        <w:t>,</w:t>
      </w:r>
      <w:r w:rsidR="00B53355" w:rsidRPr="001E069C">
        <w:rPr>
          <w:rFonts w:asciiTheme="minorHAnsi" w:hAnsiTheme="minorHAnsi" w:cstheme="minorHAnsi"/>
          <w:color w:val="auto"/>
          <w:sz w:val="22"/>
          <w:szCs w:val="22"/>
          <w:lang w:val="nl-BE"/>
        </w:rPr>
        <w:t xml:space="preserve"> stelt de exploitant een frequentie voor en laat deze door </w:t>
      </w:r>
      <w:r w:rsidR="003E58FD">
        <w:rPr>
          <w:rFonts w:asciiTheme="minorHAnsi" w:hAnsiTheme="minorHAnsi" w:cstheme="minorHAnsi"/>
          <w:color w:val="auto"/>
          <w:sz w:val="22"/>
          <w:szCs w:val="22"/>
          <w:lang w:val="nl-BE"/>
        </w:rPr>
        <w:t xml:space="preserve">het </w:t>
      </w:r>
      <w:r w:rsidR="0067345A" w:rsidRPr="001E069C">
        <w:rPr>
          <w:rFonts w:asciiTheme="minorHAnsi" w:hAnsiTheme="minorHAnsi" w:cstheme="minorHAnsi"/>
          <w:color w:val="auto"/>
          <w:sz w:val="22"/>
          <w:szCs w:val="22"/>
          <w:lang w:val="nl-BE"/>
        </w:rPr>
        <w:t>VEKA</w:t>
      </w:r>
      <w:r w:rsidR="001C2D7B" w:rsidRPr="001E069C">
        <w:rPr>
          <w:rFonts w:asciiTheme="minorHAnsi" w:hAnsiTheme="minorHAnsi" w:cstheme="minorHAnsi"/>
          <w:color w:val="auto"/>
          <w:sz w:val="22"/>
          <w:szCs w:val="22"/>
          <w:lang w:val="nl-BE"/>
        </w:rPr>
        <w:t xml:space="preserve"> </w:t>
      </w:r>
      <w:r w:rsidR="00B53355" w:rsidRPr="001E069C">
        <w:rPr>
          <w:rFonts w:asciiTheme="minorHAnsi" w:hAnsiTheme="minorHAnsi" w:cstheme="minorHAnsi"/>
          <w:color w:val="auto"/>
          <w:sz w:val="22"/>
          <w:szCs w:val="22"/>
          <w:lang w:val="nl-BE"/>
        </w:rPr>
        <w:t>goedkeuren.</w:t>
      </w:r>
    </w:p>
    <w:p w14:paraId="2E8A8674" w14:textId="77777777" w:rsidR="00450631" w:rsidRPr="001E069C" w:rsidRDefault="00450631" w:rsidP="005364F7">
      <w:pPr>
        <w:pStyle w:val="Default"/>
        <w:jc w:val="both"/>
        <w:rPr>
          <w:rFonts w:asciiTheme="minorHAnsi" w:hAnsiTheme="minorHAnsi" w:cstheme="minorHAnsi"/>
          <w:color w:val="1C1A15"/>
          <w:sz w:val="22"/>
          <w:szCs w:val="22"/>
          <w:lang w:val="nl-BE"/>
        </w:rPr>
      </w:pPr>
    </w:p>
    <w:p w14:paraId="28EB253D" w14:textId="1FF42047" w:rsidR="008D04CC" w:rsidRPr="001E069C" w:rsidRDefault="00450631" w:rsidP="005364F7">
      <w:pPr>
        <w:pStyle w:val="Lijstalinea"/>
        <w:numPr>
          <w:ilvl w:val="0"/>
          <w:numId w:val="1"/>
        </w:numPr>
        <w:autoSpaceDE w:val="0"/>
        <w:autoSpaceDN w:val="0"/>
        <w:adjustRightInd w:val="0"/>
        <w:spacing w:after="0" w:line="240" w:lineRule="auto"/>
        <w:ind w:left="851" w:hanging="284"/>
        <w:jc w:val="both"/>
        <w:rPr>
          <w:rFonts w:cstheme="minorHAnsi"/>
          <w:color w:val="1C1A15"/>
          <w:lang w:val="nl-BE"/>
        </w:rPr>
      </w:pPr>
      <w:r w:rsidRPr="001E069C">
        <w:rPr>
          <w:rFonts w:cstheme="minorHAnsi"/>
          <w:color w:val="1C1A15"/>
          <w:lang w:val="nl-BE"/>
        </w:rPr>
        <w:t>De</w:t>
      </w:r>
      <w:r w:rsidR="008D04CC" w:rsidRPr="001E069C">
        <w:rPr>
          <w:rFonts w:cstheme="minorHAnsi"/>
          <w:color w:val="1C1A15"/>
          <w:lang w:val="nl-BE"/>
        </w:rPr>
        <w:t xml:space="preserve"> exploitant op basis van een vereenvoudigde onzekerheidsbeoordeling kan aantonen dat een methodiek die lager </w:t>
      </w:r>
      <w:r w:rsidR="00AC5FA3" w:rsidRPr="001E069C">
        <w:rPr>
          <w:rFonts w:cstheme="minorHAnsi"/>
          <w:color w:val="1C1A15"/>
          <w:lang w:val="nl-BE"/>
        </w:rPr>
        <w:t>in</w:t>
      </w:r>
      <w:r w:rsidR="008D04CC" w:rsidRPr="001E069C">
        <w:rPr>
          <w:rFonts w:cstheme="minorHAnsi"/>
          <w:color w:val="1C1A15"/>
          <w:lang w:val="nl-BE"/>
        </w:rPr>
        <w:t xml:space="preserve"> de hiërarchie staat een minstens even ho</w:t>
      </w:r>
      <w:r w:rsidRPr="001E069C">
        <w:rPr>
          <w:rFonts w:cstheme="minorHAnsi"/>
          <w:color w:val="1C1A15"/>
          <w:lang w:val="nl-BE"/>
        </w:rPr>
        <w:t>o</w:t>
      </w:r>
      <w:r w:rsidR="008D04CC" w:rsidRPr="001E069C">
        <w:rPr>
          <w:rFonts w:cstheme="minorHAnsi"/>
          <w:color w:val="1C1A15"/>
          <w:lang w:val="nl-BE"/>
        </w:rPr>
        <w:t xml:space="preserve">g nauwkeurigheidsniveau behaalt als de methodiek die bovenaan </w:t>
      </w:r>
      <w:r w:rsidR="00303E4D" w:rsidRPr="001E069C">
        <w:rPr>
          <w:rFonts w:cstheme="minorHAnsi"/>
          <w:color w:val="1C1A15"/>
          <w:lang w:val="nl-BE"/>
        </w:rPr>
        <w:t xml:space="preserve">in </w:t>
      </w:r>
      <w:r w:rsidR="008D04CC" w:rsidRPr="001E069C">
        <w:rPr>
          <w:rFonts w:cstheme="minorHAnsi"/>
          <w:color w:val="1C1A15"/>
          <w:lang w:val="nl-BE"/>
        </w:rPr>
        <w:t>de hiërarchie staat.</w:t>
      </w:r>
    </w:p>
    <w:p w14:paraId="60004E67" w14:textId="77777777" w:rsidR="008D04CC" w:rsidRPr="001E069C" w:rsidRDefault="008D04CC" w:rsidP="005364F7">
      <w:pPr>
        <w:autoSpaceDE w:val="0"/>
        <w:autoSpaceDN w:val="0"/>
        <w:adjustRightInd w:val="0"/>
        <w:spacing w:after="0" w:line="240" w:lineRule="auto"/>
        <w:jc w:val="both"/>
        <w:rPr>
          <w:rFonts w:cstheme="minorHAnsi"/>
          <w:color w:val="1C1A15"/>
          <w:lang w:val="nl-BE"/>
        </w:rPr>
      </w:pPr>
    </w:p>
    <w:p w14:paraId="4669009C" w14:textId="1E4661D7" w:rsidR="00A66DA1" w:rsidRPr="001E069C" w:rsidRDefault="00800753" w:rsidP="005364F7">
      <w:pPr>
        <w:pStyle w:val="Lijstalinea"/>
        <w:numPr>
          <w:ilvl w:val="0"/>
          <w:numId w:val="29"/>
        </w:numPr>
        <w:jc w:val="both"/>
        <w:rPr>
          <w:rFonts w:cstheme="minorHAnsi"/>
          <w:b/>
          <w:lang w:val="nl-BE"/>
        </w:rPr>
      </w:pPr>
      <w:r w:rsidRPr="001E069C">
        <w:rPr>
          <w:rFonts w:cstheme="minorHAnsi"/>
          <w:b/>
          <w:lang w:val="nl-BE"/>
        </w:rPr>
        <w:lastRenderedPageBreak/>
        <w:t>W</w:t>
      </w:r>
      <w:r w:rsidR="00CA3415" w:rsidRPr="001E069C">
        <w:rPr>
          <w:rFonts w:cstheme="minorHAnsi"/>
          <w:b/>
          <w:lang w:val="nl-BE"/>
        </w:rPr>
        <w:t xml:space="preserve">anneer een exploitant meent dat een methodiek lager in de hiërarchie leidt tot minstens even nauwkeurige resultaten moet er een vereenvoudigde onzekerheidsberekening ter onderbouwing toegevoegd worden.  </w:t>
      </w:r>
    </w:p>
    <w:p w14:paraId="34E19292" w14:textId="69C3C5EA" w:rsidR="00A66DA1" w:rsidRPr="005364F7" w:rsidRDefault="00A66DA1" w:rsidP="005364F7">
      <w:pPr>
        <w:autoSpaceDE w:val="0"/>
        <w:autoSpaceDN w:val="0"/>
        <w:adjustRightInd w:val="0"/>
        <w:spacing w:after="0" w:line="240" w:lineRule="auto"/>
        <w:jc w:val="both"/>
        <w:rPr>
          <w:rFonts w:ascii="Arial" w:hAnsi="Arial" w:cs="Arial"/>
          <w:color w:val="000000"/>
          <w:lang w:val="nl-BE"/>
        </w:rPr>
      </w:pPr>
    </w:p>
    <w:p w14:paraId="168C9686" w14:textId="77777777" w:rsidR="00303E4D" w:rsidRPr="005364F7" w:rsidRDefault="00303E4D" w:rsidP="005364F7">
      <w:pPr>
        <w:autoSpaceDE w:val="0"/>
        <w:autoSpaceDN w:val="0"/>
        <w:adjustRightInd w:val="0"/>
        <w:spacing w:after="0" w:line="240" w:lineRule="auto"/>
        <w:jc w:val="both"/>
        <w:rPr>
          <w:rFonts w:ascii="Arial" w:hAnsi="Arial" w:cs="Arial"/>
          <w:color w:val="000000"/>
          <w:lang w:val="nl-BE"/>
        </w:rPr>
      </w:pPr>
    </w:p>
    <w:p w14:paraId="7778C56F" w14:textId="5EBDF201" w:rsidR="00B53355" w:rsidRPr="005364F7" w:rsidRDefault="00B53355" w:rsidP="001E069C">
      <w:pPr>
        <w:pStyle w:val="Kop2"/>
        <w:numPr>
          <w:ilvl w:val="1"/>
          <w:numId w:val="35"/>
        </w:numPr>
        <w:rPr>
          <w:lang w:val="nl-BE"/>
        </w:rPr>
      </w:pPr>
      <w:bookmarkStart w:id="32" w:name="_Toc160465616"/>
      <w:r w:rsidRPr="001E069C">
        <w:t>Hoe stelt men technische onhaalbaarheid of onredelijke kosten</w:t>
      </w:r>
      <w:bookmarkEnd w:id="32"/>
      <w:r w:rsidRPr="001E069C">
        <w:t xml:space="preserve"> </w:t>
      </w:r>
      <w:bookmarkStart w:id="33" w:name="_Toc160465617"/>
      <w:r w:rsidRPr="005364F7">
        <w:rPr>
          <w:lang w:val="nl-BE"/>
        </w:rPr>
        <w:t>vast?</w:t>
      </w:r>
      <w:bookmarkEnd w:id="33"/>
    </w:p>
    <w:p w14:paraId="6F3B1E65" w14:textId="77777777" w:rsidR="00B53355" w:rsidRPr="001E069C" w:rsidRDefault="00B53355" w:rsidP="005364F7">
      <w:pPr>
        <w:autoSpaceDE w:val="0"/>
        <w:autoSpaceDN w:val="0"/>
        <w:adjustRightInd w:val="0"/>
        <w:spacing w:after="0" w:line="240" w:lineRule="auto"/>
        <w:jc w:val="both"/>
        <w:rPr>
          <w:rFonts w:cstheme="minorHAnsi"/>
          <w:color w:val="1C1A15"/>
          <w:lang w:val="nl-BE"/>
        </w:rPr>
      </w:pPr>
    </w:p>
    <w:p w14:paraId="4A09F842" w14:textId="402491FC" w:rsidR="008D04CC"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Sectie</w:t>
      </w:r>
      <w:r w:rsidR="0052231D" w:rsidRPr="001E069C">
        <w:rPr>
          <w:rFonts w:cstheme="minorHAnsi"/>
          <w:color w:val="1C1A15"/>
          <w:lang w:val="nl-BE"/>
        </w:rPr>
        <w:t>s 4.1 en</w:t>
      </w:r>
      <w:r w:rsidRPr="001E069C">
        <w:rPr>
          <w:rFonts w:cstheme="minorHAnsi"/>
          <w:color w:val="1C1A15"/>
          <w:lang w:val="nl-BE"/>
        </w:rPr>
        <w:t xml:space="preserve"> 4.2 van bijlage VII bij de </w:t>
      </w:r>
      <w:r w:rsidR="00932E65">
        <w:rPr>
          <w:rFonts w:cstheme="minorHAnsi"/>
          <w:color w:val="1C1A15"/>
          <w:lang w:val="nl-BE"/>
        </w:rPr>
        <w:t xml:space="preserve">herziene </w:t>
      </w:r>
      <w:r w:rsidRPr="001E069C">
        <w:rPr>
          <w:rFonts w:cstheme="minorHAnsi"/>
          <w:color w:val="1C1A15"/>
          <w:lang w:val="nl-BE"/>
        </w:rPr>
        <w:t xml:space="preserve">FAR en sectie 6.6.2 van </w:t>
      </w:r>
      <w:proofErr w:type="spellStart"/>
      <w:r w:rsidRPr="001E069C">
        <w:rPr>
          <w:rFonts w:cstheme="minorHAnsi"/>
          <w:color w:val="1C1A15"/>
          <w:lang w:val="nl-BE"/>
        </w:rPr>
        <w:t>G</w:t>
      </w:r>
      <w:r w:rsidR="00AB74E4" w:rsidRPr="001E069C">
        <w:rPr>
          <w:rFonts w:cstheme="minorHAnsi"/>
          <w:color w:val="1C1A15"/>
          <w:lang w:val="nl-BE"/>
        </w:rPr>
        <w:t>uidance</w:t>
      </w:r>
      <w:proofErr w:type="spellEnd"/>
      <w:r w:rsidR="00AB74E4" w:rsidRPr="001E069C">
        <w:rPr>
          <w:rFonts w:cstheme="minorHAnsi"/>
          <w:color w:val="1C1A15"/>
          <w:lang w:val="nl-BE"/>
        </w:rPr>
        <w:t xml:space="preserve"> </w:t>
      </w:r>
      <w:r w:rsidRPr="001E069C">
        <w:rPr>
          <w:rFonts w:cstheme="minorHAnsi"/>
          <w:color w:val="1C1A15"/>
          <w:lang w:val="nl-BE"/>
        </w:rPr>
        <w:t>D</w:t>
      </w:r>
      <w:r w:rsidR="00AB74E4" w:rsidRPr="001E069C">
        <w:rPr>
          <w:rFonts w:cstheme="minorHAnsi"/>
          <w:color w:val="1C1A15"/>
          <w:lang w:val="nl-BE"/>
        </w:rPr>
        <w:t xml:space="preserve">ocument </w:t>
      </w:r>
      <w:r w:rsidRPr="001E069C">
        <w:rPr>
          <w:rFonts w:cstheme="minorHAnsi"/>
          <w:color w:val="1C1A15"/>
          <w:lang w:val="nl-BE"/>
        </w:rPr>
        <w:t>5 bij de FAR bevatten verdere instructies</w:t>
      </w:r>
      <w:r w:rsidR="00B53355" w:rsidRPr="001E069C">
        <w:rPr>
          <w:rFonts w:cstheme="minorHAnsi"/>
          <w:color w:val="1C1A15"/>
          <w:lang w:val="nl-BE"/>
        </w:rPr>
        <w:t xml:space="preserve"> </w:t>
      </w:r>
      <w:r w:rsidRPr="001E069C">
        <w:rPr>
          <w:rFonts w:cstheme="minorHAnsi"/>
          <w:color w:val="1C1A15"/>
          <w:lang w:val="nl-BE"/>
        </w:rPr>
        <w:t>hoe technische onhaalbaarheid of onredelijke kosten moeten worden vastgesteld. In dit document</w:t>
      </w:r>
      <w:r w:rsidR="00B53355" w:rsidRPr="001E069C">
        <w:rPr>
          <w:rFonts w:cstheme="minorHAnsi"/>
          <w:color w:val="1C1A15"/>
          <w:lang w:val="nl-BE"/>
        </w:rPr>
        <w:t xml:space="preserve"> </w:t>
      </w:r>
      <w:r w:rsidRPr="001E069C">
        <w:rPr>
          <w:rFonts w:cstheme="minorHAnsi"/>
          <w:color w:val="1C1A15"/>
          <w:lang w:val="nl-BE"/>
        </w:rPr>
        <w:t>wordt deze informatie gebundeld en aangevuld met specifieke richtsnoeren hoe deze regels zullen</w:t>
      </w:r>
      <w:r w:rsidR="00B53355" w:rsidRPr="001E069C">
        <w:rPr>
          <w:rFonts w:cstheme="minorHAnsi"/>
          <w:color w:val="1C1A15"/>
          <w:lang w:val="nl-BE"/>
        </w:rPr>
        <w:t xml:space="preserve"> </w:t>
      </w:r>
      <w:r w:rsidRPr="001E069C">
        <w:rPr>
          <w:rFonts w:cstheme="minorHAnsi"/>
          <w:color w:val="1C1A15"/>
          <w:lang w:val="nl-BE"/>
        </w:rPr>
        <w:t>worden toegepast in het Vlaams</w:t>
      </w:r>
      <w:r w:rsidR="00753077">
        <w:rPr>
          <w:rFonts w:cstheme="minorHAnsi"/>
          <w:color w:val="1C1A15"/>
          <w:lang w:val="nl-BE"/>
        </w:rPr>
        <w:t>e</w:t>
      </w:r>
      <w:r w:rsidRPr="001E069C">
        <w:rPr>
          <w:rFonts w:cstheme="minorHAnsi"/>
          <w:color w:val="1C1A15"/>
          <w:lang w:val="nl-BE"/>
        </w:rPr>
        <w:t xml:space="preserve"> Gewest.</w:t>
      </w:r>
    </w:p>
    <w:p w14:paraId="3F32F073" w14:textId="3CA79226" w:rsidR="0015639D" w:rsidRPr="001E069C" w:rsidRDefault="0015639D"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Zowel bij technische onhaalbaarheid als bij onredelijke kosten maakt de exploitant een voorstel </w:t>
      </w:r>
      <w:r w:rsidR="00A66B0E" w:rsidRPr="001E069C">
        <w:rPr>
          <w:rFonts w:cstheme="minorHAnsi"/>
          <w:color w:val="1C1A15"/>
          <w:lang w:val="nl-BE"/>
        </w:rPr>
        <w:t xml:space="preserve">over </w:t>
      </w:r>
      <w:r w:rsidRPr="001E069C">
        <w:rPr>
          <w:rFonts w:cstheme="minorHAnsi"/>
          <w:color w:val="1C1A15"/>
          <w:lang w:val="nl-BE"/>
        </w:rPr>
        <w:t xml:space="preserve">aan </w:t>
      </w:r>
      <w:r w:rsidR="00A66B0E" w:rsidRPr="001E069C">
        <w:rPr>
          <w:rFonts w:cstheme="minorHAnsi"/>
          <w:color w:val="1C1A15"/>
          <w:lang w:val="nl-BE"/>
        </w:rPr>
        <w:t xml:space="preserve">het </w:t>
      </w:r>
      <w:r w:rsidR="00004CEA" w:rsidRPr="001E069C">
        <w:rPr>
          <w:rFonts w:cstheme="minorHAnsi"/>
          <w:color w:val="1C1A15"/>
          <w:lang w:val="nl-BE"/>
        </w:rPr>
        <w:t>VBBV/</w:t>
      </w:r>
      <w:r w:rsidR="00A41F03" w:rsidRPr="001E069C">
        <w:rPr>
          <w:rFonts w:cstheme="minorHAnsi"/>
          <w:color w:val="1C1A15"/>
          <w:lang w:val="nl-BE"/>
        </w:rPr>
        <w:t>VEKA</w:t>
      </w:r>
      <w:r w:rsidRPr="001E069C">
        <w:rPr>
          <w:rFonts w:cstheme="minorHAnsi"/>
          <w:color w:val="1C1A15"/>
          <w:lang w:val="nl-BE"/>
        </w:rPr>
        <w:t xml:space="preserve">. Indien </w:t>
      </w:r>
      <w:r w:rsidR="00011D73">
        <w:rPr>
          <w:rFonts w:cstheme="minorHAnsi"/>
          <w:color w:val="1C1A15"/>
          <w:lang w:val="nl-BE"/>
        </w:rPr>
        <w:t>VEKA</w:t>
      </w:r>
      <w:r w:rsidR="00011D73" w:rsidRPr="001E069C">
        <w:rPr>
          <w:rFonts w:cstheme="minorHAnsi"/>
          <w:color w:val="1C1A15"/>
          <w:lang w:val="nl-BE"/>
        </w:rPr>
        <w:t xml:space="preserve"> </w:t>
      </w:r>
      <w:r w:rsidRPr="001E069C">
        <w:rPr>
          <w:rFonts w:cstheme="minorHAnsi"/>
          <w:color w:val="1C1A15"/>
          <w:lang w:val="nl-BE"/>
        </w:rPr>
        <w:t>het voorstel goedkeurt</w:t>
      </w:r>
      <w:r w:rsidR="001615E1">
        <w:rPr>
          <w:rFonts w:cstheme="minorHAnsi"/>
          <w:color w:val="1C1A15"/>
          <w:lang w:val="nl-BE"/>
        </w:rPr>
        <w:t>,</w:t>
      </w:r>
      <w:r w:rsidRPr="001E069C">
        <w:rPr>
          <w:rFonts w:cstheme="minorHAnsi"/>
          <w:color w:val="1C1A15"/>
          <w:lang w:val="nl-BE"/>
        </w:rPr>
        <w:t xml:space="preserve"> is het aanvaard als afwijkende monitoringmethodiek.</w:t>
      </w:r>
    </w:p>
    <w:p w14:paraId="7C9B8833" w14:textId="77777777" w:rsidR="0052231D" w:rsidRPr="001E069C" w:rsidRDefault="0052231D" w:rsidP="005364F7">
      <w:pPr>
        <w:autoSpaceDE w:val="0"/>
        <w:autoSpaceDN w:val="0"/>
        <w:adjustRightInd w:val="0"/>
        <w:spacing w:after="0" w:line="240" w:lineRule="auto"/>
        <w:jc w:val="both"/>
        <w:rPr>
          <w:rFonts w:cstheme="minorHAnsi"/>
          <w:color w:val="1C1A15"/>
          <w:lang w:val="nl-BE"/>
        </w:rPr>
      </w:pPr>
    </w:p>
    <w:p w14:paraId="7B85E7A5" w14:textId="754193B9" w:rsidR="008D04CC" w:rsidRPr="00802946" w:rsidRDefault="00535873" w:rsidP="001E069C">
      <w:pPr>
        <w:pStyle w:val="Kop3"/>
        <w:numPr>
          <w:ilvl w:val="2"/>
          <w:numId w:val="35"/>
        </w:numPr>
        <w:rPr>
          <w:rFonts w:cstheme="minorHAnsi"/>
          <w:lang w:val="nl-BE"/>
        </w:rPr>
      </w:pPr>
      <w:bookmarkStart w:id="34" w:name="_Toc160465618"/>
      <w:r w:rsidRPr="001E069C">
        <w:rPr>
          <w:rFonts w:asciiTheme="minorHAnsi" w:hAnsiTheme="minorHAnsi" w:cstheme="minorHAnsi"/>
          <w:lang w:val="nl-BE"/>
        </w:rPr>
        <w:t>Toetsing v</w:t>
      </w:r>
      <w:r w:rsidR="008D04CC" w:rsidRPr="001E069C">
        <w:rPr>
          <w:rFonts w:asciiTheme="minorHAnsi" w:hAnsiTheme="minorHAnsi" w:cstheme="minorHAnsi"/>
          <w:lang w:val="nl-BE"/>
        </w:rPr>
        <w:t>an technische onhaalbaarheid</w:t>
      </w:r>
      <w:bookmarkEnd w:id="34"/>
    </w:p>
    <w:p w14:paraId="297090F8" w14:textId="77272ABD" w:rsidR="0052231D" w:rsidRPr="005364F7" w:rsidRDefault="0052231D" w:rsidP="005364F7">
      <w:pPr>
        <w:autoSpaceDE w:val="0"/>
        <w:autoSpaceDN w:val="0"/>
        <w:adjustRightInd w:val="0"/>
        <w:spacing w:after="0" w:line="240" w:lineRule="auto"/>
        <w:jc w:val="both"/>
        <w:rPr>
          <w:rFonts w:ascii="Arial" w:hAnsi="Arial" w:cs="Arial"/>
          <w:color w:val="1C1A15"/>
          <w:lang w:val="nl-BE"/>
        </w:rPr>
      </w:pPr>
    </w:p>
    <w:p w14:paraId="48981574" w14:textId="5C4C1E7B" w:rsidR="0052231D" w:rsidRPr="001E069C" w:rsidRDefault="0052231D"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Sectie 4.1 van bijlage VII bij de </w:t>
      </w:r>
      <w:r w:rsidR="00582633">
        <w:rPr>
          <w:rFonts w:cstheme="minorHAnsi"/>
          <w:color w:val="1C1A15"/>
          <w:lang w:val="nl-BE"/>
        </w:rPr>
        <w:t xml:space="preserve">herziene </w:t>
      </w:r>
      <w:r w:rsidRPr="001E069C">
        <w:rPr>
          <w:rFonts w:cstheme="minorHAnsi"/>
          <w:color w:val="1C1A15"/>
          <w:lang w:val="nl-BE"/>
        </w:rPr>
        <w:t xml:space="preserve">FAR beschrijft de voorwaarden waarop de exploitant kan terugvallen om aan </w:t>
      </w:r>
      <w:r w:rsidR="00B17436">
        <w:rPr>
          <w:rFonts w:cstheme="minorHAnsi"/>
          <w:color w:val="1C1A15"/>
          <w:lang w:val="nl-BE"/>
        </w:rPr>
        <w:t>het VBBV/VEKA</w:t>
      </w:r>
      <w:r w:rsidRPr="001E069C">
        <w:rPr>
          <w:rFonts w:cstheme="minorHAnsi"/>
          <w:color w:val="1C1A15"/>
          <w:lang w:val="nl-BE"/>
        </w:rPr>
        <w:t xml:space="preserve"> aan te tonen dat een </w:t>
      </w:r>
      <w:r w:rsidR="00AB74E4" w:rsidRPr="001E069C">
        <w:rPr>
          <w:rFonts w:cstheme="minorHAnsi"/>
          <w:color w:val="1C1A15"/>
          <w:lang w:val="nl-BE"/>
        </w:rPr>
        <w:t xml:space="preserve">vereiste </w:t>
      </w:r>
      <w:r w:rsidRPr="001E069C">
        <w:rPr>
          <w:rFonts w:cstheme="minorHAnsi"/>
          <w:color w:val="1C1A15"/>
          <w:lang w:val="nl-BE"/>
        </w:rPr>
        <w:t xml:space="preserve">monitoringmethodiek technisch onhaalbaar is. </w:t>
      </w:r>
    </w:p>
    <w:p w14:paraId="4426CD25" w14:textId="77777777" w:rsidR="00A66B0E" w:rsidRPr="001E069C" w:rsidRDefault="00A66B0E" w:rsidP="005364F7">
      <w:pPr>
        <w:autoSpaceDE w:val="0"/>
        <w:autoSpaceDN w:val="0"/>
        <w:adjustRightInd w:val="0"/>
        <w:spacing w:after="0" w:line="240" w:lineRule="auto"/>
        <w:jc w:val="both"/>
        <w:rPr>
          <w:rFonts w:cstheme="minorHAnsi"/>
          <w:color w:val="1C1A15"/>
          <w:lang w:val="nl-BE"/>
        </w:rPr>
      </w:pPr>
    </w:p>
    <w:p w14:paraId="422A2CF3" w14:textId="26217215" w:rsidR="008D04CC"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In </w:t>
      </w:r>
      <w:proofErr w:type="spellStart"/>
      <w:r w:rsidRPr="001E069C">
        <w:rPr>
          <w:rFonts w:cstheme="minorHAnsi"/>
          <w:color w:val="1C1A15"/>
          <w:lang w:val="nl-BE"/>
        </w:rPr>
        <w:t>Guidance</w:t>
      </w:r>
      <w:proofErr w:type="spellEnd"/>
      <w:r w:rsidRPr="001E069C">
        <w:rPr>
          <w:rFonts w:cstheme="minorHAnsi"/>
          <w:color w:val="1C1A15"/>
          <w:lang w:val="nl-BE"/>
        </w:rPr>
        <w:t xml:space="preserve"> Document 5</w:t>
      </w:r>
      <w:r w:rsidR="00383079">
        <w:rPr>
          <w:rStyle w:val="Voetnootmarkering"/>
          <w:rFonts w:cstheme="minorHAnsi"/>
          <w:color w:val="1C1A15"/>
          <w:lang w:val="nl-BE"/>
        </w:rPr>
        <w:footnoteReference w:id="10"/>
      </w:r>
      <w:r w:rsidRPr="001E069C">
        <w:rPr>
          <w:rFonts w:cstheme="minorHAnsi"/>
          <w:color w:val="1C1A15"/>
          <w:lang w:val="nl-BE"/>
        </w:rPr>
        <w:t xml:space="preserve"> bij de </w:t>
      </w:r>
      <w:r w:rsidR="00582633">
        <w:rPr>
          <w:rFonts w:cstheme="minorHAnsi"/>
          <w:color w:val="1C1A15"/>
          <w:lang w:val="nl-BE"/>
        </w:rPr>
        <w:t>herziene</w:t>
      </w:r>
      <w:r>
        <w:rPr>
          <w:rFonts w:cstheme="minorHAnsi"/>
          <w:color w:val="1C1A15"/>
          <w:lang w:val="nl-BE"/>
        </w:rPr>
        <w:t xml:space="preserve"> </w:t>
      </w:r>
      <w:r w:rsidRPr="001E069C">
        <w:rPr>
          <w:rFonts w:cstheme="minorHAnsi"/>
          <w:color w:val="1C1A15"/>
          <w:lang w:val="nl-BE"/>
        </w:rPr>
        <w:t xml:space="preserve">FAR wordt </w:t>
      </w:r>
      <w:r w:rsidR="0052231D" w:rsidRPr="001E069C">
        <w:rPr>
          <w:rFonts w:cstheme="minorHAnsi"/>
          <w:color w:val="1C1A15"/>
          <w:lang w:val="nl-BE"/>
        </w:rPr>
        <w:t xml:space="preserve">dan </w:t>
      </w:r>
      <w:r w:rsidRPr="001E069C">
        <w:rPr>
          <w:rFonts w:cstheme="minorHAnsi"/>
          <w:color w:val="1C1A15"/>
          <w:lang w:val="nl-BE"/>
        </w:rPr>
        <w:t>toegelicht dat typische gevallen van technische</w:t>
      </w:r>
      <w:r w:rsidR="0052231D" w:rsidRPr="001E069C">
        <w:rPr>
          <w:rFonts w:cstheme="minorHAnsi"/>
          <w:color w:val="1C1A15"/>
          <w:lang w:val="nl-BE"/>
        </w:rPr>
        <w:t xml:space="preserve"> </w:t>
      </w:r>
      <w:r w:rsidRPr="001E069C">
        <w:rPr>
          <w:rFonts w:cstheme="minorHAnsi"/>
          <w:color w:val="1C1A15"/>
          <w:lang w:val="nl-BE"/>
        </w:rPr>
        <w:t>onhaalbaarheid voorkomen in één van de volgende gevallen:</w:t>
      </w:r>
    </w:p>
    <w:p w14:paraId="35C72F26" w14:textId="4DCED70A" w:rsidR="008D04CC" w:rsidRPr="001E069C" w:rsidRDefault="008D04CC" w:rsidP="005364F7">
      <w:pPr>
        <w:pStyle w:val="Lijstalinea"/>
        <w:numPr>
          <w:ilvl w:val="1"/>
          <w:numId w:val="3"/>
        </w:numPr>
        <w:autoSpaceDE w:val="0"/>
        <w:autoSpaceDN w:val="0"/>
        <w:adjustRightInd w:val="0"/>
        <w:spacing w:after="0" w:line="240" w:lineRule="auto"/>
        <w:ind w:left="851" w:hanging="284"/>
        <w:jc w:val="both"/>
        <w:rPr>
          <w:rFonts w:cstheme="minorHAnsi"/>
          <w:color w:val="1C1A15"/>
          <w:lang w:val="nl-BE"/>
        </w:rPr>
      </w:pPr>
      <w:r w:rsidRPr="001E069C">
        <w:rPr>
          <w:rFonts w:cstheme="minorHAnsi"/>
          <w:color w:val="1C1A15"/>
          <w:lang w:val="nl-BE"/>
        </w:rPr>
        <w:t>Er is onvoldoende ruimte beschikbaar binnen de installatie om een bepaald meetinstrument</w:t>
      </w:r>
      <w:r w:rsidR="00535873" w:rsidRPr="001E069C">
        <w:rPr>
          <w:rFonts w:cstheme="minorHAnsi"/>
          <w:color w:val="1C1A15"/>
          <w:lang w:val="nl-BE"/>
        </w:rPr>
        <w:t xml:space="preserve"> te installeren;</w:t>
      </w:r>
    </w:p>
    <w:p w14:paraId="75998056" w14:textId="131C785F" w:rsidR="00535873" w:rsidRPr="001E069C" w:rsidRDefault="00535873" w:rsidP="005364F7">
      <w:pPr>
        <w:pStyle w:val="Lijstalinea"/>
        <w:numPr>
          <w:ilvl w:val="1"/>
          <w:numId w:val="3"/>
        </w:numPr>
        <w:autoSpaceDE w:val="0"/>
        <w:autoSpaceDN w:val="0"/>
        <w:adjustRightInd w:val="0"/>
        <w:spacing w:after="0" w:line="240" w:lineRule="auto"/>
        <w:ind w:left="851" w:hanging="284"/>
        <w:jc w:val="both"/>
        <w:rPr>
          <w:rFonts w:cstheme="minorHAnsi"/>
          <w:color w:val="1C1A15"/>
          <w:lang w:val="nl-BE"/>
        </w:rPr>
      </w:pPr>
      <w:r w:rsidRPr="001E069C">
        <w:rPr>
          <w:rFonts w:cstheme="minorHAnsi"/>
          <w:color w:val="1C1A15"/>
          <w:lang w:val="nl-BE"/>
        </w:rPr>
        <w:t>Er is momenteel geen meetinstrument beschikbaar op de markt dat onder nationale metrologische wetgeving valt [of dat voldoet aan de voorschriften krachtens Richtlijn 2014/31/EU of Richtlijn 2014/32/EU];</w:t>
      </w:r>
    </w:p>
    <w:p w14:paraId="464290E7" w14:textId="6687AC3A" w:rsidR="00535873" w:rsidRPr="001E069C" w:rsidRDefault="00535873" w:rsidP="005364F7">
      <w:pPr>
        <w:pStyle w:val="Lijstalinea"/>
        <w:numPr>
          <w:ilvl w:val="1"/>
          <w:numId w:val="3"/>
        </w:numPr>
        <w:autoSpaceDE w:val="0"/>
        <w:autoSpaceDN w:val="0"/>
        <w:adjustRightInd w:val="0"/>
        <w:spacing w:after="0" w:line="240" w:lineRule="auto"/>
        <w:ind w:left="851" w:hanging="284"/>
        <w:jc w:val="both"/>
        <w:rPr>
          <w:rFonts w:cstheme="minorHAnsi"/>
          <w:color w:val="1C1A15"/>
          <w:lang w:val="nl-BE"/>
        </w:rPr>
      </w:pPr>
      <w:r w:rsidRPr="001E069C">
        <w:rPr>
          <w:rFonts w:cstheme="minorHAnsi"/>
          <w:color w:val="1C1A15"/>
          <w:lang w:val="nl-BE"/>
        </w:rPr>
        <w:t>De installatie van een meetin</w:t>
      </w:r>
      <w:r w:rsidR="00DA2D28" w:rsidRPr="001E069C">
        <w:rPr>
          <w:rFonts w:cstheme="minorHAnsi"/>
          <w:color w:val="1C1A15"/>
          <w:lang w:val="nl-BE"/>
        </w:rPr>
        <w:t>strument vereist een verlenging</w:t>
      </w:r>
      <w:r w:rsidRPr="001E069C">
        <w:rPr>
          <w:rFonts w:cstheme="minorHAnsi"/>
          <w:color w:val="1C1A15"/>
          <w:lang w:val="nl-BE"/>
        </w:rPr>
        <w:t xml:space="preserve"> van </w:t>
      </w:r>
      <w:r w:rsidR="00DA2D28" w:rsidRPr="001E069C">
        <w:rPr>
          <w:rFonts w:cstheme="minorHAnsi"/>
          <w:color w:val="1C1A15"/>
          <w:lang w:val="nl-BE"/>
        </w:rPr>
        <w:t>een technische stilstand van de installatie</w:t>
      </w:r>
    </w:p>
    <w:p w14:paraId="54A538BF" w14:textId="2D286E04" w:rsidR="008D04CC" w:rsidRPr="001E069C" w:rsidRDefault="008D04CC" w:rsidP="005364F7">
      <w:pPr>
        <w:autoSpaceDE w:val="0"/>
        <w:autoSpaceDN w:val="0"/>
        <w:adjustRightInd w:val="0"/>
        <w:spacing w:after="0" w:line="240" w:lineRule="auto"/>
        <w:ind w:left="851" w:hanging="284"/>
        <w:jc w:val="both"/>
        <w:rPr>
          <w:rFonts w:cstheme="minorHAnsi"/>
          <w:color w:val="1C1A15"/>
          <w:lang w:val="nl-BE"/>
        </w:rPr>
      </w:pPr>
    </w:p>
    <w:p w14:paraId="653BF62B" w14:textId="01D808E8" w:rsidR="00DA2D28"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In sectie 4.4 van bijlage VII van de </w:t>
      </w:r>
      <w:r w:rsidR="007D2D99">
        <w:rPr>
          <w:rFonts w:cstheme="minorHAnsi"/>
          <w:color w:val="1C1A15"/>
          <w:lang w:val="nl-BE"/>
        </w:rPr>
        <w:t xml:space="preserve">herziene </w:t>
      </w:r>
      <w:r w:rsidRPr="001E069C">
        <w:rPr>
          <w:rFonts w:cstheme="minorHAnsi"/>
          <w:color w:val="1C1A15"/>
          <w:lang w:val="nl-BE"/>
        </w:rPr>
        <w:t>FAR wordt als meest nauwkeurige type gegevensbron</w:t>
      </w:r>
      <w:r w:rsidR="0059015F" w:rsidRPr="001E069C">
        <w:rPr>
          <w:rFonts w:cstheme="minorHAnsi"/>
          <w:color w:val="1C1A15"/>
          <w:lang w:val="nl-BE"/>
        </w:rPr>
        <w:t xml:space="preserve">, d.i. 4.4 a), </w:t>
      </w:r>
      <w:r w:rsidRPr="001E069C">
        <w:rPr>
          <w:rFonts w:cstheme="minorHAnsi"/>
          <w:color w:val="1C1A15"/>
          <w:lang w:val="nl-BE"/>
        </w:rPr>
        <w:t>verwezen</w:t>
      </w:r>
      <w:r w:rsidR="00DA2D28" w:rsidRPr="001E069C">
        <w:rPr>
          <w:rFonts w:cstheme="minorHAnsi"/>
          <w:color w:val="1C1A15"/>
          <w:lang w:val="nl-BE"/>
        </w:rPr>
        <w:t xml:space="preserve"> </w:t>
      </w:r>
      <w:r w:rsidRPr="001E069C">
        <w:rPr>
          <w:rFonts w:cstheme="minorHAnsi"/>
          <w:color w:val="1C1A15"/>
          <w:lang w:val="nl-BE"/>
        </w:rPr>
        <w:t xml:space="preserve">naar methoden die zijn opgenomen in het goedgekeurde </w:t>
      </w:r>
      <w:r w:rsidR="00DA2D28" w:rsidRPr="001E069C">
        <w:rPr>
          <w:rFonts w:cstheme="minorHAnsi"/>
          <w:color w:val="1C1A15"/>
          <w:lang w:val="nl-BE"/>
        </w:rPr>
        <w:t xml:space="preserve">monitoringplan </w:t>
      </w:r>
      <w:r w:rsidR="0059015F" w:rsidRPr="001E069C">
        <w:rPr>
          <w:rFonts w:cstheme="minorHAnsi"/>
          <w:color w:val="1C1A15"/>
          <w:lang w:val="nl-BE"/>
        </w:rPr>
        <w:t>voor CO</w:t>
      </w:r>
      <w:r w:rsidR="0059015F" w:rsidRPr="001E069C">
        <w:rPr>
          <w:rFonts w:cstheme="minorHAnsi"/>
          <w:color w:val="1C1A15"/>
          <w:vertAlign w:val="subscript"/>
          <w:lang w:val="nl-BE"/>
        </w:rPr>
        <w:t>2</w:t>
      </w:r>
      <w:r w:rsidR="0059015F" w:rsidRPr="001E069C">
        <w:rPr>
          <w:rFonts w:cstheme="minorHAnsi"/>
          <w:color w:val="1C1A15"/>
          <w:lang w:val="nl-BE"/>
        </w:rPr>
        <w:t>-</w:t>
      </w:r>
      <w:r w:rsidR="00DA2D28" w:rsidRPr="001E069C">
        <w:rPr>
          <w:rFonts w:cstheme="minorHAnsi"/>
          <w:color w:val="1C1A15"/>
          <w:lang w:val="nl-BE"/>
        </w:rPr>
        <w:t>emissies</w:t>
      </w:r>
      <w:r w:rsidRPr="001E069C">
        <w:rPr>
          <w:rFonts w:cstheme="minorHAnsi"/>
          <w:color w:val="1C1A15"/>
          <w:lang w:val="nl-BE"/>
        </w:rPr>
        <w:t xml:space="preserve">. </w:t>
      </w:r>
    </w:p>
    <w:p w14:paraId="68D974C3" w14:textId="1DE21F9A" w:rsidR="00DA2D28" w:rsidRPr="001E069C" w:rsidRDefault="008D04CC" w:rsidP="005364F7">
      <w:pPr>
        <w:autoSpaceDE w:val="0"/>
        <w:autoSpaceDN w:val="0"/>
        <w:adjustRightInd w:val="0"/>
        <w:spacing w:after="0" w:line="240" w:lineRule="auto"/>
        <w:jc w:val="both"/>
        <w:rPr>
          <w:rFonts w:cstheme="minorHAnsi"/>
          <w:color w:val="000000"/>
          <w:sz w:val="16"/>
          <w:szCs w:val="16"/>
          <w:lang w:val="nl-BE"/>
        </w:rPr>
      </w:pPr>
      <w:r w:rsidRPr="001E069C">
        <w:rPr>
          <w:rFonts w:cstheme="minorHAnsi"/>
          <w:color w:val="1C1A15"/>
          <w:lang w:val="nl-BE"/>
        </w:rPr>
        <w:t>Indien</w:t>
      </w:r>
      <w:r w:rsidR="00DA2D28" w:rsidRPr="001E069C">
        <w:rPr>
          <w:rFonts w:cstheme="minorHAnsi"/>
          <w:color w:val="1C1A15"/>
          <w:lang w:val="nl-BE"/>
        </w:rPr>
        <w:t xml:space="preserve"> </w:t>
      </w:r>
      <w:r w:rsidRPr="001E069C">
        <w:rPr>
          <w:rFonts w:cstheme="minorHAnsi"/>
          <w:color w:val="1C1A15"/>
          <w:lang w:val="nl-BE"/>
        </w:rPr>
        <w:t>voor een bepaalde dataset geen methode is opgenomen in het goedgekeurde monitoringplan, is niveau 4.4</w:t>
      </w:r>
      <w:r w:rsidR="0059015F" w:rsidRPr="001E069C">
        <w:rPr>
          <w:rFonts w:cstheme="minorHAnsi"/>
          <w:color w:val="1C1A15"/>
          <w:lang w:val="nl-BE"/>
        </w:rPr>
        <w:t xml:space="preserve"> </w:t>
      </w:r>
      <w:r w:rsidRPr="001E069C">
        <w:rPr>
          <w:rFonts w:cstheme="minorHAnsi"/>
          <w:color w:val="1C1A15"/>
          <w:lang w:val="nl-BE"/>
        </w:rPr>
        <w:t>a</w:t>
      </w:r>
      <w:r w:rsidR="0059015F" w:rsidRPr="001E069C">
        <w:rPr>
          <w:rFonts w:cstheme="minorHAnsi"/>
          <w:color w:val="1C1A15"/>
          <w:lang w:val="nl-BE"/>
        </w:rPr>
        <w:t>)</w:t>
      </w:r>
      <w:r w:rsidRPr="001E069C">
        <w:rPr>
          <w:rFonts w:cstheme="minorHAnsi"/>
          <w:color w:val="1C1A15"/>
          <w:lang w:val="nl-BE"/>
        </w:rPr>
        <w:t xml:space="preserve"> ‘technisch onhaalbaar’ en moet nagekeken worden of er bijkomende</w:t>
      </w:r>
      <w:r w:rsidR="00DA2D28" w:rsidRPr="001E069C">
        <w:rPr>
          <w:rFonts w:cstheme="minorHAnsi"/>
          <w:color w:val="1C1A15"/>
          <w:lang w:val="nl-BE"/>
        </w:rPr>
        <w:t xml:space="preserve"> </w:t>
      </w:r>
      <w:r w:rsidRPr="001E069C">
        <w:rPr>
          <w:rFonts w:cstheme="minorHAnsi"/>
          <w:color w:val="1C1A15"/>
          <w:lang w:val="nl-BE"/>
        </w:rPr>
        <w:t>meetinstrumenten kunnen worden geplaatst waarop nationale wettelijke metrologische controle van</w:t>
      </w:r>
      <w:r w:rsidR="00DA2D28" w:rsidRPr="001E069C">
        <w:rPr>
          <w:rFonts w:cstheme="minorHAnsi"/>
          <w:color w:val="1C1A15"/>
          <w:lang w:val="nl-BE"/>
        </w:rPr>
        <w:t xml:space="preserve"> </w:t>
      </w:r>
      <w:r w:rsidRPr="001E069C">
        <w:rPr>
          <w:rFonts w:cstheme="minorHAnsi"/>
          <w:color w:val="1C1A15"/>
          <w:lang w:val="nl-BE"/>
        </w:rPr>
        <w:t>toepassing is, of die voldoen aan de voorschriften krachtens Richtlijn 2014/31/EU of 2014/32/EU</w:t>
      </w:r>
      <w:r w:rsidR="00A66B0E" w:rsidRPr="001E069C">
        <w:rPr>
          <w:rFonts w:cstheme="minorHAnsi"/>
          <w:color w:val="1C1A15"/>
          <w:lang w:val="nl-BE"/>
        </w:rPr>
        <w:t xml:space="preserve"> (m</w:t>
      </w:r>
      <w:r w:rsidRPr="001E069C">
        <w:rPr>
          <w:rFonts w:cstheme="minorHAnsi"/>
          <w:color w:val="1C1A15"/>
          <w:lang w:val="nl-BE"/>
        </w:rPr>
        <w:t>eetinstrumenten die voldoen aan de voorschriften krachtens deze twee richtlijnen zijn te</w:t>
      </w:r>
      <w:r w:rsidR="00DA2D28" w:rsidRPr="001E069C">
        <w:rPr>
          <w:rFonts w:cstheme="minorHAnsi"/>
          <w:color w:val="1C1A15"/>
          <w:lang w:val="nl-BE"/>
        </w:rPr>
        <w:t xml:space="preserve"> </w:t>
      </w:r>
      <w:r w:rsidRPr="001E069C">
        <w:rPr>
          <w:rFonts w:cstheme="minorHAnsi"/>
          <w:color w:val="1C1A15"/>
          <w:lang w:val="nl-BE"/>
        </w:rPr>
        <w:t>herkennen aan de aanwezigheid van een CE label</w:t>
      </w:r>
      <w:r w:rsidR="00A66B0E" w:rsidRPr="001E069C">
        <w:rPr>
          <w:rFonts w:cstheme="minorHAnsi"/>
          <w:color w:val="1C1A15"/>
          <w:lang w:val="nl-BE"/>
        </w:rPr>
        <w:t>)</w:t>
      </w:r>
      <w:r w:rsidRPr="001E069C">
        <w:rPr>
          <w:rFonts w:cstheme="minorHAnsi"/>
          <w:color w:val="1C1A15"/>
          <w:lang w:val="nl-BE"/>
        </w:rPr>
        <w:t>. Met de plaatsing van dit type meetinstrumenten</w:t>
      </w:r>
      <w:r w:rsidR="00DA2D28" w:rsidRPr="001E069C">
        <w:rPr>
          <w:rFonts w:cstheme="minorHAnsi"/>
          <w:color w:val="1C1A15"/>
          <w:lang w:val="nl-BE"/>
        </w:rPr>
        <w:t xml:space="preserve"> </w:t>
      </w:r>
      <w:r w:rsidRPr="001E069C">
        <w:rPr>
          <w:rFonts w:cstheme="minorHAnsi"/>
          <w:color w:val="1C1A15"/>
          <w:lang w:val="nl-BE"/>
        </w:rPr>
        <w:t>kan tegemoetg</w:t>
      </w:r>
      <w:r w:rsidR="00DA2D28" w:rsidRPr="001E069C">
        <w:rPr>
          <w:rFonts w:cstheme="minorHAnsi"/>
          <w:color w:val="1C1A15"/>
          <w:lang w:val="nl-BE"/>
        </w:rPr>
        <w:t>ekomen worden aan methode 4.4 b</w:t>
      </w:r>
      <w:r w:rsidR="001A2CD3" w:rsidRPr="001E069C">
        <w:rPr>
          <w:rFonts w:cstheme="minorHAnsi"/>
          <w:color w:val="1C1A15"/>
          <w:lang w:val="nl-BE"/>
        </w:rPr>
        <w:t>)</w:t>
      </w:r>
      <w:r w:rsidRPr="001E069C">
        <w:rPr>
          <w:rFonts w:cstheme="minorHAnsi"/>
          <w:color w:val="1C1A15"/>
          <w:lang w:val="nl-BE"/>
        </w:rPr>
        <w:t>. Indien dergelijke meetinstrumenten eveneens</w:t>
      </w:r>
      <w:r w:rsidR="00DA2D28" w:rsidRPr="001E069C">
        <w:rPr>
          <w:rFonts w:cstheme="minorHAnsi"/>
          <w:color w:val="1C1A15"/>
          <w:lang w:val="nl-BE"/>
        </w:rPr>
        <w:t xml:space="preserve"> </w:t>
      </w:r>
      <w:r w:rsidRPr="001E069C">
        <w:rPr>
          <w:rFonts w:cstheme="minorHAnsi"/>
          <w:color w:val="1C1A15"/>
          <w:lang w:val="nl-BE"/>
        </w:rPr>
        <w:t xml:space="preserve">niet beschikbaar zijn, </w:t>
      </w:r>
      <w:r w:rsidR="00DA2D28" w:rsidRPr="001E069C">
        <w:rPr>
          <w:rFonts w:cstheme="minorHAnsi"/>
          <w:color w:val="1C1A15"/>
          <w:lang w:val="nl-BE"/>
        </w:rPr>
        <w:t xml:space="preserve">kan </w:t>
      </w:r>
      <w:r w:rsidR="001A2CD3" w:rsidRPr="001E069C">
        <w:rPr>
          <w:rFonts w:cstheme="minorHAnsi"/>
          <w:color w:val="1C1A15"/>
          <w:lang w:val="nl-BE"/>
        </w:rPr>
        <w:t xml:space="preserve">afgedaald </w:t>
      </w:r>
      <w:r w:rsidR="00DA2D28" w:rsidRPr="001E069C">
        <w:rPr>
          <w:rFonts w:cstheme="minorHAnsi"/>
          <w:color w:val="1C1A15"/>
          <w:lang w:val="nl-BE"/>
        </w:rPr>
        <w:t>worden tot 4.4 c)</w:t>
      </w:r>
      <w:r w:rsidR="00E1044C" w:rsidRPr="001E069C">
        <w:rPr>
          <w:rFonts w:cstheme="minorHAnsi"/>
          <w:color w:val="1C1A15"/>
          <w:lang w:val="nl-BE"/>
        </w:rPr>
        <w:t>,</w:t>
      </w:r>
      <w:r w:rsidR="00DA2D28" w:rsidRPr="001E069C">
        <w:rPr>
          <w:rFonts w:cstheme="minorHAnsi"/>
          <w:color w:val="1C1A15"/>
          <w:lang w:val="nl-BE"/>
        </w:rPr>
        <w:t xml:space="preserve"> enz</w:t>
      </w:r>
      <w:r w:rsidR="00756FBB">
        <w:rPr>
          <w:rFonts w:cstheme="minorHAnsi"/>
          <w:color w:val="1C1A15"/>
          <w:lang w:val="nl-BE"/>
        </w:rPr>
        <w:t>ovoort</w:t>
      </w:r>
    </w:p>
    <w:p w14:paraId="4F73C2BC" w14:textId="77777777" w:rsidR="00323E3E" w:rsidRPr="001E069C" w:rsidRDefault="00323E3E" w:rsidP="005364F7">
      <w:pPr>
        <w:autoSpaceDE w:val="0"/>
        <w:autoSpaceDN w:val="0"/>
        <w:adjustRightInd w:val="0"/>
        <w:spacing w:after="0" w:line="240" w:lineRule="auto"/>
        <w:jc w:val="both"/>
        <w:rPr>
          <w:rFonts w:cstheme="minorHAnsi"/>
          <w:b/>
          <w:color w:val="1C1A15"/>
          <w:u w:val="single"/>
          <w:lang w:val="nl-BE"/>
        </w:rPr>
      </w:pPr>
    </w:p>
    <w:p w14:paraId="3EAB3C04" w14:textId="1C464939" w:rsidR="008D04CC" w:rsidRPr="001E069C" w:rsidRDefault="00974A87" w:rsidP="005364F7">
      <w:pPr>
        <w:autoSpaceDE w:val="0"/>
        <w:autoSpaceDN w:val="0"/>
        <w:adjustRightInd w:val="0"/>
        <w:spacing w:after="0" w:line="240" w:lineRule="auto"/>
        <w:jc w:val="both"/>
        <w:rPr>
          <w:rFonts w:cstheme="minorHAnsi"/>
          <w:b/>
          <w:color w:val="1C1A15"/>
          <w:u w:val="single"/>
          <w:lang w:val="nl-BE"/>
        </w:rPr>
      </w:pPr>
      <w:r w:rsidRPr="001E069C">
        <w:rPr>
          <w:rFonts w:cstheme="minorHAnsi"/>
          <w:b/>
          <w:color w:val="1C1A15"/>
          <w:u w:val="single"/>
          <w:lang w:val="nl-BE"/>
        </w:rPr>
        <w:t>Voorbeeld van technische onhaalbaarheid</w:t>
      </w:r>
    </w:p>
    <w:p w14:paraId="2D470954" w14:textId="77777777" w:rsidR="00974A87" w:rsidRPr="001E069C" w:rsidRDefault="00974A87" w:rsidP="005364F7">
      <w:pPr>
        <w:autoSpaceDE w:val="0"/>
        <w:autoSpaceDN w:val="0"/>
        <w:adjustRightInd w:val="0"/>
        <w:spacing w:after="0" w:line="240" w:lineRule="auto"/>
        <w:jc w:val="both"/>
        <w:rPr>
          <w:rFonts w:cstheme="minorHAnsi"/>
          <w:color w:val="1C1A15"/>
          <w:lang w:val="nl-BE"/>
        </w:rPr>
      </w:pPr>
    </w:p>
    <w:p w14:paraId="79CF1B77" w14:textId="1BCB2E59" w:rsidR="008D04CC"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lastRenderedPageBreak/>
        <w:t>Een installatie heeft één bronstroom, met name aardgas. Het aardgasverbruik op</w:t>
      </w:r>
      <w:r w:rsidR="00DA2D28" w:rsidRPr="001E069C">
        <w:rPr>
          <w:rFonts w:cstheme="minorHAnsi"/>
          <w:color w:val="1C1A15"/>
          <w:lang w:val="nl-BE"/>
        </w:rPr>
        <w:t xml:space="preserve"> i</w:t>
      </w:r>
      <w:r w:rsidRPr="001E069C">
        <w:rPr>
          <w:rFonts w:cstheme="minorHAnsi"/>
          <w:color w:val="1C1A15"/>
          <w:lang w:val="nl-BE"/>
        </w:rPr>
        <w:t>nstallatie</w:t>
      </w:r>
      <w:r w:rsidR="00DA2D28" w:rsidRPr="001E069C">
        <w:rPr>
          <w:rFonts w:cstheme="minorHAnsi"/>
          <w:color w:val="1C1A15"/>
          <w:lang w:val="nl-BE"/>
        </w:rPr>
        <w:t>-</w:t>
      </w:r>
      <w:r w:rsidRPr="001E069C">
        <w:rPr>
          <w:rFonts w:cstheme="minorHAnsi"/>
          <w:color w:val="1C1A15"/>
          <w:lang w:val="nl-BE"/>
        </w:rPr>
        <w:t>niveau</w:t>
      </w:r>
      <w:r w:rsidR="00DA2D28" w:rsidRPr="001E069C">
        <w:rPr>
          <w:rFonts w:cstheme="minorHAnsi"/>
          <w:color w:val="1C1A15"/>
          <w:lang w:val="nl-BE"/>
        </w:rPr>
        <w:t xml:space="preserve"> </w:t>
      </w:r>
      <w:r w:rsidRPr="001E069C">
        <w:rPr>
          <w:rFonts w:cstheme="minorHAnsi"/>
          <w:color w:val="1C1A15"/>
          <w:lang w:val="nl-BE"/>
        </w:rPr>
        <w:t>wordt gemeten door de hoofdteller, die ook is opgenomen in het monitoringplan. De</w:t>
      </w:r>
      <w:r w:rsidR="00DA2D28" w:rsidRPr="001E069C">
        <w:rPr>
          <w:rFonts w:cstheme="minorHAnsi"/>
          <w:color w:val="1C1A15"/>
          <w:lang w:val="nl-BE"/>
        </w:rPr>
        <w:t xml:space="preserve"> </w:t>
      </w:r>
      <w:r w:rsidRPr="001E069C">
        <w:rPr>
          <w:rFonts w:cstheme="minorHAnsi"/>
          <w:color w:val="1C1A15"/>
          <w:lang w:val="nl-BE"/>
        </w:rPr>
        <w:t xml:space="preserve">installatie beschikt echter over een warmtebenchmark </w:t>
      </w:r>
      <w:proofErr w:type="spellStart"/>
      <w:r w:rsidR="005E6A36">
        <w:rPr>
          <w:rFonts w:cstheme="minorHAnsi"/>
          <w:color w:val="1C1A15"/>
          <w:lang w:val="nl-BE"/>
        </w:rPr>
        <w:t>subinstallatie</w:t>
      </w:r>
      <w:proofErr w:type="spellEnd"/>
      <w:r w:rsidRPr="001E069C">
        <w:rPr>
          <w:rFonts w:cstheme="minorHAnsi"/>
          <w:color w:val="1C1A15"/>
          <w:lang w:val="nl-BE"/>
        </w:rPr>
        <w:t xml:space="preserve"> en een brandstof</w:t>
      </w:r>
      <w:r w:rsidR="00004CEA" w:rsidRPr="001E069C">
        <w:rPr>
          <w:rFonts w:cstheme="minorHAnsi"/>
          <w:color w:val="1C1A15"/>
          <w:lang w:val="nl-BE"/>
        </w:rPr>
        <w:t>-</w:t>
      </w:r>
      <w:r w:rsidRPr="001E069C">
        <w:rPr>
          <w:rFonts w:cstheme="minorHAnsi"/>
          <w:color w:val="1C1A15"/>
          <w:lang w:val="nl-BE"/>
        </w:rPr>
        <w:t>benchmark</w:t>
      </w:r>
      <w:r w:rsidR="00DA2D28" w:rsidRPr="001E069C">
        <w:rPr>
          <w:rFonts w:cstheme="minorHAnsi"/>
          <w:color w:val="1C1A15"/>
          <w:lang w:val="nl-BE"/>
        </w:rPr>
        <w:t xml:space="preserve"> </w:t>
      </w:r>
      <w:proofErr w:type="spellStart"/>
      <w:r w:rsidR="005E6A36">
        <w:rPr>
          <w:rFonts w:cstheme="minorHAnsi"/>
          <w:color w:val="1C1A15"/>
          <w:lang w:val="nl-BE"/>
        </w:rPr>
        <w:t>subinstallatie</w:t>
      </w:r>
      <w:proofErr w:type="spellEnd"/>
      <w:r w:rsidRPr="001E069C">
        <w:rPr>
          <w:rFonts w:cstheme="minorHAnsi"/>
          <w:color w:val="1C1A15"/>
          <w:lang w:val="nl-BE"/>
        </w:rPr>
        <w:t xml:space="preserve">, waarvoor telkens het afzonderlijke aardgasverbruik per </w:t>
      </w:r>
      <w:proofErr w:type="spellStart"/>
      <w:r w:rsidR="005E6A36">
        <w:rPr>
          <w:rFonts w:cstheme="minorHAnsi"/>
          <w:color w:val="1C1A15"/>
          <w:lang w:val="nl-BE"/>
        </w:rPr>
        <w:t>subinstallatie</w:t>
      </w:r>
      <w:proofErr w:type="spellEnd"/>
      <w:r w:rsidRPr="001E069C">
        <w:rPr>
          <w:rFonts w:cstheme="minorHAnsi"/>
          <w:color w:val="1C1A15"/>
          <w:lang w:val="nl-BE"/>
        </w:rPr>
        <w:t xml:space="preserve"> moet bepaald</w:t>
      </w:r>
      <w:r w:rsidR="00DA2D28" w:rsidRPr="001E069C">
        <w:rPr>
          <w:rFonts w:cstheme="minorHAnsi"/>
          <w:color w:val="1C1A15"/>
          <w:lang w:val="nl-BE"/>
        </w:rPr>
        <w:t xml:space="preserve"> </w:t>
      </w:r>
      <w:r w:rsidRPr="001E069C">
        <w:rPr>
          <w:rFonts w:cstheme="minorHAnsi"/>
          <w:color w:val="1C1A15"/>
          <w:lang w:val="nl-BE"/>
        </w:rPr>
        <w:t>worden.</w:t>
      </w:r>
    </w:p>
    <w:p w14:paraId="7722A4F9" w14:textId="77777777" w:rsidR="00DA2D28" w:rsidRPr="001E069C" w:rsidRDefault="00DA2D28" w:rsidP="005364F7">
      <w:pPr>
        <w:autoSpaceDE w:val="0"/>
        <w:autoSpaceDN w:val="0"/>
        <w:adjustRightInd w:val="0"/>
        <w:spacing w:after="0" w:line="240" w:lineRule="auto"/>
        <w:jc w:val="both"/>
        <w:rPr>
          <w:rFonts w:cstheme="minorHAnsi"/>
          <w:color w:val="1C1A15"/>
          <w:lang w:val="nl-BE"/>
        </w:rPr>
      </w:pPr>
    </w:p>
    <w:p w14:paraId="2B53546F" w14:textId="5CBDCD4B" w:rsidR="008D04CC"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Gezien in het monitoringplan enkel de hoofdteller voor aardgas is opgenomen, is methode</w:t>
      </w:r>
      <w:r w:rsidR="00DA2D28" w:rsidRPr="001E069C">
        <w:rPr>
          <w:rFonts w:cstheme="minorHAnsi"/>
          <w:color w:val="1C1A15"/>
          <w:lang w:val="nl-BE"/>
        </w:rPr>
        <w:t xml:space="preserve"> </w:t>
      </w:r>
      <w:r w:rsidRPr="001E069C">
        <w:rPr>
          <w:rFonts w:cstheme="minorHAnsi"/>
          <w:color w:val="1C1A15"/>
          <w:lang w:val="nl-BE"/>
        </w:rPr>
        <w:t xml:space="preserve">4.4 a) ‘technisch onhaalbaar’ voor de bepaling van het aardgasverbruik per </w:t>
      </w:r>
      <w:proofErr w:type="spellStart"/>
      <w:r w:rsidR="005E6A36">
        <w:rPr>
          <w:rFonts w:cstheme="minorHAnsi"/>
          <w:color w:val="1C1A15"/>
          <w:lang w:val="nl-BE"/>
        </w:rPr>
        <w:t>subinstallatie</w:t>
      </w:r>
      <w:proofErr w:type="spellEnd"/>
      <w:r w:rsidRPr="001E069C">
        <w:rPr>
          <w:rFonts w:cstheme="minorHAnsi"/>
          <w:color w:val="1C1A15"/>
          <w:lang w:val="nl-BE"/>
        </w:rPr>
        <w:t>, en mag</w:t>
      </w:r>
      <w:r w:rsidR="00DA2D28" w:rsidRPr="001E069C">
        <w:rPr>
          <w:rFonts w:cstheme="minorHAnsi"/>
          <w:color w:val="1C1A15"/>
          <w:lang w:val="nl-BE"/>
        </w:rPr>
        <w:t xml:space="preserve"> </w:t>
      </w:r>
      <w:r w:rsidRPr="001E069C">
        <w:rPr>
          <w:rFonts w:cstheme="minorHAnsi"/>
          <w:color w:val="1C1A15"/>
          <w:lang w:val="nl-BE"/>
        </w:rPr>
        <w:t xml:space="preserve">dus </w:t>
      </w:r>
      <w:r w:rsidR="006440EF" w:rsidRPr="001E069C">
        <w:rPr>
          <w:rFonts w:cstheme="minorHAnsi"/>
          <w:color w:val="1C1A15"/>
          <w:lang w:val="nl-BE"/>
        </w:rPr>
        <w:t>afgedaald</w:t>
      </w:r>
      <w:r w:rsidRPr="001E069C">
        <w:rPr>
          <w:rFonts w:cstheme="minorHAnsi"/>
          <w:color w:val="1C1A15"/>
          <w:lang w:val="nl-BE"/>
        </w:rPr>
        <w:t xml:space="preserve"> worden tot 4.4</w:t>
      </w:r>
      <w:r w:rsidR="006440EF" w:rsidRPr="001E069C">
        <w:rPr>
          <w:rFonts w:cstheme="minorHAnsi"/>
          <w:color w:val="1C1A15"/>
          <w:lang w:val="nl-BE"/>
        </w:rPr>
        <w:t xml:space="preserve"> </w:t>
      </w:r>
      <w:r w:rsidRPr="001E069C">
        <w:rPr>
          <w:rFonts w:cstheme="minorHAnsi"/>
          <w:color w:val="1C1A15"/>
          <w:lang w:val="nl-BE"/>
        </w:rPr>
        <w:t>b</w:t>
      </w:r>
      <w:r w:rsidR="006440EF" w:rsidRPr="001E069C">
        <w:rPr>
          <w:rFonts w:cstheme="minorHAnsi"/>
          <w:color w:val="1C1A15"/>
          <w:lang w:val="nl-BE"/>
        </w:rPr>
        <w:t>)</w:t>
      </w:r>
      <w:r w:rsidRPr="001E069C">
        <w:rPr>
          <w:rFonts w:cstheme="minorHAnsi"/>
          <w:color w:val="1C1A15"/>
          <w:lang w:val="nl-BE"/>
        </w:rPr>
        <w:t>, met name de plaatsing van secundaire meters die voldoen aan de</w:t>
      </w:r>
      <w:r w:rsidR="00DA2D28" w:rsidRPr="001E069C">
        <w:rPr>
          <w:rFonts w:cstheme="minorHAnsi"/>
          <w:color w:val="1C1A15"/>
          <w:lang w:val="nl-BE"/>
        </w:rPr>
        <w:t xml:space="preserve"> </w:t>
      </w:r>
      <w:r w:rsidRPr="001E069C">
        <w:rPr>
          <w:rFonts w:cstheme="minorHAnsi"/>
          <w:color w:val="1C1A15"/>
          <w:lang w:val="nl-BE"/>
        </w:rPr>
        <w:t>bepalingen van richtlijn 2014/32/EU (m.a.w. voorzien van een CE label).</w:t>
      </w:r>
      <w:r w:rsidR="00DE52E1" w:rsidRPr="001E069C">
        <w:rPr>
          <w:rFonts w:cstheme="minorHAnsi"/>
          <w:color w:val="1C1A15"/>
          <w:lang w:val="nl-BE"/>
        </w:rPr>
        <w:t xml:space="preserve"> </w:t>
      </w:r>
      <w:r w:rsidR="00800753" w:rsidRPr="001E069C">
        <w:rPr>
          <w:rFonts w:cstheme="minorHAnsi"/>
          <w:color w:val="1C1A15"/>
          <w:lang w:val="nl-BE"/>
        </w:rPr>
        <w:t xml:space="preserve">Indien </w:t>
      </w:r>
      <w:r w:rsidR="001512B9" w:rsidRPr="001E069C">
        <w:rPr>
          <w:rFonts w:cstheme="minorHAnsi"/>
          <w:color w:val="1C1A15"/>
          <w:lang w:val="nl-BE"/>
        </w:rPr>
        <w:t xml:space="preserve">niet </w:t>
      </w:r>
      <w:r w:rsidR="00800753" w:rsidRPr="001E069C">
        <w:rPr>
          <w:rFonts w:cstheme="minorHAnsi"/>
          <w:color w:val="1C1A15"/>
          <w:lang w:val="nl-BE"/>
        </w:rPr>
        <w:t>aan 4.4</w:t>
      </w:r>
      <w:r w:rsidR="00E82691" w:rsidRPr="001E069C">
        <w:rPr>
          <w:rFonts w:cstheme="minorHAnsi"/>
          <w:color w:val="1C1A15"/>
          <w:lang w:val="nl-BE"/>
        </w:rPr>
        <w:t xml:space="preserve"> </w:t>
      </w:r>
      <w:r w:rsidR="00800753" w:rsidRPr="001E069C">
        <w:rPr>
          <w:rFonts w:cstheme="minorHAnsi"/>
          <w:color w:val="1C1A15"/>
          <w:lang w:val="nl-BE"/>
        </w:rPr>
        <w:t>b) kan voldaan worden, mag men afdalen naar 4.4 c) o</w:t>
      </w:r>
      <w:r w:rsidR="00DE52E1" w:rsidRPr="001E069C">
        <w:rPr>
          <w:rFonts w:cstheme="minorHAnsi"/>
          <w:color w:val="1C1A15"/>
          <w:lang w:val="nl-BE"/>
        </w:rPr>
        <w:t>f lager, mits men onredelijke kosten kan aantonen (zie hiervoor 4.2.2)</w:t>
      </w:r>
    </w:p>
    <w:p w14:paraId="2BFCD36C" w14:textId="6EAB3E01" w:rsidR="00DA2D28" w:rsidRPr="001E069C" w:rsidRDefault="00DA2D28" w:rsidP="005364F7">
      <w:pPr>
        <w:autoSpaceDE w:val="0"/>
        <w:autoSpaceDN w:val="0"/>
        <w:adjustRightInd w:val="0"/>
        <w:spacing w:after="0" w:line="240" w:lineRule="auto"/>
        <w:jc w:val="both"/>
        <w:rPr>
          <w:rFonts w:cstheme="minorHAnsi"/>
          <w:color w:val="1C1A15"/>
          <w:lang w:val="nl-BE"/>
        </w:rPr>
      </w:pPr>
    </w:p>
    <w:p w14:paraId="36DAF7B2" w14:textId="6D5F6DB8" w:rsidR="008D04CC" w:rsidRPr="00802946" w:rsidRDefault="00B51C34" w:rsidP="001E069C">
      <w:pPr>
        <w:pStyle w:val="Kop3"/>
        <w:numPr>
          <w:ilvl w:val="2"/>
          <w:numId w:val="35"/>
        </w:numPr>
        <w:rPr>
          <w:rFonts w:cstheme="minorHAnsi"/>
          <w:lang w:val="nl-BE"/>
        </w:rPr>
      </w:pPr>
      <w:bookmarkStart w:id="35" w:name="_Toc160465619"/>
      <w:r w:rsidRPr="001E069C">
        <w:rPr>
          <w:rFonts w:asciiTheme="minorHAnsi" w:hAnsiTheme="minorHAnsi" w:cstheme="minorHAnsi"/>
          <w:lang w:val="nl-BE"/>
        </w:rPr>
        <w:t>Toetsing v</w:t>
      </w:r>
      <w:r w:rsidR="008D04CC" w:rsidRPr="001E069C">
        <w:rPr>
          <w:rFonts w:asciiTheme="minorHAnsi" w:hAnsiTheme="minorHAnsi" w:cstheme="minorHAnsi"/>
          <w:lang w:val="nl-BE"/>
        </w:rPr>
        <w:t>an onredelijke kosten</w:t>
      </w:r>
      <w:bookmarkEnd w:id="35"/>
    </w:p>
    <w:p w14:paraId="65F8A269" w14:textId="77777777" w:rsidR="0052231D" w:rsidRPr="001E069C" w:rsidRDefault="0052231D" w:rsidP="005364F7">
      <w:pPr>
        <w:autoSpaceDE w:val="0"/>
        <w:autoSpaceDN w:val="0"/>
        <w:adjustRightInd w:val="0"/>
        <w:spacing w:after="0" w:line="240" w:lineRule="auto"/>
        <w:jc w:val="both"/>
        <w:rPr>
          <w:rFonts w:cstheme="minorHAnsi"/>
          <w:color w:val="1C1A15"/>
          <w:lang w:val="nl-BE"/>
        </w:rPr>
      </w:pPr>
    </w:p>
    <w:p w14:paraId="00FD85FB" w14:textId="0B11EB5B" w:rsidR="00AE17C1"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Er is sprake van onredelijke kosten indien de verwachte voordelen van een nauwkeurigere</w:t>
      </w:r>
      <w:r w:rsidR="00CF2649" w:rsidRPr="001E069C">
        <w:rPr>
          <w:rFonts w:cstheme="minorHAnsi"/>
          <w:color w:val="1C1A15"/>
          <w:lang w:val="nl-BE"/>
        </w:rPr>
        <w:t xml:space="preserve"> </w:t>
      </w:r>
      <w:r w:rsidRPr="001E069C">
        <w:rPr>
          <w:rFonts w:cstheme="minorHAnsi"/>
          <w:color w:val="1C1A15"/>
          <w:lang w:val="nl-BE"/>
        </w:rPr>
        <w:t xml:space="preserve">monitoringmethode niet opwegen tegen verwachte kosten ervan. </w:t>
      </w:r>
    </w:p>
    <w:p w14:paraId="2683A582" w14:textId="4CED4BA1" w:rsidR="008D04CC"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Om te toetsen of dit het geval is,</w:t>
      </w:r>
      <w:r w:rsidR="00AE17C1" w:rsidRPr="001E069C">
        <w:rPr>
          <w:rFonts w:cstheme="minorHAnsi"/>
          <w:color w:val="1C1A15"/>
          <w:lang w:val="nl-BE"/>
        </w:rPr>
        <w:t xml:space="preserve"> </w:t>
      </w:r>
      <w:r w:rsidRPr="001E069C">
        <w:rPr>
          <w:rFonts w:cstheme="minorHAnsi"/>
          <w:color w:val="1C1A15"/>
          <w:lang w:val="nl-BE"/>
        </w:rPr>
        <w:t>moeten zowel de verwachte voordelen als de verwachte kosten vastgesteld worden.</w:t>
      </w:r>
    </w:p>
    <w:p w14:paraId="00DD16FC" w14:textId="77777777" w:rsidR="00AE17C1" w:rsidRPr="001E069C" w:rsidRDefault="00AE17C1" w:rsidP="005364F7">
      <w:pPr>
        <w:autoSpaceDE w:val="0"/>
        <w:autoSpaceDN w:val="0"/>
        <w:adjustRightInd w:val="0"/>
        <w:spacing w:after="0" w:line="240" w:lineRule="auto"/>
        <w:jc w:val="both"/>
        <w:rPr>
          <w:rFonts w:cstheme="minorHAnsi"/>
          <w:color w:val="1C1A15"/>
          <w:lang w:val="nl-BE"/>
        </w:rPr>
      </w:pPr>
    </w:p>
    <w:p w14:paraId="31015AE5" w14:textId="023CA41E" w:rsidR="008D04CC" w:rsidRPr="001E069C" w:rsidRDefault="008D04CC"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De </w:t>
      </w:r>
      <w:r w:rsidRPr="001E069C">
        <w:rPr>
          <w:rFonts w:cstheme="minorHAnsi"/>
          <w:color w:val="1C1A15"/>
          <w:u w:val="single"/>
          <w:lang w:val="nl-BE"/>
        </w:rPr>
        <w:t>verwachte voordelen</w:t>
      </w:r>
      <w:r w:rsidRPr="001E069C">
        <w:rPr>
          <w:rFonts w:cstheme="minorHAnsi"/>
          <w:color w:val="1C1A15"/>
          <w:lang w:val="nl-BE"/>
        </w:rPr>
        <w:t xml:space="preserve"> moeten worden berekend door een ‘verbeteringsfactor’ te</w:t>
      </w:r>
      <w:r w:rsidR="00AE17C1" w:rsidRPr="001E069C">
        <w:rPr>
          <w:rFonts w:cstheme="minorHAnsi"/>
          <w:color w:val="1C1A15"/>
          <w:lang w:val="nl-BE"/>
        </w:rPr>
        <w:t xml:space="preserve"> </w:t>
      </w:r>
      <w:r w:rsidRPr="001E069C">
        <w:rPr>
          <w:rFonts w:cstheme="minorHAnsi"/>
          <w:color w:val="1C1A15"/>
          <w:lang w:val="nl-BE"/>
        </w:rPr>
        <w:t xml:space="preserve">vermenigvuldigen met een referentieprijs van € </w:t>
      </w:r>
      <w:r w:rsidR="0067345A" w:rsidRPr="001E069C">
        <w:rPr>
          <w:rFonts w:cstheme="minorHAnsi"/>
          <w:color w:val="1C1A15"/>
          <w:lang w:val="nl-BE"/>
        </w:rPr>
        <w:t>80</w:t>
      </w:r>
      <w:r w:rsidRPr="001E069C">
        <w:rPr>
          <w:rFonts w:cstheme="minorHAnsi"/>
          <w:color w:val="1C1A15"/>
          <w:lang w:val="nl-BE"/>
        </w:rPr>
        <w:t>/ton CO</w:t>
      </w:r>
      <w:r w:rsidRPr="001E069C">
        <w:rPr>
          <w:rFonts w:cstheme="minorHAnsi"/>
          <w:color w:val="1C1A15"/>
          <w:sz w:val="14"/>
          <w:szCs w:val="14"/>
          <w:lang w:val="nl-BE"/>
        </w:rPr>
        <w:t>2</w:t>
      </w:r>
      <w:r w:rsidRPr="001E069C">
        <w:rPr>
          <w:rFonts w:cstheme="minorHAnsi"/>
          <w:color w:val="1C1A15"/>
          <w:lang w:val="nl-BE"/>
        </w:rPr>
        <w:t>. De ‘verbeteringsfactor’ is afhankelijk van</w:t>
      </w:r>
      <w:r w:rsidR="00AE17C1" w:rsidRPr="001E069C">
        <w:rPr>
          <w:rFonts w:cstheme="minorHAnsi"/>
          <w:color w:val="1C1A15"/>
          <w:lang w:val="nl-BE"/>
        </w:rPr>
        <w:t xml:space="preserve"> </w:t>
      </w:r>
      <w:r w:rsidRPr="001E069C">
        <w:rPr>
          <w:rFonts w:cstheme="minorHAnsi"/>
          <w:color w:val="1C1A15"/>
          <w:lang w:val="nl-BE"/>
        </w:rPr>
        <w:t>de</w:t>
      </w:r>
      <w:r w:rsidR="00AE17C1" w:rsidRPr="001E069C">
        <w:rPr>
          <w:rFonts w:cstheme="minorHAnsi"/>
          <w:color w:val="1C1A15"/>
          <w:lang w:val="nl-BE"/>
        </w:rPr>
        <w:t xml:space="preserve"> dataset, meer bepaald wat er juis</w:t>
      </w:r>
      <w:r w:rsidRPr="001E069C">
        <w:rPr>
          <w:rFonts w:cstheme="minorHAnsi"/>
          <w:color w:val="1C1A15"/>
          <w:lang w:val="nl-BE"/>
        </w:rPr>
        <w:t>t gemeten wordt, zoals weergegeven in onderstaande tabel.</w:t>
      </w:r>
    </w:p>
    <w:p w14:paraId="1A78E51E" w14:textId="77777777" w:rsidR="000A1071" w:rsidRPr="001E069C" w:rsidRDefault="000A1071" w:rsidP="005364F7">
      <w:pPr>
        <w:autoSpaceDE w:val="0"/>
        <w:autoSpaceDN w:val="0"/>
        <w:adjustRightInd w:val="0"/>
        <w:spacing w:after="0" w:line="240" w:lineRule="auto"/>
        <w:jc w:val="both"/>
        <w:rPr>
          <w:rFonts w:cstheme="minorHAnsi"/>
          <w:color w:val="1C1A15"/>
          <w:lang w:val="nl-BE"/>
        </w:rPr>
      </w:pPr>
    </w:p>
    <w:tbl>
      <w:tblPr>
        <w:tblStyle w:val="Tabelraster"/>
        <w:tblW w:w="9067" w:type="dxa"/>
        <w:tblLook w:val="04A0" w:firstRow="1" w:lastRow="0" w:firstColumn="1" w:lastColumn="0" w:noHBand="0" w:noVBand="1"/>
      </w:tblPr>
      <w:tblGrid>
        <w:gridCol w:w="2689"/>
        <w:gridCol w:w="6378"/>
      </w:tblGrid>
      <w:tr w:rsidR="00AE17C1" w:rsidRPr="005364F7" w14:paraId="3EB803E2" w14:textId="77777777" w:rsidTr="00B923C2">
        <w:trPr>
          <w:trHeight w:val="397"/>
        </w:trPr>
        <w:tc>
          <w:tcPr>
            <w:tcW w:w="2689" w:type="dxa"/>
            <w:vAlign w:val="center"/>
          </w:tcPr>
          <w:p w14:paraId="0709DC9B" w14:textId="212B3741" w:rsidR="00AE17C1" w:rsidRPr="001E069C" w:rsidRDefault="00AE17C1" w:rsidP="005364F7">
            <w:pPr>
              <w:autoSpaceDE w:val="0"/>
              <w:autoSpaceDN w:val="0"/>
              <w:adjustRightInd w:val="0"/>
              <w:jc w:val="both"/>
              <w:rPr>
                <w:rFonts w:cstheme="minorHAnsi"/>
                <w:b/>
                <w:color w:val="1C1A15"/>
                <w:lang w:val="nl-BE"/>
              </w:rPr>
            </w:pPr>
            <w:r w:rsidRPr="001E069C">
              <w:rPr>
                <w:rFonts w:cstheme="minorHAnsi"/>
                <w:b/>
                <w:color w:val="1C1A15"/>
                <w:lang w:val="nl-BE"/>
              </w:rPr>
              <w:t>Wat wordt gemeten?</w:t>
            </w:r>
          </w:p>
        </w:tc>
        <w:tc>
          <w:tcPr>
            <w:tcW w:w="6378" w:type="dxa"/>
            <w:vAlign w:val="center"/>
          </w:tcPr>
          <w:p w14:paraId="2060DAD6" w14:textId="497EC498" w:rsidR="00AE17C1" w:rsidRPr="001E069C" w:rsidRDefault="00AE17C1" w:rsidP="005364F7">
            <w:pPr>
              <w:autoSpaceDE w:val="0"/>
              <w:autoSpaceDN w:val="0"/>
              <w:adjustRightInd w:val="0"/>
              <w:jc w:val="both"/>
              <w:rPr>
                <w:rFonts w:cstheme="minorHAnsi"/>
                <w:b/>
                <w:color w:val="1C1A15"/>
                <w:lang w:val="nl-BE"/>
              </w:rPr>
            </w:pPr>
            <w:r w:rsidRPr="001E069C">
              <w:rPr>
                <w:rFonts w:cstheme="minorHAnsi"/>
                <w:b/>
                <w:color w:val="1C1A15"/>
                <w:lang w:val="nl-BE"/>
              </w:rPr>
              <w:t>Verbeteringsfactor</w:t>
            </w:r>
          </w:p>
        </w:tc>
      </w:tr>
      <w:tr w:rsidR="00AE17C1" w:rsidRPr="005364F7" w14:paraId="5971C1F6" w14:textId="77777777" w:rsidTr="00B923C2">
        <w:trPr>
          <w:trHeight w:val="1231"/>
        </w:trPr>
        <w:tc>
          <w:tcPr>
            <w:tcW w:w="2689" w:type="dxa"/>
            <w:vAlign w:val="center"/>
          </w:tcPr>
          <w:p w14:paraId="3479BB29" w14:textId="1C9CDB67"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Meetbare warmte</w:t>
            </w:r>
          </w:p>
        </w:tc>
        <w:tc>
          <w:tcPr>
            <w:tcW w:w="6378" w:type="dxa"/>
            <w:vAlign w:val="center"/>
          </w:tcPr>
          <w:p w14:paraId="238FF1DD" w14:textId="0DEFF3EE"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1% van de meetbare warmte * de warmtebenchmarkwaarde</w:t>
            </w:r>
          </w:p>
          <w:p w14:paraId="3D0DE75D" w14:textId="136BEB63"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 xml:space="preserve">Zolang de nieuwe benchmarkwaarde niet gekend is, mag gewerkt worden met de huidige benchmarkwaarde </w:t>
            </w:r>
          </w:p>
        </w:tc>
      </w:tr>
      <w:tr w:rsidR="00AE17C1" w:rsidRPr="005364F7" w14:paraId="157286E5" w14:textId="77777777" w:rsidTr="00B923C2">
        <w:tc>
          <w:tcPr>
            <w:tcW w:w="2689" w:type="dxa"/>
            <w:vAlign w:val="center"/>
          </w:tcPr>
          <w:p w14:paraId="7C2AD8C6" w14:textId="49D75E77"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Niet</w:t>
            </w:r>
            <w:r w:rsidR="000A1071" w:rsidRPr="001E069C">
              <w:rPr>
                <w:rFonts w:cstheme="minorHAnsi"/>
                <w:color w:val="1C1A15"/>
                <w:lang w:val="nl-BE"/>
              </w:rPr>
              <w:t>-</w:t>
            </w:r>
            <w:r w:rsidRPr="001E069C">
              <w:rPr>
                <w:rFonts w:cstheme="minorHAnsi"/>
                <w:color w:val="1C1A15"/>
                <w:lang w:val="nl-BE"/>
              </w:rPr>
              <w:t>meetbare warmte</w:t>
            </w:r>
          </w:p>
        </w:tc>
        <w:tc>
          <w:tcPr>
            <w:tcW w:w="6378" w:type="dxa"/>
            <w:vAlign w:val="center"/>
          </w:tcPr>
          <w:p w14:paraId="338D809C" w14:textId="32116917"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1% van de niet-meetbare warmte * de brandstofbenchmarkwaarde</w:t>
            </w:r>
          </w:p>
          <w:p w14:paraId="12CB1F0A" w14:textId="43F35281"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 xml:space="preserve">Zolang de nieuwe benchmarkwaarde niet gekend is, mag gewerkt worden met de huidige benchmarkwaarde </w:t>
            </w:r>
          </w:p>
        </w:tc>
      </w:tr>
      <w:tr w:rsidR="00AE17C1" w:rsidRPr="005364F7" w14:paraId="39899791" w14:textId="77777777" w:rsidTr="00B923C2">
        <w:tc>
          <w:tcPr>
            <w:tcW w:w="2689" w:type="dxa"/>
            <w:vAlign w:val="center"/>
          </w:tcPr>
          <w:p w14:paraId="21E1CB19" w14:textId="77777777" w:rsidR="00AE17C1" w:rsidRPr="001E069C" w:rsidRDefault="00AE17C1" w:rsidP="005364F7">
            <w:pPr>
              <w:autoSpaceDE w:val="0"/>
              <w:autoSpaceDN w:val="0"/>
              <w:adjustRightInd w:val="0"/>
              <w:jc w:val="both"/>
              <w:rPr>
                <w:rFonts w:cstheme="minorHAnsi"/>
                <w:color w:val="1C1A15"/>
                <w:lang w:val="nl-BE"/>
              </w:rPr>
            </w:pPr>
            <w:proofErr w:type="spellStart"/>
            <w:r w:rsidRPr="001E069C">
              <w:rPr>
                <w:rFonts w:cstheme="minorHAnsi"/>
                <w:color w:val="1C1A15"/>
                <w:lang w:val="nl-BE"/>
              </w:rPr>
              <w:t>Koolstofhoudende</w:t>
            </w:r>
            <w:proofErr w:type="spellEnd"/>
          </w:p>
          <w:p w14:paraId="65ADC4DF" w14:textId="1DB9BBB7" w:rsidR="00AE17C1" w:rsidRPr="001E069C" w:rsidRDefault="0076153E" w:rsidP="005364F7">
            <w:pPr>
              <w:autoSpaceDE w:val="0"/>
              <w:autoSpaceDN w:val="0"/>
              <w:adjustRightInd w:val="0"/>
              <w:jc w:val="both"/>
              <w:rPr>
                <w:rFonts w:cstheme="minorHAnsi"/>
                <w:color w:val="1C1A15"/>
                <w:lang w:val="nl-BE"/>
              </w:rPr>
            </w:pPr>
            <w:r w:rsidRPr="001E069C">
              <w:rPr>
                <w:rFonts w:cstheme="minorHAnsi"/>
                <w:color w:val="1C1A15"/>
                <w:lang w:val="nl-BE"/>
              </w:rPr>
              <w:t>B</w:t>
            </w:r>
            <w:r w:rsidR="00AE17C1" w:rsidRPr="001E069C">
              <w:rPr>
                <w:rFonts w:cstheme="minorHAnsi"/>
                <w:color w:val="1C1A15"/>
                <w:lang w:val="nl-BE"/>
              </w:rPr>
              <w:t>ronstromen</w:t>
            </w:r>
          </w:p>
        </w:tc>
        <w:tc>
          <w:tcPr>
            <w:tcW w:w="6378" w:type="dxa"/>
            <w:vAlign w:val="center"/>
          </w:tcPr>
          <w:p w14:paraId="56669C5E" w14:textId="0BDB4A07"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1% van de (inherente) CO</w:t>
            </w:r>
            <w:r w:rsidRPr="001E069C">
              <w:rPr>
                <w:rFonts w:cstheme="minorHAnsi"/>
                <w:color w:val="1C1A15"/>
                <w:sz w:val="14"/>
                <w:szCs w:val="14"/>
                <w:lang w:val="nl-BE"/>
              </w:rPr>
              <w:t>2</w:t>
            </w:r>
            <w:r w:rsidRPr="001E069C">
              <w:rPr>
                <w:rFonts w:cstheme="minorHAnsi"/>
                <w:color w:val="1C1A15"/>
                <w:lang w:val="nl-BE"/>
              </w:rPr>
              <w:t xml:space="preserve">-inhoud </w:t>
            </w:r>
          </w:p>
        </w:tc>
      </w:tr>
      <w:tr w:rsidR="00AE17C1" w:rsidRPr="005364F7" w14:paraId="22AB73BB" w14:textId="77777777" w:rsidTr="00B923C2">
        <w:tc>
          <w:tcPr>
            <w:tcW w:w="2689" w:type="dxa"/>
            <w:vAlign w:val="center"/>
          </w:tcPr>
          <w:p w14:paraId="6E887236" w14:textId="004C04F4"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Elektriciteit</w:t>
            </w:r>
          </w:p>
        </w:tc>
        <w:tc>
          <w:tcPr>
            <w:tcW w:w="6378" w:type="dxa"/>
            <w:vAlign w:val="center"/>
          </w:tcPr>
          <w:p w14:paraId="039267F9" w14:textId="64F6A481"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1% van de hoeveelheid elektriciteit * 0,</w:t>
            </w:r>
            <w:r w:rsidR="0051700B">
              <w:rPr>
                <w:rFonts w:cstheme="minorHAnsi"/>
                <w:color w:val="1C1A15"/>
                <w:lang w:val="nl-BE"/>
              </w:rPr>
              <w:t>3</w:t>
            </w:r>
            <w:r w:rsidR="0051700B" w:rsidRPr="001E069C">
              <w:rPr>
                <w:rFonts w:cstheme="minorHAnsi"/>
                <w:color w:val="1C1A15"/>
                <w:lang w:val="nl-BE"/>
              </w:rPr>
              <w:t xml:space="preserve"> </w:t>
            </w:r>
            <w:r w:rsidRPr="001E069C">
              <w:rPr>
                <w:rFonts w:cstheme="minorHAnsi"/>
                <w:color w:val="1C1A15"/>
                <w:lang w:val="nl-BE"/>
              </w:rPr>
              <w:t>ton CO</w:t>
            </w:r>
            <w:r w:rsidRPr="001E069C">
              <w:rPr>
                <w:rFonts w:cstheme="minorHAnsi"/>
                <w:color w:val="1C1A15"/>
                <w:sz w:val="14"/>
                <w:szCs w:val="14"/>
                <w:lang w:val="nl-BE"/>
              </w:rPr>
              <w:t>2</w:t>
            </w:r>
            <w:r w:rsidRPr="001E069C">
              <w:rPr>
                <w:rFonts w:cstheme="minorHAnsi"/>
                <w:color w:val="1C1A15"/>
                <w:lang w:val="nl-BE"/>
              </w:rPr>
              <w:t>/MWh</w:t>
            </w:r>
          </w:p>
        </w:tc>
      </w:tr>
      <w:tr w:rsidR="00AE17C1" w:rsidRPr="005364F7" w14:paraId="686A683C" w14:textId="77777777" w:rsidTr="00B923C2">
        <w:tc>
          <w:tcPr>
            <w:tcW w:w="2689" w:type="dxa"/>
            <w:vAlign w:val="center"/>
          </w:tcPr>
          <w:p w14:paraId="08C01205" w14:textId="77777777"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Activiteitsniveau van een</w:t>
            </w:r>
          </w:p>
          <w:p w14:paraId="4B8000E3" w14:textId="703905B4"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Product</w:t>
            </w:r>
            <w:r w:rsidR="000A1071" w:rsidRPr="001E069C">
              <w:rPr>
                <w:rFonts w:cstheme="minorHAnsi"/>
                <w:color w:val="1C1A15"/>
                <w:lang w:val="nl-BE"/>
              </w:rPr>
              <w:t>b</w:t>
            </w:r>
            <w:r w:rsidRPr="001E069C">
              <w:rPr>
                <w:rFonts w:cstheme="minorHAnsi"/>
                <w:color w:val="1C1A15"/>
                <w:lang w:val="nl-BE"/>
              </w:rPr>
              <w:t>enchmark</w:t>
            </w:r>
            <w:r w:rsidR="000A1071" w:rsidRPr="001E069C">
              <w:rPr>
                <w:rFonts w:cstheme="minorHAnsi"/>
                <w:color w:val="1C1A15"/>
                <w:lang w:val="nl-BE"/>
              </w:rPr>
              <w:br/>
            </w:r>
            <w:proofErr w:type="spellStart"/>
            <w:r w:rsidR="005E6A36">
              <w:rPr>
                <w:rFonts w:cstheme="minorHAnsi"/>
                <w:color w:val="1C1A15"/>
                <w:lang w:val="nl-BE"/>
              </w:rPr>
              <w:t>subinstallatie</w:t>
            </w:r>
            <w:proofErr w:type="spellEnd"/>
          </w:p>
          <w:p w14:paraId="699CAD97" w14:textId="77777777" w:rsidR="00AE17C1" w:rsidRPr="001E069C" w:rsidRDefault="00AE17C1" w:rsidP="005364F7">
            <w:pPr>
              <w:autoSpaceDE w:val="0"/>
              <w:autoSpaceDN w:val="0"/>
              <w:adjustRightInd w:val="0"/>
              <w:jc w:val="both"/>
              <w:rPr>
                <w:rFonts w:cstheme="minorHAnsi"/>
                <w:color w:val="1C1A15"/>
                <w:lang w:val="nl-BE"/>
              </w:rPr>
            </w:pPr>
          </w:p>
        </w:tc>
        <w:tc>
          <w:tcPr>
            <w:tcW w:w="6378" w:type="dxa"/>
            <w:vAlign w:val="center"/>
          </w:tcPr>
          <w:p w14:paraId="144CE07B" w14:textId="569CBCA8"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 xml:space="preserve">1% van het activiteitsniveau </w:t>
            </w:r>
          </w:p>
          <w:p w14:paraId="644C7A37" w14:textId="458C8FC8"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vermenigvuldigd met de relevante productbenchmark.</w:t>
            </w:r>
          </w:p>
          <w:p w14:paraId="540BC99F" w14:textId="77777777" w:rsidR="0052231D" w:rsidRPr="001E069C" w:rsidRDefault="0052231D" w:rsidP="005364F7">
            <w:pPr>
              <w:autoSpaceDE w:val="0"/>
              <w:autoSpaceDN w:val="0"/>
              <w:adjustRightInd w:val="0"/>
              <w:jc w:val="both"/>
              <w:rPr>
                <w:rFonts w:cstheme="minorHAnsi"/>
                <w:color w:val="1C1A15"/>
                <w:lang w:val="nl-BE"/>
              </w:rPr>
            </w:pPr>
          </w:p>
          <w:p w14:paraId="3ABC648E" w14:textId="3C74B78F"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Zolang de nieuwe benchmarkwaarde niet gekend is, mag gewerkt worden met de huidige benchmarkwaarde</w:t>
            </w:r>
          </w:p>
        </w:tc>
      </w:tr>
      <w:tr w:rsidR="00AE17C1" w:rsidRPr="005364F7" w14:paraId="707040B3" w14:textId="77777777" w:rsidTr="00B923C2">
        <w:tc>
          <w:tcPr>
            <w:tcW w:w="2689" w:type="dxa"/>
            <w:vAlign w:val="center"/>
          </w:tcPr>
          <w:p w14:paraId="158381F0" w14:textId="6DBFC000"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Alle overige zaken</w:t>
            </w:r>
          </w:p>
        </w:tc>
        <w:tc>
          <w:tcPr>
            <w:tcW w:w="6378" w:type="dxa"/>
            <w:vAlign w:val="center"/>
          </w:tcPr>
          <w:p w14:paraId="68B7EC56" w14:textId="55FE5305" w:rsidR="00AE17C1" w:rsidRPr="001E069C" w:rsidRDefault="00AE17C1" w:rsidP="005364F7">
            <w:pPr>
              <w:autoSpaceDE w:val="0"/>
              <w:autoSpaceDN w:val="0"/>
              <w:adjustRightInd w:val="0"/>
              <w:jc w:val="both"/>
              <w:rPr>
                <w:rFonts w:cstheme="minorHAnsi"/>
                <w:color w:val="1C1A15"/>
                <w:lang w:val="nl-BE"/>
              </w:rPr>
            </w:pPr>
            <w:r w:rsidRPr="001E069C">
              <w:rPr>
                <w:rFonts w:cstheme="minorHAnsi"/>
                <w:color w:val="1C1A15"/>
                <w:lang w:val="nl-BE"/>
              </w:rPr>
              <w:t xml:space="preserve">1% van de meest recente toewijzing voor de </w:t>
            </w:r>
            <w:proofErr w:type="spellStart"/>
            <w:r w:rsidR="005E6A36">
              <w:rPr>
                <w:rFonts w:cstheme="minorHAnsi"/>
                <w:color w:val="1C1A15"/>
                <w:lang w:val="nl-BE"/>
              </w:rPr>
              <w:t>subinstallatie</w:t>
            </w:r>
            <w:proofErr w:type="spellEnd"/>
            <w:r w:rsidRPr="001E069C">
              <w:rPr>
                <w:rFonts w:cstheme="minorHAnsi"/>
                <w:color w:val="1C1A15"/>
                <w:lang w:val="nl-BE"/>
              </w:rPr>
              <w:t>.</w:t>
            </w:r>
          </w:p>
          <w:p w14:paraId="5264C807" w14:textId="77777777" w:rsidR="0052231D" w:rsidRPr="001E069C" w:rsidRDefault="0052231D" w:rsidP="005364F7">
            <w:pPr>
              <w:autoSpaceDE w:val="0"/>
              <w:autoSpaceDN w:val="0"/>
              <w:adjustRightInd w:val="0"/>
              <w:jc w:val="both"/>
              <w:rPr>
                <w:rFonts w:cstheme="minorHAnsi"/>
                <w:color w:val="1C1A15"/>
                <w:lang w:val="nl-BE"/>
              </w:rPr>
            </w:pPr>
          </w:p>
          <w:p w14:paraId="711C9440" w14:textId="29A014BF" w:rsidR="00AE17C1" w:rsidRPr="001E069C" w:rsidRDefault="0052231D" w:rsidP="005364F7">
            <w:pPr>
              <w:autoSpaceDE w:val="0"/>
              <w:autoSpaceDN w:val="0"/>
              <w:adjustRightInd w:val="0"/>
              <w:jc w:val="both"/>
              <w:rPr>
                <w:rFonts w:cstheme="minorHAnsi"/>
                <w:color w:val="1C1A15"/>
                <w:lang w:val="nl-BE"/>
              </w:rPr>
            </w:pPr>
            <w:r w:rsidRPr="001E069C">
              <w:rPr>
                <w:rFonts w:cstheme="minorHAnsi"/>
                <w:color w:val="1C1A15"/>
                <w:lang w:val="nl-BE"/>
              </w:rPr>
              <w:t xml:space="preserve">Zolang er nog geen definitieve </w:t>
            </w:r>
            <w:r w:rsidR="000B3182">
              <w:rPr>
                <w:rFonts w:cstheme="minorHAnsi"/>
                <w:color w:val="1C1A15"/>
                <w:lang w:val="nl-BE"/>
              </w:rPr>
              <w:t xml:space="preserve">kosteloze </w:t>
            </w:r>
            <w:r w:rsidRPr="001E069C">
              <w:rPr>
                <w:rFonts w:cstheme="minorHAnsi"/>
                <w:color w:val="1C1A15"/>
                <w:lang w:val="nl-BE"/>
              </w:rPr>
              <w:t>toewijzing voor de periode 202</w:t>
            </w:r>
            <w:r w:rsidR="00CF181C" w:rsidRPr="001E069C">
              <w:rPr>
                <w:rFonts w:cstheme="minorHAnsi"/>
                <w:color w:val="1C1A15"/>
                <w:lang w:val="nl-BE"/>
              </w:rPr>
              <w:t>6</w:t>
            </w:r>
            <w:r w:rsidRPr="001E069C">
              <w:rPr>
                <w:rFonts w:cstheme="minorHAnsi"/>
                <w:color w:val="1C1A15"/>
                <w:lang w:val="nl-BE"/>
              </w:rPr>
              <w:t>-20</w:t>
            </w:r>
            <w:r w:rsidR="00CF181C" w:rsidRPr="001E069C">
              <w:rPr>
                <w:rFonts w:cstheme="minorHAnsi"/>
                <w:color w:val="1C1A15"/>
                <w:lang w:val="nl-BE"/>
              </w:rPr>
              <w:t>30</w:t>
            </w:r>
            <w:r w:rsidRPr="001E069C">
              <w:rPr>
                <w:rFonts w:cstheme="minorHAnsi"/>
                <w:color w:val="1C1A15"/>
                <w:lang w:val="nl-BE"/>
              </w:rPr>
              <w:t xml:space="preserve"> is vastgesteld, moet gewerkt worden met 1% van de minimum te verwachten toewijzing zoals opgenomen </w:t>
            </w:r>
            <w:r w:rsidR="000A1071" w:rsidRPr="001E069C">
              <w:rPr>
                <w:rFonts w:cstheme="minorHAnsi"/>
                <w:color w:val="1C1A15"/>
                <w:lang w:val="nl-BE"/>
              </w:rPr>
              <w:t xml:space="preserve">in </w:t>
            </w:r>
            <w:r w:rsidRPr="001E069C">
              <w:rPr>
                <w:rFonts w:cstheme="minorHAnsi"/>
                <w:color w:val="1C1A15"/>
                <w:lang w:val="nl-BE"/>
              </w:rPr>
              <w:t xml:space="preserve">sectie V.1 in tab </w:t>
            </w:r>
            <w:proofErr w:type="spellStart"/>
            <w:r w:rsidRPr="001E069C">
              <w:rPr>
                <w:rFonts w:cstheme="minorHAnsi"/>
                <w:color w:val="1C1A15"/>
                <w:lang w:val="nl-BE"/>
              </w:rPr>
              <w:t>K_Summary</w:t>
            </w:r>
            <w:proofErr w:type="spellEnd"/>
            <w:r w:rsidRPr="001E069C">
              <w:rPr>
                <w:rFonts w:cstheme="minorHAnsi"/>
                <w:color w:val="1C1A15"/>
                <w:lang w:val="nl-BE"/>
              </w:rPr>
              <w:t xml:space="preserve"> van het ingediende baseline</w:t>
            </w:r>
            <w:r w:rsidR="00034664">
              <w:rPr>
                <w:rFonts w:cstheme="minorHAnsi"/>
                <w:color w:val="1C1A15"/>
                <w:lang w:val="nl-BE"/>
              </w:rPr>
              <w:t xml:space="preserve"> data</w:t>
            </w:r>
            <w:r w:rsidRPr="001E069C">
              <w:rPr>
                <w:rFonts w:cstheme="minorHAnsi"/>
                <w:color w:val="1C1A15"/>
                <w:lang w:val="nl-BE"/>
              </w:rPr>
              <w:t xml:space="preserve"> rapport.</w:t>
            </w:r>
          </w:p>
        </w:tc>
      </w:tr>
    </w:tbl>
    <w:p w14:paraId="67C0614C" w14:textId="064F99D8" w:rsidR="0052231D" w:rsidRPr="001E069C" w:rsidRDefault="0052231D" w:rsidP="005364F7">
      <w:pPr>
        <w:autoSpaceDE w:val="0"/>
        <w:autoSpaceDN w:val="0"/>
        <w:adjustRightInd w:val="0"/>
        <w:spacing w:after="0" w:line="240" w:lineRule="auto"/>
        <w:jc w:val="both"/>
        <w:rPr>
          <w:rFonts w:cstheme="minorHAnsi"/>
          <w:color w:val="000000"/>
          <w:sz w:val="16"/>
          <w:szCs w:val="16"/>
          <w:lang w:val="nl-BE"/>
        </w:rPr>
      </w:pPr>
    </w:p>
    <w:p w14:paraId="04F6F503" w14:textId="7D48B25C" w:rsidR="00A66B0E" w:rsidRPr="001E069C" w:rsidRDefault="00A66B0E" w:rsidP="005364F7">
      <w:pPr>
        <w:autoSpaceDE w:val="0"/>
        <w:autoSpaceDN w:val="0"/>
        <w:adjustRightInd w:val="0"/>
        <w:spacing w:after="0" w:line="240" w:lineRule="auto"/>
        <w:jc w:val="both"/>
        <w:rPr>
          <w:rFonts w:cstheme="minorHAnsi"/>
          <w:lang w:val="nl-BE"/>
        </w:rPr>
      </w:pPr>
      <w:r w:rsidRPr="001E069C">
        <w:rPr>
          <w:rFonts w:cstheme="minorHAnsi"/>
          <w:color w:val="1C1A15"/>
          <w:lang w:val="nl-BE"/>
        </w:rPr>
        <w:t xml:space="preserve">Voor het bepalen van de </w:t>
      </w:r>
      <w:r w:rsidRPr="001E069C">
        <w:rPr>
          <w:rFonts w:cstheme="minorHAnsi"/>
          <w:color w:val="1C1A15"/>
          <w:u w:val="single"/>
          <w:lang w:val="nl-BE"/>
        </w:rPr>
        <w:t>verwachte kosten</w:t>
      </w:r>
      <w:r w:rsidRPr="001E069C">
        <w:rPr>
          <w:rFonts w:cstheme="minorHAnsi"/>
          <w:color w:val="1C1A15"/>
          <w:lang w:val="nl-BE"/>
        </w:rPr>
        <w:t xml:space="preserve"> moet gekeken worden naar de bijkomende kosten t.o.v</w:t>
      </w:r>
      <w:r w:rsidRPr="001E069C">
        <w:rPr>
          <w:rFonts w:cstheme="minorHAnsi"/>
          <w:lang w:val="nl-BE"/>
        </w:rPr>
        <w:t>. de reeds beschikbare gegevensbronnen. Daarbij mogen zowel investerings- als operationele kosten in rekening genomen worden, inclusief onderhoud, reserveonderdelen, personeelskosten, enz</w:t>
      </w:r>
      <w:r w:rsidR="00991853">
        <w:rPr>
          <w:rFonts w:cstheme="minorHAnsi"/>
          <w:lang w:val="nl-BE"/>
        </w:rPr>
        <w:t>ovoort</w:t>
      </w:r>
      <w:r w:rsidRPr="001E069C">
        <w:rPr>
          <w:rFonts w:cstheme="minorHAnsi"/>
          <w:lang w:val="nl-BE"/>
        </w:rPr>
        <w:t xml:space="preserve"> </w:t>
      </w:r>
    </w:p>
    <w:p w14:paraId="11221C1B" w14:textId="77777777" w:rsidR="00A66B0E" w:rsidRPr="001E069C" w:rsidRDefault="00A66B0E" w:rsidP="005364F7">
      <w:pPr>
        <w:autoSpaceDE w:val="0"/>
        <w:autoSpaceDN w:val="0"/>
        <w:adjustRightInd w:val="0"/>
        <w:spacing w:after="0" w:line="240" w:lineRule="auto"/>
        <w:ind w:left="709"/>
        <w:jc w:val="both"/>
        <w:rPr>
          <w:rFonts w:cstheme="minorHAnsi"/>
          <w:lang w:val="nl-BE"/>
        </w:rPr>
      </w:pPr>
      <w:r w:rsidRPr="001E069C">
        <w:rPr>
          <w:rFonts w:cstheme="minorHAnsi"/>
          <w:lang w:val="nl-BE"/>
        </w:rPr>
        <w:lastRenderedPageBreak/>
        <w:t xml:space="preserve">De investeringskosten moeten daarbij rekening houden met een passende afschrijvingsperiode rekening houdend met de economische levensduur van de apparatuur (minimaal 10 jaar voor meters). Tot operationele kosten behoren bijvoorbeeld ook de jaarlijkse controle van de meters en de vijfjaarlijkse kalibratie. </w:t>
      </w:r>
    </w:p>
    <w:p w14:paraId="021BF9ED" w14:textId="2D6C85E1" w:rsidR="008D04CC" w:rsidRPr="001E069C" w:rsidRDefault="008D04CC" w:rsidP="005364F7">
      <w:pPr>
        <w:autoSpaceDE w:val="0"/>
        <w:autoSpaceDN w:val="0"/>
        <w:adjustRightInd w:val="0"/>
        <w:spacing w:after="0" w:line="240" w:lineRule="auto"/>
        <w:jc w:val="both"/>
        <w:rPr>
          <w:rFonts w:cstheme="minorHAnsi"/>
          <w:sz w:val="16"/>
          <w:szCs w:val="16"/>
          <w:lang w:val="nl-BE"/>
        </w:rPr>
      </w:pPr>
    </w:p>
    <w:p w14:paraId="564DCCB8" w14:textId="77777777" w:rsidR="00A66B0E" w:rsidRPr="001E069C" w:rsidRDefault="00A66B0E" w:rsidP="005364F7">
      <w:pPr>
        <w:autoSpaceDE w:val="0"/>
        <w:autoSpaceDN w:val="0"/>
        <w:adjustRightInd w:val="0"/>
        <w:spacing w:after="0" w:line="240" w:lineRule="auto"/>
        <w:jc w:val="both"/>
        <w:rPr>
          <w:rFonts w:cstheme="minorHAnsi"/>
          <w:sz w:val="16"/>
          <w:szCs w:val="16"/>
          <w:lang w:val="nl-BE"/>
        </w:rPr>
      </w:pPr>
    </w:p>
    <w:p w14:paraId="5A61A156" w14:textId="452EAF96" w:rsidR="008D04CC" w:rsidRPr="001E069C" w:rsidRDefault="0052231D" w:rsidP="005364F7">
      <w:pPr>
        <w:autoSpaceDE w:val="0"/>
        <w:autoSpaceDN w:val="0"/>
        <w:adjustRightInd w:val="0"/>
        <w:spacing w:after="0" w:line="240" w:lineRule="auto"/>
        <w:jc w:val="both"/>
        <w:rPr>
          <w:rFonts w:cstheme="minorHAnsi"/>
          <w:u w:val="single"/>
          <w:lang w:val="nl-BE"/>
        </w:rPr>
      </w:pPr>
      <w:r w:rsidRPr="001E069C">
        <w:rPr>
          <w:rFonts w:cstheme="minorHAnsi"/>
          <w:u w:val="single"/>
          <w:lang w:val="nl-BE"/>
        </w:rPr>
        <w:t>Opmerking</w:t>
      </w:r>
      <w:r w:rsidR="00795E44" w:rsidRPr="001E069C">
        <w:rPr>
          <w:rFonts w:cstheme="minorHAnsi"/>
          <w:u w:val="single"/>
          <w:lang w:val="nl-BE"/>
        </w:rPr>
        <w:t>en</w:t>
      </w:r>
    </w:p>
    <w:p w14:paraId="75EEF96E" w14:textId="77777777" w:rsidR="00194A06" w:rsidRPr="001E069C" w:rsidRDefault="00194A06" w:rsidP="005364F7">
      <w:pPr>
        <w:autoSpaceDE w:val="0"/>
        <w:autoSpaceDN w:val="0"/>
        <w:adjustRightInd w:val="0"/>
        <w:spacing w:after="0" w:line="240" w:lineRule="auto"/>
        <w:ind w:left="709"/>
        <w:jc w:val="both"/>
        <w:rPr>
          <w:rFonts w:cstheme="minorHAnsi"/>
          <w:lang w:val="nl-BE"/>
        </w:rPr>
      </w:pPr>
    </w:p>
    <w:p w14:paraId="6F52456B" w14:textId="042CDD5C" w:rsidR="008D04CC" w:rsidRPr="001E069C" w:rsidRDefault="008D04CC" w:rsidP="005364F7">
      <w:pPr>
        <w:pStyle w:val="Lijstalinea"/>
        <w:numPr>
          <w:ilvl w:val="0"/>
          <w:numId w:val="4"/>
        </w:numPr>
        <w:autoSpaceDE w:val="0"/>
        <w:autoSpaceDN w:val="0"/>
        <w:adjustRightInd w:val="0"/>
        <w:spacing w:after="0" w:line="240" w:lineRule="auto"/>
        <w:jc w:val="both"/>
        <w:rPr>
          <w:rFonts w:cstheme="minorHAnsi"/>
          <w:lang w:val="nl-BE"/>
        </w:rPr>
      </w:pPr>
      <w:r w:rsidRPr="001E069C">
        <w:rPr>
          <w:rFonts w:cstheme="minorHAnsi"/>
          <w:lang w:val="nl-BE"/>
        </w:rPr>
        <w:t xml:space="preserve">Voor het bepalen van de </w:t>
      </w:r>
      <w:r w:rsidRPr="001E069C">
        <w:rPr>
          <w:rFonts w:cstheme="minorHAnsi"/>
          <w:u w:val="single"/>
          <w:lang w:val="nl-BE"/>
        </w:rPr>
        <w:t>verwachte voordelen</w:t>
      </w:r>
      <w:r w:rsidRPr="001E069C">
        <w:rPr>
          <w:rFonts w:cstheme="minorHAnsi"/>
          <w:lang w:val="nl-BE"/>
        </w:rPr>
        <w:t xml:space="preserve"> wordt gewerkt met een ondergrens van €</w:t>
      </w:r>
      <w:r w:rsidR="00096EDD" w:rsidRPr="001E069C">
        <w:rPr>
          <w:rFonts w:cstheme="minorHAnsi"/>
          <w:lang w:val="nl-BE"/>
        </w:rPr>
        <w:t xml:space="preserve"> </w:t>
      </w:r>
      <w:r w:rsidR="007A3B9E">
        <w:rPr>
          <w:rFonts w:cstheme="minorHAnsi"/>
          <w:lang w:val="nl-BE"/>
        </w:rPr>
        <w:t>4</w:t>
      </w:r>
      <w:r w:rsidR="00096EDD" w:rsidRPr="001E069C">
        <w:rPr>
          <w:rFonts w:cstheme="minorHAnsi"/>
          <w:lang w:val="nl-BE"/>
        </w:rPr>
        <w:t>.</w:t>
      </w:r>
      <w:r w:rsidRPr="001E069C">
        <w:rPr>
          <w:rFonts w:cstheme="minorHAnsi"/>
          <w:lang w:val="nl-BE"/>
        </w:rPr>
        <w:t>000/jaar (€</w:t>
      </w:r>
      <w:r w:rsidR="00096EDD" w:rsidRPr="001E069C">
        <w:rPr>
          <w:rFonts w:cstheme="minorHAnsi"/>
          <w:lang w:val="nl-BE"/>
        </w:rPr>
        <w:t xml:space="preserve"> </w:t>
      </w:r>
      <w:r w:rsidR="007A3B9E">
        <w:rPr>
          <w:rFonts w:cstheme="minorHAnsi"/>
          <w:lang w:val="nl-BE"/>
        </w:rPr>
        <w:t>1</w:t>
      </w:r>
      <w:r w:rsidR="00887EAA">
        <w:rPr>
          <w:rFonts w:cstheme="minorHAnsi"/>
          <w:lang w:val="nl-BE"/>
        </w:rPr>
        <w:t>.</w:t>
      </w:r>
      <w:r w:rsidR="007A3B9E">
        <w:rPr>
          <w:rFonts w:cstheme="minorHAnsi"/>
          <w:lang w:val="nl-BE"/>
        </w:rPr>
        <w:t>0</w:t>
      </w:r>
      <w:r w:rsidR="007A3B9E" w:rsidRPr="001E069C">
        <w:rPr>
          <w:rFonts w:cstheme="minorHAnsi"/>
          <w:lang w:val="nl-BE"/>
        </w:rPr>
        <w:t>00</w:t>
      </w:r>
      <w:r w:rsidRPr="001E069C">
        <w:rPr>
          <w:rFonts w:cstheme="minorHAnsi"/>
          <w:lang w:val="nl-BE"/>
        </w:rPr>
        <w:t>/jaar voor ins</w:t>
      </w:r>
      <w:r w:rsidR="00795E44" w:rsidRPr="001E069C">
        <w:rPr>
          <w:rFonts w:cstheme="minorHAnsi"/>
          <w:lang w:val="nl-BE"/>
        </w:rPr>
        <w:t>tallaties met geringe emissies), d.w.z. de verwachte voordelen bedragen steeds tenminste €</w:t>
      </w:r>
      <w:r w:rsidR="00096EDD" w:rsidRPr="001E069C">
        <w:rPr>
          <w:rFonts w:cstheme="minorHAnsi"/>
          <w:lang w:val="nl-BE"/>
        </w:rPr>
        <w:t xml:space="preserve"> </w:t>
      </w:r>
      <w:r w:rsidR="007A3B9E">
        <w:rPr>
          <w:rFonts w:cstheme="minorHAnsi"/>
          <w:lang w:val="nl-BE"/>
        </w:rPr>
        <w:t>4</w:t>
      </w:r>
      <w:r w:rsidR="00096EDD" w:rsidRPr="001E069C">
        <w:rPr>
          <w:rFonts w:cstheme="minorHAnsi"/>
          <w:lang w:val="nl-BE"/>
        </w:rPr>
        <w:t>.</w:t>
      </w:r>
      <w:r w:rsidR="00795E44" w:rsidRPr="001E069C">
        <w:rPr>
          <w:rFonts w:cstheme="minorHAnsi"/>
          <w:lang w:val="nl-BE"/>
        </w:rPr>
        <w:t>000/jaar (€</w:t>
      </w:r>
      <w:r w:rsidR="00096EDD" w:rsidRPr="001E069C">
        <w:rPr>
          <w:rFonts w:cstheme="minorHAnsi"/>
          <w:lang w:val="nl-BE"/>
        </w:rPr>
        <w:t xml:space="preserve"> </w:t>
      </w:r>
      <w:r w:rsidR="007A3B9E">
        <w:rPr>
          <w:rFonts w:cstheme="minorHAnsi"/>
          <w:lang w:val="nl-BE"/>
        </w:rPr>
        <w:t>1</w:t>
      </w:r>
      <w:r w:rsidR="007124EF">
        <w:rPr>
          <w:rFonts w:cstheme="minorHAnsi"/>
          <w:lang w:val="nl-BE"/>
        </w:rPr>
        <w:t>.</w:t>
      </w:r>
      <w:r w:rsidR="007A3B9E">
        <w:rPr>
          <w:rFonts w:cstheme="minorHAnsi"/>
          <w:lang w:val="nl-BE"/>
        </w:rPr>
        <w:t>0</w:t>
      </w:r>
      <w:r w:rsidR="007A3B9E" w:rsidRPr="001E069C">
        <w:rPr>
          <w:rFonts w:cstheme="minorHAnsi"/>
          <w:lang w:val="nl-BE"/>
        </w:rPr>
        <w:t>00</w:t>
      </w:r>
      <w:r w:rsidR="00130B91" w:rsidRPr="001E069C">
        <w:rPr>
          <w:rFonts w:cstheme="minorHAnsi"/>
          <w:lang w:val="nl-BE"/>
        </w:rPr>
        <w:t>/jaar voor installaties met geringe emissies)</w:t>
      </w:r>
      <w:r w:rsidR="00E201A0" w:rsidRPr="001E069C">
        <w:rPr>
          <w:rFonts w:cstheme="minorHAnsi"/>
          <w:lang w:val="nl-BE"/>
        </w:rPr>
        <w:t>.</w:t>
      </w:r>
      <w:r w:rsidR="00AD60C9" w:rsidRPr="001E069C">
        <w:rPr>
          <w:rFonts w:cstheme="minorHAnsi"/>
          <w:lang w:val="nl-BE"/>
        </w:rPr>
        <w:t xml:space="preserve"> Dit impliceert dat een verbetering met een totale kost lager dan €</w:t>
      </w:r>
      <w:r w:rsidR="00096EDD" w:rsidRPr="001E069C">
        <w:rPr>
          <w:rFonts w:cstheme="minorHAnsi"/>
          <w:lang w:val="nl-BE"/>
        </w:rPr>
        <w:t xml:space="preserve"> </w:t>
      </w:r>
      <w:r w:rsidR="007A3B9E">
        <w:rPr>
          <w:rFonts w:cstheme="minorHAnsi"/>
          <w:lang w:val="nl-BE"/>
        </w:rPr>
        <w:t>4</w:t>
      </w:r>
      <w:r w:rsidR="00096EDD" w:rsidRPr="001E069C">
        <w:rPr>
          <w:rFonts w:cstheme="minorHAnsi"/>
          <w:lang w:val="nl-BE"/>
        </w:rPr>
        <w:t>.</w:t>
      </w:r>
      <w:r w:rsidR="00AD60C9" w:rsidRPr="001E069C">
        <w:rPr>
          <w:rFonts w:cstheme="minorHAnsi"/>
          <w:lang w:val="nl-BE"/>
        </w:rPr>
        <w:t>000 (resp. €</w:t>
      </w:r>
      <w:r w:rsidR="00096EDD" w:rsidRPr="001E069C">
        <w:rPr>
          <w:rFonts w:cstheme="minorHAnsi"/>
          <w:lang w:val="nl-BE"/>
        </w:rPr>
        <w:t xml:space="preserve"> </w:t>
      </w:r>
      <w:r w:rsidR="007A3B9E">
        <w:rPr>
          <w:rFonts w:cstheme="minorHAnsi"/>
          <w:lang w:val="nl-BE"/>
        </w:rPr>
        <w:t>1</w:t>
      </w:r>
      <w:r w:rsidR="007124EF">
        <w:rPr>
          <w:rFonts w:cstheme="minorHAnsi"/>
          <w:lang w:val="nl-BE"/>
        </w:rPr>
        <w:t>.</w:t>
      </w:r>
      <w:r w:rsidR="007A3B9E">
        <w:rPr>
          <w:rFonts w:cstheme="minorHAnsi"/>
          <w:lang w:val="nl-BE"/>
        </w:rPr>
        <w:t>0</w:t>
      </w:r>
      <w:r w:rsidR="007A3B9E" w:rsidRPr="001E069C">
        <w:rPr>
          <w:rFonts w:cstheme="minorHAnsi"/>
          <w:lang w:val="nl-BE"/>
        </w:rPr>
        <w:t>00</w:t>
      </w:r>
      <w:r w:rsidR="00AD60C9" w:rsidRPr="001E069C">
        <w:rPr>
          <w:rFonts w:cstheme="minorHAnsi"/>
          <w:lang w:val="nl-BE"/>
        </w:rPr>
        <w:t>)/jaar steeds dient uitgevoerd te worden (ook als de onredelijk</w:t>
      </w:r>
      <w:r w:rsidR="00F91143" w:rsidRPr="001E069C">
        <w:rPr>
          <w:rFonts w:cstheme="minorHAnsi"/>
          <w:lang w:val="nl-BE"/>
        </w:rPr>
        <w:t xml:space="preserve">e kost bv. slechts </w:t>
      </w:r>
      <w:r w:rsidR="00BC6802" w:rsidRPr="001E069C">
        <w:rPr>
          <w:rFonts w:cstheme="minorHAnsi"/>
          <w:lang w:val="nl-BE"/>
        </w:rPr>
        <w:t>€</w:t>
      </w:r>
      <w:r w:rsidR="00096EDD" w:rsidRPr="001E069C">
        <w:rPr>
          <w:rFonts w:cstheme="minorHAnsi"/>
          <w:lang w:val="nl-BE"/>
        </w:rPr>
        <w:t xml:space="preserve"> </w:t>
      </w:r>
      <w:r w:rsidR="00F91143" w:rsidRPr="001E069C">
        <w:rPr>
          <w:rFonts w:cstheme="minorHAnsi"/>
          <w:lang w:val="nl-BE"/>
        </w:rPr>
        <w:t>100</w:t>
      </w:r>
      <w:r w:rsidR="00BC6802" w:rsidRPr="001E069C">
        <w:rPr>
          <w:rFonts w:cstheme="minorHAnsi"/>
          <w:lang w:val="nl-BE"/>
        </w:rPr>
        <w:t>/jaar</w:t>
      </w:r>
      <w:r w:rsidR="001512B9" w:rsidRPr="001E069C">
        <w:rPr>
          <w:rFonts w:cstheme="minorHAnsi"/>
          <w:lang w:val="nl-BE"/>
        </w:rPr>
        <w:t xml:space="preserve"> is</w:t>
      </w:r>
      <w:r w:rsidR="00F91143" w:rsidRPr="001E069C">
        <w:rPr>
          <w:rFonts w:cstheme="minorHAnsi"/>
          <w:lang w:val="nl-BE"/>
        </w:rPr>
        <w:t>)</w:t>
      </w:r>
      <w:r w:rsidR="001512B9" w:rsidRPr="001E069C">
        <w:rPr>
          <w:rFonts w:cstheme="minorHAnsi"/>
          <w:lang w:val="nl-BE"/>
        </w:rPr>
        <w:t>.</w:t>
      </w:r>
      <w:r w:rsidR="00004CEA" w:rsidRPr="001E069C">
        <w:rPr>
          <w:rFonts w:cstheme="minorHAnsi"/>
          <w:lang w:val="nl-BE"/>
        </w:rPr>
        <w:t xml:space="preserve"> Concreet mag een exploitant dus </w:t>
      </w:r>
      <w:r w:rsidR="00096EDD" w:rsidRPr="001E069C">
        <w:rPr>
          <w:rFonts w:cstheme="minorHAnsi"/>
          <w:lang w:val="nl-BE"/>
        </w:rPr>
        <w:t xml:space="preserve">€ </w:t>
      </w:r>
      <w:r w:rsidR="007A3B9E">
        <w:rPr>
          <w:rFonts w:cstheme="minorHAnsi"/>
          <w:lang w:val="nl-BE"/>
        </w:rPr>
        <w:t>4</w:t>
      </w:r>
      <w:r w:rsidR="00004CEA" w:rsidRPr="001E069C">
        <w:rPr>
          <w:rFonts w:cstheme="minorHAnsi"/>
          <w:lang w:val="nl-BE"/>
        </w:rPr>
        <w:t>0</w:t>
      </w:r>
      <w:r w:rsidR="00096EDD" w:rsidRPr="001E069C">
        <w:rPr>
          <w:rFonts w:cstheme="minorHAnsi"/>
          <w:lang w:val="nl-BE"/>
        </w:rPr>
        <w:t>.</w:t>
      </w:r>
      <w:r w:rsidR="00004CEA" w:rsidRPr="001E069C">
        <w:rPr>
          <w:rFonts w:cstheme="minorHAnsi"/>
          <w:lang w:val="nl-BE"/>
        </w:rPr>
        <w:t>000 (re</w:t>
      </w:r>
      <w:r w:rsidR="00BC6802" w:rsidRPr="001E069C">
        <w:rPr>
          <w:rFonts w:cstheme="minorHAnsi"/>
          <w:lang w:val="nl-BE"/>
        </w:rPr>
        <w:t>s</w:t>
      </w:r>
      <w:r w:rsidR="00004CEA" w:rsidRPr="001E069C">
        <w:rPr>
          <w:rFonts w:cstheme="minorHAnsi"/>
          <w:lang w:val="nl-BE"/>
        </w:rPr>
        <w:t xml:space="preserve">p. </w:t>
      </w:r>
      <w:r w:rsidR="00096EDD" w:rsidRPr="001E069C">
        <w:rPr>
          <w:rFonts w:cstheme="minorHAnsi"/>
          <w:lang w:val="nl-BE"/>
        </w:rPr>
        <w:t xml:space="preserve">€ </w:t>
      </w:r>
      <w:r w:rsidR="007A3B9E">
        <w:rPr>
          <w:rFonts w:cstheme="minorHAnsi"/>
          <w:lang w:val="nl-BE"/>
        </w:rPr>
        <w:t>10</w:t>
      </w:r>
      <w:r w:rsidR="00096EDD" w:rsidRPr="001E069C">
        <w:rPr>
          <w:rFonts w:cstheme="minorHAnsi"/>
          <w:lang w:val="nl-BE"/>
        </w:rPr>
        <w:t>.</w:t>
      </w:r>
      <w:r w:rsidR="00004CEA" w:rsidRPr="001E069C">
        <w:rPr>
          <w:rFonts w:cstheme="minorHAnsi"/>
          <w:lang w:val="nl-BE"/>
        </w:rPr>
        <w:t>000) investeren voordat de kosten onredelijk worden</w:t>
      </w:r>
      <w:r w:rsidR="00F91143" w:rsidRPr="001E069C">
        <w:rPr>
          <w:rFonts w:cstheme="minorHAnsi"/>
          <w:lang w:val="nl-BE"/>
        </w:rPr>
        <w:t xml:space="preserve">. </w:t>
      </w:r>
    </w:p>
    <w:p w14:paraId="6077D885" w14:textId="6BE3F428" w:rsidR="00795E44" w:rsidRPr="001E069C" w:rsidRDefault="00795E44" w:rsidP="005364F7">
      <w:pPr>
        <w:autoSpaceDE w:val="0"/>
        <w:autoSpaceDN w:val="0"/>
        <w:adjustRightInd w:val="0"/>
        <w:spacing w:after="0" w:line="240" w:lineRule="auto"/>
        <w:jc w:val="both"/>
        <w:rPr>
          <w:rFonts w:cstheme="minorHAnsi"/>
          <w:lang w:val="nl-BE"/>
        </w:rPr>
      </w:pPr>
    </w:p>
    <w:p w14:paraId="534FDF7F" w14:textId="28FB185C" w:rsidR="008D04CC" w:rsidRPr="001E069C" w:rsidRDefault="008D04CC" w:rsidP="005364F7">
      <w:pPr>
        <w:pStyle w:val="Lijstalinea"/>
        <w:numPr>
          <w:ilvl w:val="0"/>
          <w:numId w:val="4"/>
        </w:numPr>
        <w:autoSpaceDE w:val="0"/>
        <w:autoSpaceDN w:val="0"/>
        <w:adjustRightInd w:val="0"/>
        <w:spacing w:after="0" w:line="240" w:lineRule="auto"/>
        <w:jc w:val="both"/>
        <w:rPr>
          <w:rFonts w:cstheme="minorHAnsi"/>
          <w:lang w:val="nl-BE"/>
        </w:rPr>
      </w:pPr>
      <w:r w:rsidRPr="001E069C">
        <w:rPr>
          <w:rFonts w:cstheme="minorHAnsi"/>
          <w:lang w:val="nl-BE"/>
        </w:rPr>
        <w:t>Indien men zich beroept op onredelijke kosten, moeten alle corrigerende maatregelen uitgevoerd</w:t>
      </w:r>
      <w:r w:rsidR="00795E44" w:rsidRPr="001E069C">
        <w:rPr>
          <w:rFonts w:cstheme="minorHAnsi"/>
          <w:lang w:val="nl-BE"/>
        </w:rPr>
        <w:t xml:space="preserve"> </w:t>
      </w:r>
      <w:r w:rsidRPr="001E069C">
        <w:rPr>
          <w:rFonts w:cstheme="minorHAnsi"/>
          <w:lang w:val="nl-BE"/>
        </w:rPr>
        <w:t xml:space="preserve">worden tot op de </w:t>
      </w:r>
      <w:r w:rsidR="00E201A0" w:rsidRPr="001E069C">
        <w:rPr>
          <w:rFonts w:cstheme="minorHAnsi"/>
          <w:lang w:val="nl-BE"/>
        </w:rPr>
        <w:t xml:space="preserve">berekende </w:t>
      </w:r>
      <w:r w:rsidRPr="001E069C">
        <w:rPr>
          <w:rFonts w:cstheme="minorHAnsi"/>
          <w:lang w:val="nl-BE"/>
        </w:rPr>
        <w:t xml:space="preserve">grens van </w:t>
      </w:r>
      <w:r w:rsidR="00E201A0" w:rsidRPr="001E069C">
        <w:rPr>
          <w:rFonts w:cstheme="minorHAnsi"/>
          <w:lang w:val="nl-BE"/>
        </w:rPr>
        <w:t xml:space="preserve">deze </w:t>
      </w:r>
      <w:r w:rsidRPr="001E069C">
        <w:rPr>
          <w:rFonts w:cstheme="minorHAnsi"/>
          <w:lang w:val="nl-BE"/>
        </w:rPr>
        <w:t>onredelijke kosten. Daarbij moeten de verwachte voordelen en kosten</w:t>
      </w:r>
      <w:r w:rsidR="00795E44" w:rsidRPr="001E069C">
        <w:rPr>
          <w:rFonts w:cstheme="minorHAnsi"/>
          <w:lang w:val="nl-BE"/>
        </w:rPr>
        <w:t xml:space="preserve"> </w:t>
      </w:r>
      <w:r w:rsidRPr="001E069C">
        <w:rPr>
          <w:rFonts w:cstheme="minorHAnsi"/>
          <w:lang w:val="nl-BE"/>
        </w:rPr>
        <w:t xml:space="preserve">steeds bekeken worden op het niveau van de </w:t>
      </w:r>
      <w:proofErr w:type="spellStart"/>
      <w:r w:rsidR="005E6A36">
        <w:rPr>
          <w:rFonts w:cstheme="minorHAnsi"/>
          <w:lang w:val="nl-BE"/>
        </w:rPr>
        <w:t>subinstallatie</w:t>
      </w:r>
      <w:proofErr w:type="spellEnd"/>
      <w:r w:rsidR="00194A06" w:rsidRPr="001E069C">
        <w:rPr>
          <w:rFonts w:cstheme="minorHAnsi"/>
          <w:lang w:val="nl-BE"/>
        </w:rPr>
        <w:t xml:space="preserve">), </w:t>
      </w:r>
      <w:r w:rsidR="00004CEA" w:rsidRPr="001E069C">
        <w:rPr>
          <w:rFonts w:cstheme="minorHAnsi"/>
          <w:lang w:val="nl-BE"/>
        </w:rPr>
        <w:t xml:space="preserve">d.w.z. apart voor WBM, BBM en </w:t>
      </w:r>
      <w:proofErr w:type="spellStart"/>
      <w:r w:rsidR="00004CEA" w:rsidRPr="001E069C">
        <w:rPr>
          <w:rFonts w:cstheme="minorHAnsi"/>
          <w:lang w:val="nl-BE"/>
        </w:rPr>
        <w:t>PrEm</w:t>
      </w:r>
      <w:proofErr w:type="spellEnd"/>
      <w:r w:rsidR="00004CEA" w:rsidRPr="001E069C">
        <w:rPr>
          <w:rFonts w:cstheme="minorHAnsi"/>
          <w:lang w:val="nl-BE"/>
        </w:rPr>
        <w:t xml:space="preserve"> </w:t>
      </w:r>
      <w:proofErr w:type="spellStart"/>
      <w:r w:rsidR="005E6A36">
        <w:rPr>
          <w:rFonts w:cstheme="minorHAnsi"/>
          <w:lang w:val="nl-BE"/>
        </w:rPr>
        <w:t>subinstallatie</w:t>
      </w:r>
      <w:proofErr w:type="spellEnd"/>
      <w:r w:rsidR="00004CEA" w:rsidRPr="001E069C">
        <w:rPr>
          <w:rFonts w:cstheme="minorHAnsi"/>
          <w:lang w:val="nl-BE"/>
        </w:rPr>
        <w:t xml:space="preserve"> (zie ook onderstaand voorbeeld).</w:t>
      </w:r>
    </w:p>
    <w:p w14:paraId="42597537" w14:textId="77777777" w:rsidR="00F3402F" w:rsidRPr="001E069C" w:rsidRDefault="00F3402F" w:rsidP="005364F7">
      <w:pPr>
        <w:pStyle w:val="Lijstalinea"/>
        <w:jc w:val="both"/>
        <w:rPr>
          <w:rFonts w:cstheme="minorHAnsi"/>
          <w:lang w:val="nl-BE"/>
        </w:rPr>
      </w:pPr>
    </w:p>
    <w:p w14:paraId="284BE004" w14:textId="77777777" w:rsidR="00173F64" w:rsidRPr="001E069C" w:rsidRDefault="00173F64" w:rsidP="005364F7">
      <w:pPr>
        <w:pStyle w:val="Lijstalinea"/>
        <w:numPr>
          <w:ilvl w:val="0"/>
          <w:numId w:val="4"/>
        </w:numPr>
        <w:autoSpaceDE w:val="0"/>
        <w:autoSpaceDN w:val="0"/>
        <w:adjustRightInd w:val="0"/>
        <w:spacing w:after="0" w:line="240" w:lineRule="auto"/>
        <w:jc w:val="both"/>
        <w:rPr>
          <w:rFonts w:cstheme="minorHAnsi"/>
          <w:lang w:val="nl-BE"/>
        </w:rPr>
      </w:pPr>
      <w:r w:rsidRPr="001E069C">
        <w:rPr>
          <w:rFonts w:cstheme="minorHAnsi"/>
          <w:lang w:val="nl-BE"/>
        </w:rPr>
        <w:t xml:space="preserve">In sommige gevallen kan de grens van onredelijke kosten toelaten dat er twee of meer debietmeters geïnstalleerd worden, maar dan zonder </w:t>
      </w:r>
      <w:proofErr w:type="spellStart"/>
      <w:r w:rsidRPr="001E069C">
        <w:rPr>
          <w:rFonts w:cstheme="minorHAnsi"/>
          <w:lang w:val="nl-BE"/>
        </w:rPr>
        <w:t>pT</w:t>
      </w:r>
      <w:proofErr w:type="spellEnd"/>
      <w:r w:rsidRPr="001E069C">
        <w:rPr>
          <w:rFonts w:cstheme="minorHAnsi"/>
          <w:lang w:val="nl-BE"/>
        </w:rPr>
        <w:t xml:space="preserve">-compensatie (bij gassen of stoom) of T-compensatie (bij hete olie of warm water), zonder </w:t>
      </w:r>
      <w:proofErr w:type="spellStart"/>
      <w:r w:rsidRPr="001E069C">
        <w:rPr>
          <w:rFonts w:cstheme="minorHAnsi"/>
          <w:lang w:val="nl-BE"/>
        </w:rPr>
        <w:t>logging</w:t>
      </w:r>
      <w:proofErr w:type="spellEnd"/>
      <w:r w:rsidRPr="001E069C">
        <w:rPr>
          <w:rFonts w:cstheme="minorHAnsi"/>
          <w:lang w:val="nl-BE"/>
        </w:rPr>
        <w:t xml:space="preserve"> of zonder onderhoud. De exploitant dient dan na te gaan of één debietmeting met de juiste compensatie, </w:t>
      </w:r>
      <w:proofErr w:type="spellStart"/>
      <w:r w:rsidRPr="001E069C">
        <w:rPr>
          <w:rFonts w:cstheme="minorHAnsi"/>
          <w:lang w:val="nl-BE"/>
        </w:rPr>
        <w:t>logging</w:t>
      </w:r>
      <w:proofErr w:type="spellEnd"/>
      <w:r w:rsidRPr="001E069C">
        <w:rPr>
          <w:rFonts w:cstheme="minorHAnsi"/>
          <w:lang w:val="nl-BE"/>
        </w:rPr>
        <w:t xml:space="preserve"> en onderhoud wel binnen de grens van onredelijke kosten valt en hiervoor te kiezen.</w:t>
      </w:r>
    </w:p>
    <w:p w14:paraId="01DDB759" w14:textId="77777777" w:rsidR="00173F64" w:rsidRPr="001E069C" w:rsidRDefault="00173F64" w:rsidP="005364F7">
      <w:pPr>
        <w:autoSpaceDE w:val="0"/>
        <w:autoSpaceDN w:val="0"/>
        <w:adjustRightInd w:val="0"/>
        <w:spacing w:after="0" w:line="240" w:lineRule="auto"/>
        <w:jc w:val="both"/>
        <w:rPr>
          <w:rFonts w:cstheme="minorHAnsi"/>
          <w:lang w:val="nl-BE"/>
        </w:rPr>
      </w:pPr>
    </w:p>
    <w:p w14:paraId="31CF8628" w14:textId="77777777" w:rsidR="00173F64" w:rsidRPr="001E069C" w:rsidRDefault="00173F64" w:rsidP="005364F7">
      <w:pPr>
        <w:pStyle w:val="Lijstalinea"/>
        <w:numPr>
          <w:ilvl w:val="0"/>
          <w:numId w:val="4"/>
        </w:numPr>
        <w:autoSpaceDE w:val="0"/>
        <w:autoSpaceDN w:val="0"/>
        <w:adjustRightInd w:val="0"/>
        <w:spacing w:after="0" w:line="240" w:lineRule="auto"/>
        <w:jc w:val="both"/>
        <w:rPr>
          <w:rFonts w:cstheme="minorHAnsi"/>
          <w:lang w:val="nl-BE"/>
        </w:rPr>
      </w:pPr>
      <w:r w:rsidRPr="001E069C">
        <w:rPr>
          <w:rFonts w:cstheme="minorHAnsi"/>
          <w:lang w:val="nl-BE"/>
        </w:rPr>
        <w:t xml:space="preserve">Indien er geen of geen betrouwbare warmtemeting beschikbaar is aan de gemeenschappelijke uitgang van de warmtegeneratoren (stoomketels, warm water generatoren) is dit de plaats waar de eerste meter moet geplaatst worden. Pas daarna kan methode 6.12 uit </w:t>
      </w:r>
      <w:proofErr w:type="spellStart"/>
      <w:r w:rsidRPr="001E069C">
        <w:rPr>
          <w:rFonts w:cstheme="minorHAnsi"/>
          <w:lang w:val="nl-BE"/>
        </w:rPr>
        <w:t>guidance</w:t>
      </w:r>
      <w:proofErr w:type="spellEnd"/>
      <w:r w:rsidRPr="001E069C">
        <w:rPr>
          <w:rFonts w:cstheme="minorHAnsi"/>
          <w:lang w:val="nl-BE"/>
        </w:rPr>
        <w:t xml:space="preserve"> 5 (zie verder) betrouwbaar toegepast worden.</w:t>
      </w:r>
    </w:p>
    <w:p w14:paraId="4E3CECBD" w14:textId="29A8D0DA" w:rsidR="00130B91" w:rsidRPr="001E069C" w:rsidRDefault="00130B91" w:rsidP="005364F7">
      <w:pPr>
        <w:autoSpaceDE w:val="0"/>
        <w:autoSpaceDN w:val="0"/>
        <w:adjustRightInd w:val="0"/>
        <w:spacing w:after="0" w:line="240" w:lineRule="auto"/>
        <w:jc w:val="both"/>
        <w:rPr>
          <w:rFonts w:cstheme="minorHAnsi"/>
          <w:color w:val="1C1A15"/>
          <w:lang w:val="nl-BE"/>
        </w:rPr>
      </w:pPr>
    </w:p>
    <w:p w14:paraId="4C610320" w14:textId="77777777" w:rsidR="008D1B84" w:rsidRPr="001E069C" w:rsidRDefault="008D1B84" w:rsidP="005364F7">
      <w:pPr>
        <w:autoSpaceDE w:val="0"/>
        <w:autoSpaceDN w:val="0"/>
        <w:adjustRightInd w:val="0"/>
        <w:spacing w:after="0" w:line="240" w:lineRule="auto"/>
        <w:jc w:val="both"/>
        <w:rPr>
          <w:rFonts w:cstheme="minorHAnsi"/>
          <w:color w:val="1C1A15"/>
          <w:lang w:val="nl-BE"/>
        </w:rPr>
      </w:pPr>
    </w:p>
    <w:p w14:paraId="1422641B" w14:textId="77777777" w:rsidR="008D1B84" w:rsidRPr="001E069C" w:rsidRDefault="008D1B84" w:rsidP="005364F7">
      <w:pPr>
        <w:autoSpaceDE w:val="0"/>
        <w:autoSpaceDN w:val="0"/>
        <w:adjustRightInd w:val="0"/>
        <w:spacing w:after="0" w:line="240" w:lineRule="auto"/>
        <w:jc w:val="both"/>
        <w:rPr>
          <w:rFonts w:cstheme="minorHAnsi"/>
          <w:b/>
          <w:color w:val="1C1A15"/>
          <w:u w:val="single"/>
          <w:lang w:val="nl-BE"/>
        </w:rPr>
      </w:pPr>
      <w:r w:rsidRPr="001E069C">
        <w:rPr>
          <w:rFonts w:cstheme="minorHAnsi"/>
          <w:b/>
          <w:color w:val="1C1A15"/>
          <w:u w:val="single"/>
          <w:lang w:val="nl-BE"/>
        </w:rPr>
        <w:t>Voorbeeld van onredelijke kosten</w:t>
      </w:r>
    </w:p>
    <w:p w14:paraId="066709C6" w14:textId="77777777" w:rsidR="008D1B84" w:rsidRPr="001E069C" w:rsidRDefault="008D1B84" w:rsidP="005364F7">
      <w:pPr>
        <w:autoSpaceDE w:val="0"/>
        <w:autoSpaceDN w:val="0"/>
        <w:adjustRightInd w:val="0"/>
        <w:spacing w:after="0" w:line="240" w:lineRule="auto"/>
        <w:jc w:val="both"/>
        <w:rPr>
          <w:rFonts w:cstheme="minorHAnsi"/>
          <w:color w:val="1C1A15"/>
          <w:lang w:val="nl-BE"/>
        </w:rPr>
      </w:pPr>
    </w:p>
    <w:p w14:paraId="3A5F6CD8" w14:textId="07120032" w:rsidR="00694991" w:rsidRPr="001E069C" w:rsidRDefault="008D1B84"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Een installatie heeft een warmtebenchmark </w:t>
      </w:r>
      <w:proofErr w:type="spellStart"/>
      <w:r w:rsidR="005E6A36">
        <w:rPr>
          <w:rFonts w:cstheme="minorHAnsi"/>
          <w:color w:val="1C1A15"/>
          <w:lang w:val="nl-BE"/>
        </w:rPr>
        <w:t>subinstallatie</w:t>
      </w:r>
      <w:proofErr w:type="spellEnd"/>
      <w:r w:rsidRPr="001E069C">
        <w:rPr>
          <w:rFonts w:cstheme="minorHAnsi"/>
          <w:color w:val="1C1A15"/>
          <w:lang w:val="nl-BE"/>
        </w:rPr>
        <w:t xml:space="preserve"> waarbij er vijf stromen van meetbare warmte zijn. </w:t>
      </w:r>
      <w:r w:rsidR="00694991" w:rsidRPr="001E069C">
        <w:rPr>
          <w:rFonts w:cstheme="minorHAnsi"/>
          <w:color w:val="1C1A15"/>
          <w:lang w:val="nl-BE"/>
        </w:rPr>
        <w:t xml:space="preserve">Het historische activiteitsniveau (HAL-waarde) van de warmtebenchmark </w:t>
      </w:r>
      <w:proofErr w:type="spellStart"/>
      <w:r w:rsidR="005E6A36">
        <w:rPr>
          <w:rFonts w:cstheme="minorHAnsi"/>
          <w:color w:val="1C1A15"/>
          <w:lang w:val="nl-BE"/>
        </w:rPr>
        <w:t>subinstallatie</w:t>
      </w:r>
      <w:proofErr w:type="spellEnd"/>
      <w:r w:rsidR="00694991" w:rsidRPr="001E069C">
        <w:rPr>
          <w:rFonts w:cstheme="minorHAnsi"/>
          <w:color w:val="1C1A15"/>
          <w:lang w:val="nl-BE"/>
        </w:rPr>
        <w:t xml:space="preserve"> (</w:t>
      </w:r>
      <w:r w:rsidR="0067345A" w:rsidRPr="001E069C">
        <w:rPr>
          <w:rFonts w:cstheme="minorHAnsi"/>
          <w:color w:val="1C1A15"/>
          <w:lang w:val="nl-BE"/>
        </w:rPr>
        <w:t xml:space="preserve">mediaan </w:t>
      </w:r>
      <w:r w:rsidR="00694991" w:rsidRPr="001E069C">
        <w:rPr>
          <w:rFonts w:cstheme="minorHAnsi"/>
          <w:color w:val="1C1A15"/>
          <w:lang w:val="nl-BE"/>
        </w:rPr>
        <w:t>20</w:t>
      </w:r>
      <w:r w:rsidR="0067345A" w:rsidRPr="001E069C">
        <w:rPr>
          <w:rFonts w:cstheme="minorHAnsi"/>
          <w:color w:val="1C1A15"/>
          <w:lang w:val="nl-BE"/>
        </w:rPr>
        <w:t>19</w:t>
      </w:r>
      <w:r w:rsidR="00694991" w:rsidRPr="001E069C">
        <w:rPr>
          <w:rFonts w:cstheme="minorHAnsi"/>
          <w:color w:val="1C1A15"/>
          <w:lang w:val="nl-BE"/>
        </w:rPr>
        <w:t>-20</w:t>
      </w:r>
      <w:r w:rsidR="0067345A" w:rsidRPr="001E069C">
        <w:rPr>
          <w:rFonts w:cstheme="minorHAnsi"/>
          <w:color w:val="1C1A15"/>
          <w:lang w:val="nl-BE"/>
        </w:rPr>
        <w:t>23</w:t>
      </w:r>
      <w:r w:rsidR="00694991" w:rsidRPr="001E069C">
        <w:rPr>
          <w:rFonts w:cstheme="minorHAnsi"/>
          <w:color w:val="1C1A15"/>
          <w:lang w:val="nl-BE"/>
        </w:rPr>
        <w:t xml:space="preserve">) bedraagt </w:t>
      </w:r>
      <w:r w:rsidR="00DB6F4C">
        <w:rPr>
          <w:rFonts w:cstheme="minorHAnsi"/>
          <w:color w:val="1C1A15"/>
          <w:lang w:val="nl-BE"/>
        </w:rPr>
        <w:t>25</w:t>
      </w:r>
      <w:r w:rsidR="00DB6F4C" w:rsidRPr="001E069C">
        <w:rPr>
          <w:rFonts w:cstheme="minorHAnsi"/>
          <w:color w:val="1C1A15"/>
          <w:lang w:val="nl-BE"/>
        </w:rPr>
        <w:t xml:space="preserve">0 </w:t>
      </w:r>
      <w:r w:rsidR="00694991" w:rsidRPr="001E069C">
        <w:rPr>
          <w:rFonts w:cstheme="minorHAnsi"/>
          <w:color w:val="1C1A15"/>
          <w:lang w:val="nl-BE"/>
        </w:rPr>
        <w:t>TJ.</w:t>
      </w:r>
    </w:p>
    <w:p w14:paraId="11880E14" w14:textId="77777777" w:rsidR="008D1B84" w:rsidRPr="001E069C" w:rsidRDefault="008D1B84" w:rsidP="005364F7">
      <w:pPr>
        <w:autoSpaceDE w:val="0"/>
        <w:autoSpaceDN w:val="0"/>
        <w:adjustRightInd w:val="0"/>
        <w:spacing w:after="0" w:line="240" w:lineRule="auto"/>
        <w:jc w:val="both"/>
        <w:rPr>
          <w:rFonts w:cstheme="minorHAnsi"/>
          <w:color w:val="1C1A15"/>
          <w:lang w:val="nl-BE"/>
        </w:rPr>
      </w:pPr>
    </w:p>
    <w:p w14:paraId="2B90DA47" w14:textId="0DD0FE6B" w:rsidR="008D1B84" w:rsidRPr="001E069C" w:rsidRDefault="008D1B84"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Er zijn (nog) geen warmtemeters voorzien (</w:t>
      </w:r>
      <w:r w:rsidR="00E201A0" w:rsidRPr="001E069C">
        <w:rPr>
          <w:rFonts w:cstheme="minorHAnsi"/>
          <w:color w:val="1C1A15"/>
          <w:lang w:val="nl-BE"/>
        </w:rPr>
        <w:t xml:space="preserve">zoals </w:t>
      </w:r>
      <w:r w:rsidRPr="001E069C">
        <w:rPr>
          <w:rFonts w:cstheme="minorHAnsi"/>
          <w:color w:val="1C1A15"/>
          <w:lang w:val="nl-BE"/>
        </w:rPr>
        <w:t>methode 4.5</w:t>
      </w:r>
      <w:r w:rsidR="00E201A0" w:rsidRPr="001E069C">
        <w:rPr>
          <w:rFonts w:cstheme="minorHAnsi"/>
          <w:color w:val="1C1A15"/>
          <w:lang w:val="nl-BE"/>
        </w:rPr>
        <w:t xml:space="preserve"> </w:t>
      </w:r>
      <w:r w:rsidRPr="001E069C">
        <w:rPr>
          <w:rFonts w:cstheme="minorHAnsi"/>
          <w:color w:val="1C1A15"/>
          <w:lang w:val="nl-BE"/>
        </w:rPr>
        <w:t>a</w:t>
      </w:r>
      <w:r w:rsidR="00E201A0" w:rsidRPr="001E069C">
        <w:rPr>
          <w:rFonts w:cstheme="minorHAnsi"/>
          <w:color w:val="1C1A15"/>
          <w:lang w:val="nl-BE"/>
        </w:rPr>
        <w:t>)</w:t>
      </w:r>
      <w:r w:rsidRPr="001E069C">
        <w:rPr>
          <w:rFonts w:cstheme="minorHAnsi"/>
          <w:color w:val="1C1A15"/>
          <w:lang w:val="nl-BE"/>
        </w:rPr>
        <w:t xml:space="preserve"> </w:t>
      </w:r>
      <w:r w:rsidR="00E201A0" w:rsidRPr="001E069C">
        <w:rPr>
          <w:rFonts w:cstheme="minorHAnsi"/>
          <w:color w:val="1C1A15"/>
          <w:lang w:val="nl-BE"/>
        </w:rPr>
        <w:t xml:space="preserve">of </w:t>
      </w:r>
      <w:r w:rsidRPr="001E069C">
        <w:rPr>
          <w:rFonts w:cstheme="minorHAnsi"/>
          <w:color w:val="1C1A15"/>
          <w:lang w:val="nl-BE"/>
        </w:rPr>
        <w:t>b)</w:t>
      </w:r>
      <w:r w:rsidR="00E201A0" w:rsidRPr="001E069C">
        <w:rPr>
          <w:rFonts w:cstheme="minorHAnsi"/>
          <w:color w:val="1C1A15"/>
          <w:lang w:val="nl-BE"/>
        </w:rPr>
        <w:t xml:space="preserve"> voorschrijft)</w:t>
      </w:r>
      <w:r w:rsidRPr="001E069C">
        <w:rPr>
          <w:rFonts w:cstheme="minorHAnsi"/>
          <w:color w:val="1C1A15"/>
          <w:lang w:val="nl-BE"/>
        </w:rPr>
        <w:t xml:space="preserve">; voor het baseline </w:t>
      </w:r>
      <w:r w:rsidR="00214222">
        <w:rPr>
          <w:rFonts w:cstheme="minorHAnsi"/>
          <w:color w:val="1C1A15"/>
          <w:lang w:val="nl-BE"/>
        </w:rPr>
        <w:t xml:space="preserve">data </w:t>
      </w:r>
      <w:r w:rsidRPr="001E069C">
        <w:rPr>
          <w:rFonts w:cstheme="minorHAnsi"/>
          <w:color w:val="1C1A15"/>
          <w:lang w:val="nl-BE"/>
        </w:rPr>
        <w:t>rapport werd de hoeveelheid meetbare warmte afgeleid op basis van brandstofinput vermenigvuldigd met een rendement</w:t>
      </w:r>
      <w:r w:rsidR="00E201A0" w:rsidRPr="001E069C">
        <w:rPr>
          <w:rFonts w:cstheme="minorHAnsi"/>
          <w:color w:val="1C1A15"/>
          <w:lang w:val="nl-BE"/>
        </w:rPr>
        <w:t>,</w:t>
      </w:r>
      <w:r w:rsidRPr="001E069C">
        <w:rPr>
          <w:rFonts w:cstheme="minorHAnsi"/>
          <w:color w:val="1C1A15"/>
          <w:lang w:val="nl-BE"/>
        </w:rPr>
        <w:t xml:space="preserve"> </w:t>
      </w:r>
      <w:proofErr w:type="spellStart"/>
      <w:r w:rsidR="00E201A0" w:rsidRPr="001E069C">
        <w:rPr>
          <w:rFonts w:cstheme="minorHAnsi"/>
          <w:color w:val="1C1A15"/>
          <w:lang w:val="nl-BE"/>
        </w:rPr>
        <w:t>cfr</w:t>
      </w:r>
      <w:proofErr w:type="spellEnd"/>
      <w:r w:rsidR="00E201A0" w:rsidRPr="001E069C">
        <w:rPr>
          <w:rFonts w:cstheme="minorHAnsi"/>
          <w:color w:val="1C1A15"/>
          <w:lang w:val="nl-BE"/>
        </w:rPr>
        <w:t xml:space="preserve">. </w:t>
      </w:r>
      <w:r w:rsidRPr="001E069C">
        <w:rPr>
          <w:rFonts w:cstheme="minorHAnsi"/>
          <w:color w:val="1C1A15"/>
          <w:lang w:val="nl-BE"/>
        </w:rPr>
        <w:t>methode 4.5</w:t>
      </w:r>
      <w:r w:rsidR="00E201A0" w:rsidRPr="001E069C">
        <w:rPr>
          <w:rFonts w:cstheme="minorHAnsi"/>
          <w:color w:val="1C1A15"/>
          <w:lang w:val="nl-BE"/>
        </w:rPr>
        <w:t xml:space="preserve"> </w:t>
      </w:r>
      <w:r w:rsidR="007E553A" w:rsidRPr="001E069C">
        <w:rPr>
          <w:rFonts w:cstheme="minorHAnsi"/>
          <w:color w:val="1C1A15"/>
          <w:lang w:val="nl-BE"/>
        </w:rPr>
        <w:t>e) of f)</w:t>
      </w:r>
      <w:r w:rsidRPr="001E069C">
        <w:rPr>
          <w:rFonts w:cstheme="minorHAnsi"/>
          <w:color w:val="1C1A15"/>
          <w:lang w:val="nl-BE"/>
        </w:rPr>
        <w:t>.</w:t>
      </w:r>
    </w:p>
    <w:p w14:paraId="6F12946E" w14:textId="24C2AFC2" w:rsidR="008D1B84" w:rsidRPr="001E069C" w:rsidRDefault="008D1B84" w:rsidP="005364F7">
      <w:pPr>
        <w:autoSpaceDE w:val="0"/>
        <w:autoSpaceDN w:val="0"/>
        <w:adjustRightInd w:val="0"/>
        <w:spacing w:after="0" w:line="240" w:lineRule="auto"/>
        <w:jc w:val="both"/>
        <w:rPr>
          <w:rFonts w:cstheme="minorHAnsi"/>
          <w:color w:val="1C1A15"/>
          <w:lang w:val="nl-BE"/>
        </w:rPr>
      </w:pPr>
    </w:p>
    <w:p w14:paraId="7B6D129B" w14:textId="589E232D" w:rsidR="00563017" w:rsidRPr="001E069C" w:rsidRDefault="0056301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De </w:t>
      </w:r>
      <w:r w:rsidRPr="001E069C">
        <w:rPr>
          <w:rFonts w:cstheme="minorHAnsi"/>
          <w:color w:val="1C1A15"/>
          <w:u w:val="single"/>
          <w:lang w:val="nl-BE"/>
        </w:rPr>
        <w:t>kosten voor de installatie</w:t>
      </w:r>
      <w:r w:rsidRPr="001E069C">
        <w:rPr>
          <w:rFonts w:cstheme="minorHAnsi"/>
          <w:color w:val="1C1A15"/>
          <w:lang w:val="nl-BE"/>
        </w:rPr>
        <w:t xml:space="preserve"> van één warmtemeter </w:t>
      </w:r>
      <w:r w:rsidRPr="001E069C">
        <w:rPr>
          <w:rFonts w:cstheme="minorHAnsi"/>
          <w:lang w:val="nl-BE"/>
        </w:rPr>
        <w:t xml:space="preserve">(debietmeter plus </w:t>
      </w:r>
      <w:proofErr w:type="spellStart"/>
      <w:r w:rsidRPr="001E069C">
        <w:rPr>
          <w:rFonts w:cstheme="minorHAnsi"/>
          <w:lang w:val="nl-BE"/>
        </w:rPr>
        <w:t>pT-compensator</w:t>
      </w:r>
      <w:proofErr w:type="spellEnd"/>
      <w:r w:rsidRPr="001E069C">
        <w:rPr>
          <w:rFonts w:cstheme="minorHAnsi"/>
          <w:lang w:val="nl-BE"/>
        </w:rPr>
        <w:t xml:space="preserve"> met </w:t>
      </w:r>
      <w:proofErr w:type="spellStart"/>
      <w:r w:rsidRPr="001E069C">
        <w:rPr>
          <w:rFonts w:cstheme="minorHAnsi"/>
          <w:lang w:val="nl-BE"/>
        </w:rPr>
        <w:t>logging</w:t>
      </w:r>
      <w:proofErr w:type="spellEnd"/>
      <w:r w:rsidRPr="001E069C">
        <w:rPr>
          <w:rFonts w:cstheme="minorHAnsi"/>
          <w:lang w:val="nl-BE"/>
        </w:rPr>
        <w:t xml:space="preserve">) </w:t>
      </w:r>
      <w:r w:rsidRPr="001E069C">
        <w:rPr>
          <w:rFonts w:cstheme="minorHAnsi"/>
          <w:color w:val="1C1A15"/>
          <w:lang w:val="nl-BE"/>
        </w:rPr>
        <w:t>bedragen éénmalig €</w:t>
      </w:r>
      <w:r w:rsidR="00096EDD" w:rsidRPr="001E069C">
        <w:rPr>
          <w:rFonts w:cstheme="minorHAnsi"/>
          <w:color w:val="1C1A15"/>
          <w:lang w:val="nl-BE"/>
        </w:rPr>
        <w:t xml:space="preserve"> </w:t>
      </w:r>
      <w:r w:rsidRPr="001E069C">
        <w:rPr>
          <w:rFonts w:cstheme="minorHAnsi"/>
          <w:color w:val="1C1A15"/>
          <w:lang w:val="nl-BE"/>
        </w:rPr>
        <w:t>10.000, terwijl er €</w:t>
      </w:r>
      <w:r w:rsidR="00096EDD" w:rsidRPr="001E069C">
        <w:rPr>
          <w:rFonts w:cstheme="minorHAnsi"/>
          <w:color w:val="1C1A15"/>
          <w:lang w:val="nl-BE"/>
        </w:rPr>
        <w:t xml:space="preserve"> </w:t>
      </w:r>
      <w:r w:rsidRPr="001E069C">
        <w:rPr>
          <w:rFonts w:cstheme="minorHAnsi"/>
          <w:color w:val="1C1A15"/>
          <w:lang w:val="nl-BE"/>
        </w:rPr>
        <w:t>2.000/jaar operationele kosten zijn voor de jaarlijkse controle en vijfjaarlijkse kalibratie. De investering wordt afgeschreven op 10 jaar, en dus bedraagt de kost per jaar € (</w:t>
      </w:r>
      <w:r w:rsidRPr="001E069C">
        <w:rPr>
          <w:rFonts w:cstheme="minorHAnsi"/>
          <w:lang w:val="nl-BE"/>
        </w:rPr>
        <w:t>10</w:t>
      </w:r>
      <w:r w:rsidR="00096EDD" w:rsidRPr="001E069C">
        <w:rPr>
          <w:rFonts w:cstheme="minorHAnsi"/>
          <w:lang w:val="nl-BE"/>
        </w:rPr>
        <w:t>.</w:t>
      </w:r>
      <w:r w:rsidRPr="001E069C">
        <w:rPr>
          <w:rFonts w:cstheme="minorHAnsi"/>
          <w:lang w:val="nl-BE"/>
        </w:rPr>
        <w:t>000/10 + 2000) = €</w:t>
      </w:r>
      <w:r w:rsidR="00096EDD" w:rsidRPr="001E069C">
        <w:rPr>
          <w:rFonts w:cstheme="minorHAnsi"/>
          <w:lang w:val="nl-BE"/>
        </w:rPr>
        <w:t xml:space="preserve"> </w:t>
      </w:r>
      <w:r w:rsidRPr="001E069C">
        <w:rPr>
          <w:rFonts w:cstheme="minorHAnsi"/>
          <w:color w:val="1C1A15"/>
          <w:lang w:val="nl-BE"/>
        </w:rPr>
        <w:t>3</w:t>
      </w:r>
      <w:r w:rsidR="00096EDD" w:rsidRPr="001E069C">
        <w:rPr>
          <w:rFonts w:cstheme="minorHAnsi"/>
          <w:color w:val="1C1A15"/>
          <w:lang w:val="nl-BE"/>
        </w:rPr>
        <w:t>.</w:t>
      </w:r>
      <w:r w:rsidRPr="001E069C">
        <w:rPr>
          <w:rFonts w:cstheme="minorHAnsi"/>
          <w:color w:val="1C1A15"/>
          <w:lang w:val="nl-BE"/>
        </w:rPr>
        <w:t>000.</w:t>
      </w:r>
    </w:p>
    <w:p w14:paraId="5BDD7A98" w14:textId="77777777" w:rsidR="00563017" w:rsidRPr="001E069C" w:rsidRDefault="00563017" w:rsidP="005364F7">
      <w:pPr>
        <w:autoSpaceDE w:val="0"/>
        <w:autoSpaceDN w:val="0"/>
        <w:adjustRightInd w:val="0"/>
        <w:spacing w:after="0" w:line="240" w:lineRule="auto"/>
        <w:jc w:val="both"/>
        <w:rPr>
          <w:rFonts w:cstheme="minorHAnsi"/>
          <w:color w:val="1C1A15"/>
          <w:lang w:val="nl-BE"/>
        </w:rPr>
      </w:pPr>
    </w:p>
    <w:p w14:paraId="470AF725" w14:textId="6F6A7DB3" w:rsidR="008D1B84" w:rsidRPr="001E069C" w:rsidRDefault="008D1B84"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De grens van onredelijke kosten wordt bepaald als 1% * </w:t>
      </w:r>
      <w:r w:rsidR="00DB6F4C">
        <w:rPr>
          <w:rFonts w:cstheme="minorHAnsi"/>
          <w:color w:val="1C1A15"/>
          <w:lang w:val="nl-BE"/>
        </w:rPr>
        <w:t>25</w:t>
      </w:r>
      <w:r w:rsidRPr="001E069C">
        <w:rPr>
          <w:rFonts w:cstheme="minorHAnsi"/>
          <w:color w:val="1C1A15"/>
          <w:lang w:val="nl-BE"/>
        </w:rPr>
        <w:t xml:space="preserve">0 TJ * </w:t>
      </w:r>
      <w:r w:rsidR="00D36599">
        <w:rPr>
          <w:rFonts w:cstheme="minorHAnsi"/>
          <w:color w:val="1C1A15"/>
          <w:lang w:val="nl-BE"/>
        </w:rPr>
        <w:t>47</w:t>
      </w:r>
      <w:r w:rsidRPr="001E069C">
        <w:rPr>
          <w:rFonts w:cstheme="minorHAnsi"/>
          <w:color w:val="1C1A15"/>
          <w:lang w:val="nl-BE"/>
        </w:rPr>
        <w:t>,3 ton CO</w:t>
      </w:r>
      <w:r w:rsidRPr="001E069C">
        <w:rPr>
          <w:rFonts w:cstheme="minorHAnsi"/>
          <w:color w:val="1C1A15"/>
          <w:sz w:val="14"/>
          <w:szCs w:val="14"/>
          <w:lang w:val="nl-BE"/>
        </w:rPr>
        <w:t>2</w:t>
      </w:r>
      <w:r w:rsidRPr="001E069C">
        <w:rPr>
          <w:rFonts w:cstheme="minorHAnsi"/>
          <w:color w:val="1C1A15"/>
          <w:lang w:val="nl-BE"/>
        </w:rPr>
        <w:t xml:space="preserve">/TJ * </w:t>
      </w:r>
      <w:r w:rsidR="00E201A0" w:rsidRPr="001E069C">
        <w:rPr>
          <w:rFonts w:cstheme="minorHAnsi"/>
          <w:color w:val="1C1A15"/>
          <w:lang w:val="nl-BE"/>
        </w:rPr>
        <w:br/>
      </w:r>
      <w:r w:rsidRPr="001E069C">
        <w:rPr>
          <w:rFonts w:cstheme="minorHAnsi"/>
          <w:color w:val="1C1A15"/>
          <w:lang w:val="nl-BE"/>
        </w:rPr>
        <w:t xml:space="preserve">€ </w:t>
      </w:r>
      <w:r w:rsidR="00D36599">
        <w:rPr>
          <w:rFonts w:cstheme="minorHAnsi"/>
          <w:color w:val="1C1A15"/>
          <w:lang w:val="nl-BE"/>
        </w:rPr>
        <w:t>80</w:t>
      </w:r>
      <w:r w:rsidRPr="001E069C">
        <w:rPr>
          <w:rFonts w:cstheme="minorHAnsi"/>
          <w:color w:val="1C1A15"/>
          <w:lang w:val="nl-BE"/>
        </w:rPr>
        <w:t>/ton CO</w:t>
      </w:r>
      <w:r w:rsidRPr="001E069C">
        <w:rPr>
          <w:rFonts w:cstheme="minorHAnsi"/>
          <w:color w:val="1C1A15"/>
          <w:sz w:val="14"/>
          <w:szCs w:val="14"/>
          <w:lang w:val="nl-BE"/>
        </w:rPr>
        <w:t xml:space="preserve">2 </w:t>
      </w:r>
      <w:r w:rsidRPr="001E069C">
        <w:rPr>
          <w:rFonts w:cstheme="minorHAnsi"/>
          <w:color w:val="1C1A15"/>
          <w:lang w:val="nl-BE"/>
        </w:rPr>
        <w:t>= €</w:t>
      </w:r>
      <w:r w:rsidR="00DB6F4C">
        <w:rPr>
          <w:rFonts w:cstheme="minorHAnsi"/>
          <w:color w:val="1C1A15"/>
          <w:lang w:val="nl-BE"/>
        </w:rPr>
        <w:t>9</w:t>
      </w:r>
      <w:r w:rsidR="00096EDD" w:rsidRPr="001E069C">
        <w:rPr>
          <w:rFonts w:cstheme="minorHAnsi"/>
          <w:color w:val="1C1A15"/>
          <w:lang w:val="nl-BE"/>
        </w:rPr>
        <w:t>.</w:t>
      </w:r>
      <w:r w:rsidR="00DB6F4C">
        <w:rPr>
          <w:rFonts w:cstheme="minorHAnsi"/>
          <w:color w:val="1C1A15"/>
          <w:lang w:val="nl-BE"/>
        </w:rPr>
        <w:t>460</w:t>
      </w:r>
      <w:r w:rsidRPr="001E069C">
        <w:rPr>
          <w:rFonts w:cstheme="minorHAnsi"/>
          <w:color w:val="1C1A15"/>
          <w:lang w:val="nl-BE"/>
        </w:rPr>
        <w:t xml:space="preserve"> (= </w:t>
      </w:r>
      <w:r w:rsidRPr="001E069C">
        <w:rPr>
          <w:rFonts w:cstheme="minorHAnsi"/>
          <w:color w:val="1C1A15"/>
          <w:u w:val="single"/>
          <w:lang w:val="nl-BE"/>
        </w:rPr>
        <w:t>verwachte voordelen</w:t>
      </w:r>
      <w:r w:rsidRPr="001E069C">
        <w:rPr>
          <w:rFonts w:cstheme="minorHAnsi"/>
          <w:color w:val="1C1A15"/>
          <w:lang w:val="nl-BE"/>
        </w:rPr>
        <w:t>)</w:t>
      </w:r>
      <w:r w:rsidR="00E201A0" w:rsidRPr="001E069C">
        <w:rPr>
          <w:rFonts w:cstheme="minorHAnsi"/>
          <w:color w:val="1C1A15"/>
          <w:lang w:val="nl-BE"/>
        </w:rPr>
        <w:t>.</w:t>
      </w:r>
    </w:p>
    <w:p w14:paraId="00DA8C7B" w14:textId="77777777" w:rsidR="00694991" w:rsidRPr="001E069C" w:rsidRDefault="00694991" w:rsidP="005364F7">
      <w:pPr>
        <w:autoSpaceDE w:val="0"/>
        <w:autoSpaceDN w:val="0"/>
        <w:adjustRightInd w:val="0"/>
        <w:spacing w:after="0" w:line="240" w:lineRule="auto"/>
        <w:jc w:val="both"/>
        <w:rPr>
          <w:rFonts w:cstheme="minorHAnsi"/>
          <w:color w:val="1C1A15"/>
          <w:lang w:val="nl-BE"/>
        </w:rPr>
      </w:pPr>
    </w:p>
    <w:p w14:paraId="0AB82E5F" w14:textId="5E77319A" w:rsidR="008D1B84" w:rsidRPr="001E069C" w:rsidRDefault="008D1B84"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lastRenderedPageBreak/>
        <w:t xml:space="preserve">De exploitant mag dus in </w:t>
      </w:r>
      <w:r w:rsidR="00E201A0" w:rsidRPr="001E069C">
        <w:rPr>
          <w:rFonts w:cstheme="minorHAnsi"/>
          <w:color w:val="1C1A15"/>
          <w:lang w:val="nl-BE"/>
        </w:rPr>
        <w:t xml:space="preserve">deze </w:t>
      </w:r>
      <w:r w:rsidRPr="001E069C">
        <w:rPr>
          <w:rFonts w:cstheme="minorHAnsi"/>
          <w:color w:val="1C1A15"/>
          <w:lang w:val="nl-BE"/>
        </w:rPr>
        <w:t xml:space="preserve">warmtebenchmark </w:t>
      </w:r>
      <w:proofErr w:type="spellStart"/>
      <w:r w:rsidR="005E6A36">
        <w:rPr>
          <w:rFonts w:cstheme="minorHAnsi"/>
          <w:color w:val="1C1A15"/>
          <w:lang w:val="nl-BE"/>
        </w:rPr>
        <w:t>subinstallatie</w:t>
      </w:r>
      <w:proofErr w:type="spellEnd"/>
      <w:r w:rsidRPr="001E069C">
        <w:rPr>
          <w:rFonts w:cstheme="minorHAnsi"/>
          <w:color w:val="1C1A15"/>
          <w:lang w:val="nl-BE"/>
        </w:rPr>
        <w:t xml:space="preserve"> tot € </w:t>
      </w:r>
      <w:r w:rsidR="00DB6F4C">
        <w:rPr>
          <w:rFonts w:cstheme="minorHAnsi"/>
          <w:color w:val="1C1A15"/>
          <w:lang w:val="nl-BE"/>
        </w:rPr>
        <w:t>9</w:t>
      </w:r>
      <w:r w:rsidR="00096EDD" w:rsidRPr="001E069C">
        <w:rPr>
          <w:rFonts w:cstheme="minorHAnsi"/>
          <w:color w:val="1C1A15"/>
          <w:lang w:val="nl-BE"/>
        </w:rPr>
        <w:t>.</w:t>
      </w:r>
      <w:r w:rsidR="00DB6F4C">
        <w:rPr>
          <w:rFonts w:cstheme="minorHAnsi"/>
          <w:color w:val="1C1A15"/>
          <w:lang w:val="nl-BE"/>
        </w:rPr>
        <w:t>460</w:t>
      </w:r>
      <w:r w:rsidRPr="001E069C">
        <w:rPr>
          <w:rFonts w:cstheme="minorHAnsi"/>
          <w:color w:val="1C1A15"/>
          <w:lang w:val="nl-BE"/>
        </w:rPr>
        <w:t xml:space="preserve"> kosten maken voordat deze onredelijk worden.</w:t>
      </w:r>
    </w:p>
    <w:p w14:paraId="5A7F1FA9" w14:textId="77777777" w:rsidR="00694991" w:rsidRPr="001E069C" w:rsidRDefault="00694991" w:rsidP="005364F7">
      <w:pPr>
        <w:autoSpaceDE w:val="0"/>
        <w:autoSpaceDN w:val="0"/>
        <w:adjustRightInd w:val="0"/>
        <w:spacing w:after="0" w:line="240" w:lineRule="auto"/>
        <w:jc w:val="both"/>
        <w:rPr>
          <w:rFonts w:cstheme="minorHAnsi"/>
          <w:color w:val="1C1A15"/>
          <w:lang w:val="nl-BE"/>
        </w:rPr>
      </w:pPr>
    </w:p>
    <w:p w14:paraId="62792958" w14:textId="6040C020" w:rsidR="00DF4F6E" w:rsidRPr="001E069C" w:rsidRDefault="008D1B84"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Bijgevolg moet de exploitant voor </w:t>
      </w:r>
      <w:r w:rsidR="00DB6F4C">
        <w:rPr>
          <w:rFonts w:cstheme="minorHAnsi"/>
          <w:color w:val="1C1A15"/>
          <w:lang w:val="nl-BE"/>
        </w:rPr>
        <w:t>3</w:t>
      </w:r>
      <w:r w:rsidR="00DB6F4C" w:rsidRPr="001E069C">
        <w:rPr>
          <w:rFonts w:cstheme="minorHAnsi"/>
          <w:color w:val="1C1A15"/>
          <w:lang w:val="nl-BE"/>
        </w:rPr>
        <w:t xml:space="preserve"> </w:t>
      </w:r>
      <w:r w:rsidRPr="001E069C">
        <w:rPr>
          <w:rFonts w:cstheme="minorHAnsi"/>
          <w:color w:val="1C1A15"/>
          <w:lang w:val="nl-BE"/>
        </w:rPr>
        <w:t>van de 5 stromen meetbare warmte een warmtemeter installeren (jaarlijkse kost = €</w:t>
      </w:r>
      <w:r w:rsidR="00096EDD" w:rsidRPr="001E069C">
        <w:rPr>
          <w:rFonts w:cstheme="minorHAnsi"/>
          <w:color w:val="1C1A15"/>
          <w:lang w:val="nl-BE"/>
        </w:rPr>
        <w:t xml:space="preserve"> </w:t>
      </w:r>
      <w:r w:rsidR="00DB6F4C">
        <w:rPr>
          <w:rFonts w:cstheme="minorHAnsi"/>
          <w:color w:val="1C1A15"/>
          <w:lang w:val="nl-BE"/>
        </w:rPr>
        <w:t>9</w:t>
      </w:r>
      <w:r w:rsidR="00096EDD" w:rsidRPr="001E069C">
        <w:rPr>
          <w:rFonts w:cstheme="minorHAnsi"/>
          <w:color w:val="1C1A15"/>
          <w:lang w:val="nl-BE"/>
        </w:rPr>
        <w:t>.</w:t>
      </w:r>
      <w:r w:rsidRPr="001E069C">
        <w:rPr>
          <w:rFonts w:cstheme="minorHAnsi"/>
          <w:color w:val="1C1A15"/>
          <w:lang w:val="nl-BE"/>
        </w:rPr>
        <w:t xml:space="preserve">000, onder de grens van onredelijke kosten), te vertrekken van die warmtestromen die het meeste bijdragen aan het activiteitsniveau van de warmtebenchmark </w:t>
      </w:r>
      <w:proofErr w:type="spellStart"/>
      <w:r w:rsidR="005E6A36">
        <w:rPr>
          <w:rFonts w:cstheme="minorHAnsi"/>
          <w:color w:val="1C1A15"/>
          <w:lang w:val="nl-BE"/>
        </w:rPr>
        <w:t>subinstallatie</w:t>
      </w:r>
      <w:proofErr w:type="spellEnd"/>
      <w:r w:rsidRPr="001E069C">
        <w:rPr>
          <w:rFonts w:cstheme="minorHAnsi"/>
          <w:color w:val="1C1A15"/>
          <w:lang w:val="nl-BE"/>
        </w:rPr>
        <w:t>.</w:t>
      </w:r>
    </w:p>
    <w:p w14:paraId="40DA9437" w14:textId="77777777" w:rsidR="007476CC" w:rsidRPr="001E069C" w:rsidRDefault="007476CC" w:rsidP="001E069C">
      <w:pPr>
        <w:rPr>
          <w:lang w:val="nl-BE"/>
        </w:rPr>
      </w:pPr>
    </w:p>
    <w:p w14:paraId="1CDE03D3" w14:textId="57630571" w:rsidR="008F10F2" w:rsidRPr="001E069C" w:rsidRDefault="008F10F2" w:rsidP="008F10F2">
      <w:pPr>
        <w:pStyle w:val="Kop2"/>
        <w:numPr>
          <w:ilvl w:val="1"/>
          <w:numId w:val="35"/>
        </w:numPr>
        <w:rPr>
          <w:rFonts w:asciiTheme="minorHAnsi" w:hAnsiTheme="minorHAnsi" w:cstheme="minorHAnsi"/>
          <w:lang w:val="nl-BE"/>
        </w:rPr>
      </w:pPr>
      <w:bookmarkStart w:id="36" w:name="_Toc160465620"/>
      <w:r w:rsidRPr="001E069C">
        <w:rPr>
          <w:rFonts w:asciiTheme="minorHAnsi" w:hAnsiTheme="minorHAnsi" w:cstheme="minorHAnsi"/>
          <w:lang w:val="nl-BE"/>
        </w:rPr>
        <w:t>Frequentie van bepaling technische onhaalbaarheid/onredelijke kosten</w:t>
      </w:r>
      <w:bookmarkEnd w:id="36"/>
    </w:p>
    <w:p w14:paraId="1DAF262B" w14:textId="1CDE2420" w:rsidR="00795E44" w:rsidRPr="001E069C" w:rsidRDefault="00795E44" w:rsidP="005364F7">
      <w:pPr>
        <w:autoSpaceDE w:val="0"/>
        <w:autoSpaceDN w:val="0"/>
        <w:adjustRightInd w:val="0"/>
        <w:spacing w:after="0" w:line="240" w:lineRule="auto"/>
        <w:jc w:val="both"/>
        <w:rPr>
          <w:rFonts w:cstheme="minorHAnsi"/>
          <w:color w:val="1C1A15"/>
          <w:lang w:val="nl-BE"/>
        </w:rPr>
      </w:pPr>
      <w:bookmarkStart w:id="37" w:name="_Toc159854401"/>
      <w:bookmarkEnd w:id="37"/>
      <w:r w:rsidRPr="001E069C">
        <w:rPr>
          <w:rFonts w:cstheme="minorHAnsi"/>
          <w:color w:val="1C1A15"/>
          <w:lang w:val="nl-BE"/>
        </w:rPr>
        <w:t xml:space="preserve">De bepaling van technische onhaalbaarheid/onredelijke kosten moet </w:t>
      </w:r>
      <w:r w:rsidRPr="001E069C">
        <w:rPr>
          <w:rFonts w:cstheme="minorHAnsi"/>
          <w:color w:val="1C1A15"/>
          <w:u w:val="single"/>
          <w:lang w:val="nl-BE"/>
        </w:rPr>
        <w:t xml:space="preserve">éénmaal </w:t>
      </w:r>
      <w:r w:rsidRPr="001E069C">
        <w:rPr>
          <w:rFonts w:cstheme="minorHAnsi"/>
          <w:color w:val="1C1A15"/>
          <w:lang w:val="nl-BE"/>
        </w:rPr>
        <w:t>gebeuren voor de periode 202</w:t>
      </w:r>
      <w:r w:rsidR="0067345A" w:rsidRPr="001E069C">
        <w:rPr>
          <w:rFonts w:cstheme="minorHAnsi"/>
          <w:color w:val="1C1A15"/>
          <w:lang w:val="nl-BE"/>
        </w:rPr>
        <w:t>6</w:t>
      </w:r>
      <w:r w:rsidRPr="001E069C">
        <w:rPr>
          <w:rFonts w:cstheme="minorHAnsi"/>
          <w:color w:val="1C1A15"/>
          <w:lang w:val="nl-BE"/>
        </w:rPr>
        <w:t>-</w:t>
      </w:r>
      <w:r w:rsidR="0067345A" w:rsidRPr="001E069C">
        <w:rPr>
          <w:rFonts w:cstheme="minorHAnsi"/>
          <w:color w:val="1C1A15"/>
          <w:lang w:val="nl-BE"/>
        </w:rPr>
        <w:t>2030</w:t>
      </w:r>
      <w:r w:rsidRPr="001E069C">
        <w:rPr>
          <w:rFonts w:cstheme="minorHAnsi"/>
          <w:color w:val="1C1A15"/>
          <w:lang w:val="nl-BE"/>
        </w:rPr>
        <w:t xml:space="preserve">, </w:t>
      </w:r>
      <w:r w:rsidR="0067345A" w:rsidRPr="001E069C">
        <w:rPr>
          <w:rFonts w:cstheme="minorHAnsi"/>
          <w:color w:val="1C1A15"/>
          <w:lang w:val="nl-BE"/>
        </w:rPr>
        <w:t>bij de opmaak van het MMP26-30</w:t>
      </w:r>
      <w:r w:rsidRPr="001E069C">
        <w:rPr>
          <w:rFonts w:cstheme="minorHAnsi"/>
          <w:color w:val="1C1A15"/>
          <w:lang w:val="nl-BE"/>
        </w:rPr>
        <w:t xml:space="preserve">. Indien er op basis van deze analyse een niveauverlaging </w:t>
      </w:r>
      <w:r w:rsidR="00065D50" w:rsidRPr="001E069C">
        <w:rPr>
          <w:rFonts w:cstheme="minorHAnsi"/>
          <w:color w:val="1C1A15"/>
          <w:lang w:val="nl-BE"/>
        </w:rPr>
        <w:t xml:space="preserve">in de hiërarchie </w:t>
      </w:r>
      <w:r w:rsidRPr="001E069C">
        <w:rPr>
          <w:rFonts w:cstheme="minorHAnsi"/>
          <w:color w:val="1C1A15"/>
          <w:lang w:val="nl-BE"/>
        </w:rPr>
        <w:t>wordt toegestaan, is het niet nodig om nadien elk jaar opnieuw te controleren of de ingeroepen technische onhaalbaarheid/onredelijke kosten nog van toepassing zijn.</w:t>
      </w:r>
    </w:p>
    <w:p w14:paraId="162E4C4D" w14:textId="77777777" w:rsidR="00065D50" w:rsidRPr="001E069C" w:rsidRDefault="00065D50" w:rsidP="005364F7">
      <w:pPr>
        <w:autoSpaceDE w:val="0"/>
        <w:autoSpaceDN w:val="0"/>
        <w:adjustRightInd w:val="0"/>
        <w:spacing w:after="0" w:line="240" w:lineRule="auto"/>
        <w:jc w:val="both"/>
        <w:rPr>
          <w:rFonts w:cstheme="minorHAnsi"/>
          <w:color w:val="1C1A15"/>
          <w:lang w:val="nl-BE"/>
        </w:rPr>
      </w:pPr>
    </w:p>
    <w:p w14:paraId="4388500D" w14:textId="085EC673" w:rsidR="00795E44" w:rsidRPr="001E069C" w:rsidRDefault="00795E44"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Bij wijze van uitzondering hierop moet een exploitant wel opnieuw nagaan of de ingeroepen technische onhaalbaarheid en/of onredelijke kosten nog van toepassing zijn in één van onderstaande gevallen:</w:t>
      </w:r>
    </w:p>
    <w:p w14:paraId="263827B6" w14:textId="31D77F52" w:rsidR="00795E44" w:rsidRPr="001E069C" w:rsidRDefault="00795E44" w:rsidP="005364F7">
      <w:pPr>
        <w:pStyle w:val="Lijstalinea"/>
        <w:numPr>
          <w:ilvl w:val="0"/>
          <w:numId w:val="6"/>
        </w:numPr>
        <w:autoSpaceDE w:val="0"/>
        <w:autoSpaceDN w:val="0"/>
        <w:adjustRightInd w:val="0"/>
        <w:spacing w:after="0" w:line="240" w:lineRule="auto"/>
        <w:ind w:left="1260"/>
        <w:jc w:val="both"/>
        <w:rPr>
          <w:rFonts w:cstheme="minorHAnsi"/>
          <w:color w:val="1C1A15"/>
          <w:lang w:val="nl-BE"/>
        </w:rPr>
      </w:pPr>
      <w:r w:rsidRPr="001E069C">
        <w:rPr>
          <w:rFonts w:cstheme="minorHAnsi"/>
          <w:color w:val="1C1A15"/>
          <w:lang w:val="nl-BE"/>
        </w:rPr>
        <w:t>De externe verificateur van het baseline</w:t>
      </w:r>
      <w:r w:rsidR="00214222">
        <w:rPr>
          <w:rFonts w:cstheme="minorHAnsi"/>
          <w:color w:val="1C1A15"/>
          <w:lang w:val="nl-BE"/>
        </w:rPr>
        <w:t xml:space="preserve"> data</w:t>
      </w:r>
      <w:r w:rsidRPr="001E069C">
        <w:rPr>
          <w:rFonts w:cstheme="minorHAnsi"/>
          <w:color w:val="1C1A15"/>
          <w:lang w:val="nl-BE"/>
        </w:rPr>
        <w:t>/activiteit</w:t>
      </w:r>
      <w:r w:rsidR="00065D50" w:rsidRPr="001E069C">
        <w:rPr>
          <w:rFonts w:cstheme="minorHAnsi"/>
          <w:color w:val="1C1A15"/>
          <w:lang w:val="nl-BE"/>
        </w:rPr>
        <w:t>s</w:t>
      </w:r>
      <w:r w:rsidRPr="001E069C">
        <w:rPr>
          <w:rFonts w:cstheme="minorHAnsi"/>
          <w:color w:val="1C1A15"/>
          <w:lang w:val="nl-BE"/>
        </w:rPr>
        <w:t>niveaurapport neemt als opmerking in het verificatierapport op dat technische onhaalbaarheid</w:t>
      </w:r>
      <w:r w:rsidR="00065D50" w:rsidRPr="001E069C">
        <w:rPr>
          <w:rFonts w:cstheme="minorHAnsi"/>
          <w:color w:val="1C1A15"/>
          <w:lang w:val="nl-BE"/>
        </w:rPr>
        <w:t xml:space="preserve"> of </w:t>
      </w:r>
      <w:r w:rsidRPr="001E069C">
        <w:rPr>
          <w:rFonts w:cstheme="minorHAnsi"/>
          <w:color w:val="1C1A15"/>
          <w:lang w:val="nl-BE"/>
        </w:rPr>
        <w:t>onredelijke kosten niet (langer) van toepassing zijn</w:t>
      </w:r>
    </w:p>
    <w:p w14:paraId="165A0BF1" w14:textId="1E5D5A3A" w:rsidR="00795E44" w:rsidRPr="001E069C" w:rsidRDefault="00795E44" w:rsidP="005364F7">
      <w:pPr>
        <w:pStyle w:val="Lijstalinea"/>
        <w:numPr>
          <w:ilvl w:val="0"/>
          <w:numId w:val="6"/>
        </w:numPr>
        <w:autoSpaceDE w:val="0"/>
        <w:autoSpaceDN w:val="0"/>
        <w:adjustRightInd w:val="0"/>
        <w:spacing w:after="0" w:line="240" w:lineRule="auto"/>
        <w:ind w:left="1260"/>
        <w:jc w:val="both"/>
        <w:rPr>
          <w:rFonts w:cstheme="minorHAnsi"/>
          <w:color w:val="1C1A15"/>
          <w:lang w:val="nl-BE"/>
        </w:rPr>
      </w:pPr>
      <w:r w:rsidRPr="001E069C">
        <w:rPr>
          <w:rFonts w:cstheme="minorHAnsi"/>
          <w:color w:val="1C1A15"/>
          <w:lang w:val="nl-BE"/>
        </w:rPr>
        <w:t xml:space="preserve">De toewijzing voor de betrokken </w:t>
      </w:r>
      <w:proofErr w:type="spellStart"/>
      <w:r w:rsidR="005E6A36">
        <w:rPr>
          <w:rFonts w:cstheme="minorHAnsi"/>
          <w:color w:val="1C1A15"/>
          <w:lang w:val="nl-BE"/>
        </w:rPr>
        <w:t>subinstallatie</w:t>
      </w:r>
      <w:proofErr w:type="spellEnd"/>
      <w:r w:rsidRPr="001E069C">
        <w:rPr>
          <w:rFonts w:cstheme="minorHAnsi"/>
          <w:color w:val="1C1A15"/>
          <w:lang w:val="nl-BE"/>
        </w:rPr>
        <w:t>(s) wordt aangepast tijdens de periode 202</w:t>
      </w:r>
      <w:r w:rsidR="0067345A" w:rsidRPr="001E069C">
        <w:rPr>
          <w:rFonts w:cstheme="minorHAnsi"/>
          <w:color w:val="1C1A15"/>
          <w:lang w:val="nl-BE"/>
        </w:rPr>
        <w:t>6</w:t>
      </w:r>
      <w:r w:rsidRPr="001E069C">
        <w:rPr>
          <w:rFonts w:cstheme="minorHAnsi"/>
          <w:color w:val="1C1A15"/>
          <w:lang w:val="nl-BE"/>
        </w:rPr>
        <w:t>-20</w:t>
      </w:r>
      <w:r w:rsidR="0067345A" w:rsidRPr="001E069C">
        <w:rPr>
          <w:rFonts w:cstheme="minorHAnsi"/>
          <w:color w:val="1C1A15"/>
          <w:lang w:val="nl-BE"/>
        </w:rPr>
        <w:t>30</w:t>
      </w:r>
    </w:p>
    <w:p w14:paraId="36EFD9F5" w14:textId="77777777" w:rsidR="00795E44" w:rsidRPr="001E069C" w:rsidRDefault="00795E44" w:rsidP="005364F7">
      <w:pPr>
        <w:autoSpaceDE w:val="0"/>
        <w:autoSpaceDN w:val="0"/>
        <w:adjustRightInd w:val="0"/>
        <w:spacing w:after="0" w:line="240" w:lineRule="auto"/>
        <w:jc w:val="both"/>
        <w:rPr>
          <w:rFonts w:cstheme="minorHAnsi"/>
          <w:color w:val="1C1A15"/>
          <w:lang w:val="nl-BE"/>
        </w:rPr>
      </w:pPr>
    </w:p>
    <w:p w14:paraId="779F0D86" w14:textId="77777777" w:rsidR="00795E44" w:rsidRPr="001E069C" w:rsidRDefault="00795E44" w:rsidP="005364F7">
      <w:pPr>
        <w:autoSpaceDE w:val="0"/>
        <w:autoSpaceDN w:val="0"/>
        <w:adjustRightInd w:val="0"/>
        <w:spacing w:after="0" w:line="240" w:lineRule="auto"/>
        <w:jc w:val="both"/>
        <w:rPr>
          <w:rFonts w:cstheme="minorHAnsi"/>
          <w:color w:val="1C1A15"/>
          <w:lang w:val="nl-BE"/>
        </w:rPr>
      </w:pPr>
    </w:p>
    <w:p w14:paraId="71CF43C1" w14:textId="29BF5D33" w:rsidR="00795E44" w:rsidRPr="00802946" w:rsidRDefault="009D6BE5" w:rsidP="001E069C">
      <w:pPr>
        <w:pStyle w:val="Kop2"/>
        <w:numPr>
          <w:ilvl w:val="1"/>
          <w:numId w:val="35"/>
        </w:numPr>
        <w:rPr>
          <w:rFonts w:cstheme="minorHAnsi"/>
          <w:lang w:val="nl-BE"/>
        </w:rPr>
      </w:pPr>
      <w:bookmarkStart w:id="38" w:name="_Toc160465621"/>
      <w:r w:rsidRPr="001E069C">
        <w:rPr>
          <w:rFonts w:asciiTheme="minorHAnsi" w:hAnsiTheme="minorHAnsi" w:cstheme="minorHAnsi"/>
          <w:lang w:val="nl-BE"/>
        </w:rPr>
        <w:t>Praktische uitvoering van de verbetering van de gegevensbronnen</w:t>
      </w:r>
      <w:bookmarkEnd w:id="38"/>
      <w:r w:rsidRPr="001E069C">
        <w:rPr>
          <w:rFonts w:asciiTheme="minorHAnsi" w:hAnsiTheme="minorHAnsi" w:cstheme="minorHAnsi"/>
          <w:lang w:val="nl-BE"/>
        </w:rPr>
        <w:t xml:space="preserve"> </w:t>
      </w:r>
    </w:p>
    <w:p w14:paraId="104FF749" w14:textId="0E9CDE02" w:rsidR="00994BE2" w:rsidRPr="001E069C" w:rsidRDefault="009D6BE5" w:rsidP="005364F7">
      <w:pPr>
        <w:jc w:val="both"/>
        <w:rPr>
          <w:rFonts w:cstheme="minorHAnsi"/>
          <w:lang w:val="nl-BE"/>
        </w:rPr>
      </w:pPr>
      <w:r w:rsidRPr="001E069C">
        <w:rPr>
          <w:rFonts w:cstheme="minorHAnsi"/>
          <w:lang w:val="nl-BE"/>
        </w:rPr>
        <w:t>Om een goed, volledig en</w:t>
      </w:r>
      <w:r w:rsidR="0043165D" w:rsidRPr="001E069C">
        <w:rPr>
          <w:rFonts w:cstheme="minorHAnsi"/>
          <w:lang w:val="nl-BE"/>
        </w:rPr>
        <w:t xml:space="preserve"> snel overzicht te hebben van alle gegevensbronnen,</w:t>
      </w:r>
      <w:r w:rsidRPr="001E069C">
        <w:rPr>
          <w:rFonts w:cstheme="minorHAnsi"/>
          <w:lang w:val="nl-BE"/>
        </w:rPr>
        <w:t xml:space="preserve"> hun nauwkeurigheid</w:t>
      </w:r>
      <w:r w:rsidR="0043165D" w:rsidRPr="001E069C">
        <w:rPr>
          <w:rFonts w:cstheme="minorHAnsi"/>
          <w:lang w:val="nl-BE"/>
        </w:rPr>
        <w:t>, onderhoud, enz</w:t>
      </w:r>
      <w:r w:rsidR="00F54715">
        <w:rPr>
          <w:rFonts w:cstheme="minorHAnsi"/>
          <w:lang w:val="nl-BE"/>
        </w:rPr>
        <w:t>ovoort</w:t>
      </w:r>
      <w:r w:rsidR="00D2236C" w:rsidRPr="001E069C">
        <w:rPr>
          <w:rFonts w:cstheme="minorHAnsi"/>
          <w:lang w:val="nl-BE"/>
        </w:rPr>
        <w:t xml:space="preserve"> </w:t>
      </w:r>
      <w:r w:rsidR="0043165D" w:rsidRPr="001E069C">
        <w:rPr>
          <w:rFonts w:cstheme="minorHAnsi"/>
          <w:lang w:val="nl-BE"/>
        </w:rPr>
        <w:t>kan men best</w:t>
      </w:r>
      <w:r w:rsidRPr="001E069C">
        <w:rPr>
          <w:rFonts w:cstheme="minorHAnsi"/>
          <w:lang w:val="nl-BE"/>
        </w:rPr>
        <w:t xml:space="preserve"> Exceltabel</w:t>
      </w:r>
      <w:r w:rsidR="00D2236C" w:rsidRPr="001E069C">
        <w:rPr>
          <w:rFonts w:cstheme="minorHAnsi"/>
          <w:lang w:val="nl-BE"/>
        </w:rPr>
        <w:t>len</w:t>
      </w:r>
      <w:r w:rsidR="0043165D" w:rsidRPr="001E069C">
        <w:rPr>
          <w:rFonts w:cstheme="minorHAnsi"/>
          <w:lang w:val="nl-BE"/>
        </w:rPr>
        <w:t xml:space="preserve"> maken</w:t>
      </w:r>
      <w:r w:rsidRPr="001E069C">
        <w:rPr>
          <w:rFonts w:cstheme="minorHAnsi"/>
          <w:lang w:val="nl-BE"/>
        </w:rPr>
        <w:t xml:space="preserve"> </w:t>
      </w:r>
      <w:r w:rsidR="00065D50" w:rsidRPr="001E069C">
        <w:rPr>
          <w:rFonts w:cstheme="minorHAnsi"/>
          <w:lang w:val="nl-BE"/>
        </w:rPr>
        <w:t>–</w:t>
      </w:r>
      <w:r w:rsidR="00D2236C" w:rsidRPr="001E069C">
        <w:rPr>
          <w:rFonts w:cstheme="minorHAnsi"/>
          <w:lang w:val="nl-BE"/>
        </w:rPr>
        <w:t xml:space="preserve"> in</w:t>
      </w:r>
      <w:r w:rsidR="00065D50" w:rsidRPr="001E069C">
        <w:rPr>
          <w:rFonts w:cstheme="minorHAnsi"/>
          <w:lang w:val="nl-BE"/>
        </w:rPr>
        <w:t xml:space="preserve"> </w:t>
      </w:r>
      <w:r w:rsidR="00D2236C" w:rsidRPr="001E069C">
        <w:rPr>
          <w:rFonts w:cstheme="minorHAnsi"/>
          <w:lang w:val="nl-BE"/>
        </w:rPr>
        <w:t xml:space="preserve">overeenstemming met de rubrieken in de tabbladen van het MMP </w:t>
      </w:r>
      <w:r w:rsidR="00065D50" w:rsidRPr="001E069C">
        <w:rPr>
          <w:rFonts w:cstheme="minorHAnsi"/>
          <w:lang w:val="nl-BE"/>
        </w:rPr>
        <w:t>–</w:t>
      </w:r>
      <w:r w:rsidR="00D2236C" w:rsidRPr="001E069C">
        <w:rPr>
          <w:rFonts w:cstheme="minorHAnsi"/>
          <w:lang w:val="nl-BE"/>
        </w:rPr>
        <w:t xml:space="preserve"> </w:t>
      </w:r>
      <w:r w:rsidRPr="001E069C">
        <w:rPr>
          <w:rFonts w:cstheme="minorHAnsi"/>
          <w:lang w:val="nl-BE"/>
        </w:rPr>
        <w:t>met</w:t>
      </w:r>
      <w:r w:rsidR="00065D50" w:rsidRPr="001E069C">
        <w:rPr>
          <w:rFonts w:cstheme="minorHAnsi"/>
          <w:lang w:val="nl-BE"/>
        </w:rPr>
        <w:t xml:space="preserve"> </w:t>
      </w:r>
      <w:r w:rsidRPr="001E069C">
        <w:rPr>
          <w:rFonts w:cstheme="minorHAnsi"/>
          <w:lang w:val="nl-BE"/>
        </w:rPr>
        <w:t xml:space="preserve">daarin de gegevensbronnen </w:t>
      </w:r>
      <w:r w:rsidR="00D2236C" w:rsidRPr="001E069C">
        <w:rPr>
          <w:rFonts w:cstheme="minorHAnsi"/>
          <w:lang w:val="nl-BE"/>
        </w:rPr>
        <w:t>en hun</w:t>
      </w:r>
      <w:r w:rsidRPr="001E069C">
        <w:rPr>
          <w:rFonts w:cstheme="minorHAnsi"/>
          <w:lang w:val="nl-BE"/>
        </w:rPr>
        <w:t xml:space="preserve"> eigenschappen. </w:t>
      </w:r>
    </w:p>
    <w:p w14:paraId="688970A3" w14:textId="475F7041" w:rsidR="00494DB5" w:rsidRPr="001E069C" w:rsidRDefault="00494DB5" w:rsidP="005364F7">
      <w:pPr>
        <w:jc w:val="both"/>
        <w:rPr>
          <w:rFonts w:cstheme="minorHAnsi"/>
          <w:lang w:val="nl-BE"/>
        </w:rPr>
      </w:pPr>
      <w:r w:rsidRPr="001E069C">
        <w:rPr>
          <w:rFonts w:cstheme="minorHAnsi"/>
          <w:lang w:val="nl-BE"/>
        </w:rPr>
        <w:t xml:space="preserve">In bijlage </w:t>
      </w:r>
      <w:r w:rsidR="003D48EE" w:rsidRPr="001E069C">
        <w:rPr>
          <w:rFonts w:cstheme="minorHAnsi"/>
          <w:lang w:val="nl-BE"/>
        </w:rPr>
        <w:t xml:space="preserve">1 </w:t>
      </w:r>
      <w:r w:rsidR="00694991" w:rsidRPr="001E069C">
        <w:rPr>
          <w:rFonts w:cstheme="minorHAnsi"/>
          <w:lang w:val="nl-BE"/>
        </w:rPr>
        <w:t xml:space="preserve">hieronder </w:t>
      </w:r>
      <w:r w:rsidRPr="001E069C">
        <w:rPr>
          <w:rFonts w:cstheme="minorHAnsi"/>
          <w:lang w:val="nl-BE"/>
        </w:rPr>
        <w:t xml:space="preserve">vindt men een </w:t>
      </w:r>
      <w:r w:rsidR="00D26F2E" w:rsidRPr="001E069C">
        <w:rPr>
          <w:rFonts w:cstheme="minorHAnsi"/>
          <w:lang w:val="nl-BE"/>
        </w:rPr>
        <w:t>voorstel/</w:t>
      </w:r>
      <w:r w:rsidRPr="001E069C">
        <w:rPr>
          <w:rFonts w:cstheme="minorHAnsi"/>
          <w:lang w:val="nl-BE"/>
        </w:rPr>
        <w:t xml:space="preserve">voorbeeld van dergelijke tabellen. Het gaat hier </w:t>
      </w:r>
      <w:r w:rsidR="00E82E7E" w:rsidRPr="001E069C">
        <w:rPr>
          <w:rFonts w:cstheme="minorHAnsi"/>
          <w:lang w:val="nl-BE"/>
        </w:rPr>
        <w:t xml:space="preserve">voor alle </w:t>
      </w:r>
      <w:r w:rsidRPr="001E069C">
        <w:rPr>
          <w:rFonts w:cstheme="minorHAnsi"/>
          <w:lang w:val="nl-BE"/>
        </w:rPr>
        <w:t>duidelijk</w:t>
      </w:r>
      <w:r w:rsidR="00E82E7E" w:rsidRPr="001E069C">
        <w:rPr>
          <w:rFonts w:cstheme="minorHAnsi"/>
          <w:lang w:val="nl-BE"/>
        </w:rPr>
        <w:t>heid</w:t>
      </w:r>
      <w:r w:rsidRPr="001E069C">
        <w:rPr>
          <w:rFonts w:cstheme="minorHAnsi"/>
          <w:lang w:val="nl-BE"/>
        </w:rPr>
        <w:t xml:space="preserve"> o</w:t>
      </w:r>
      <w:r w:rsidR="00401AFC">
        <w:rPr>
          <w:rFonts w:cstheme="minorHAnsi"/>
          <w:lang w:val="nl-BE"/>
        </w:rPr>
        <w:t>m</w:t>
      </w:r>
      <w:r w:rsidRPr="001E069C">
        <w:rPr>
          <w:rFonts w:cstheme="minorHAnsi"/>
          <w:lang w:val="nl-BE"/>
        </w:rPr>
        <w:t xml:space="preserve"> een voorbeeld, waarvan het stramien best overgenomen wordt, maar niet de inhoud als dusdanig.</w:t>
      </w:r>
    </w:p>
    <w:bookmarkStart w:id="39" w:name="_MON_1633254296"/>
    <w:bookmarkEnd w:id="39"/>
    <w:p w14:paraId="6CF1F3C0" w14:textId="2FAC73BB" w:rsidR="00694991" w:rsidRPr="001E069C" w:rsidRDefault="009A6BDD" w:rsidP="005364F7">
      <w:pPr>
        <w:jc w:val="both"/>
        <w:rPr>
          <w:rFonts w:cstheme="minorHAnsi"/>
          <w:lang w:val="nl-BE"/>
        </w:rPr>
      </w:pPr>
      <w:r w:rsidRPr="00FB2B47">
        <w:rPr>
          <w:rFonts w:cstheme="minorHAnsi"/>
          <w:lang w:val="nl-BE"/>
        </w:rPr>
        <w:object w:dxaOrig="1376" w:dyaOrig="893" w14:anchorId="7DA00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20" o:title=""/>
          </v:shape>
          <o:OLEObject Type="Embed" ProgID="Excel.Sheet.12" ShapeID="_x0000_i1025" DrawAspect="Icon" ObjectID="_1771078756" r:id="rId21"/>
        </w:object>
      </w:r>
    </w:p>
    <w:p w14:paraId="26A0200C" w14:textId="77777777" w:rsidR="00494DB5" w:rsidRPr="001E069C" w:rsidRDefault="00494DB5" w:rsidP="005364F7">
      <w:pPr>
        <w:jc w:val="both"/>
        <w:rPr>
          <w:rFonts w:cstheme="minorHAnsi"/>
          <w:lang w:val="nl-BE"/>
        </w:rPr>
      </w:pPr>
      <w:r w:rsidRPr="001E069C">
        <w:rPr>
          <w:rFonts w:cstheme="minorHAnsi"/>
          <w:lang w:val="nl-BE"/>
        </w:rPr>
        <w:t>Bedrijven die veel brandstoffen en energiegeneraties en -verbruiken hebben, beschikken meestal over dergelijke tabellen, maar dienen ze wellicht aan te vullen met informatie over kalibratie en onderhoud van meters en zo nodig met actiepunten om te voldoen aan de hoogst vereiste nauwkeurigheden of uitzonderingen daarop aan te vragen.</w:t>
      </w:r>
    </w:p>
    <w:p w14:paraId="1963A8AD" w14:textId="77777777" w:rsidR="00994BE2" w:rsidRPr="001E069C" w:rsidRDefault="00494DB5" w:rsidP="005364F7">
      <w:pPr>
        <w:jc w:val="both"/>
        <w:rPr>
          <w:rFonts w:cstheme="minorHAnsi"/>
          <w:lang w:val="nl-BE"/>
        </w:rPr>
      </w:pPr>
      <w:r w:rsidRPr="001E069C">
        <w:rPr>
          <w:rFonts w:cstheme="minorHAnsi"/>
          <w:lang w:val="nl-BE"/>
        </w:rPr>
        <w:t>Voor kleinere bedrijven die niet over dergelijke tabellen beschikken kunnen de voorbeeldtabellen een hulpmiddel zijn</w:t>
      </w:r>
      <w:r w:rsidR="00994BE2" w:rsidRPr="001E069C">
        <w:rPr>
          <w:rFonts w:cstheme="minorHAnsi"/>
          <w:lang w:val="nl-BE"/>
        </w:rPr>
        <w:t>.</w:t>
      </w:r>
    </w:p>
    <w:p w14:paraId="12587997" w14:textId="77777777" w:rsidR="00994BE2" w:rsidRPr="001E069C" w:rsidRDefault="00994BE2" w:rsidP="005364F7">
      <w:pPr>
        <w:jc w:val="both"/>
        <w:rPr>
          <w:rFonts w:cstheme="minorHAnsi"/>
          <w:lang w:val="nl-BE"/>
        </w:rPr>
      </w:pPr>
    </w:p>
    <w:p w14:paraId="2A47B7CB" w14:textId="77777777" w:rsidR="00234F6C" w:rsidRPr="001E069C" w:rsidRDefault="00234F6C">
      <w:pPr>
        <w:rPr>
          <w:rFonts w:eastAsiaTheme="majorEastAsia" w:cstheme="minorHAnsi"/>
          <w:color w:val="2F5496" w:themeColor="accent1" w:themeShade="BF"/>
          <w:sz w:val="32"/>
          <w:szCs w:val="32"/>
          <w:lang w:val="nl-BE"/>
        </w:rPr>
      </w:pPr>
      <w:r>
        <w:rPr>
          <w:lang w:val="nl-BE"/>
        </w:rPr>
        <w:br w:type="page"/>
      </w:r>
    </w:p>
    <w:p w14:paraId="541FF39F" w14:textId="04EF149C" w:rsidR="00795E44" w:rsidRPr="00802946" w:rsidRDefault="00C64C29" w:rsidP="001E069C">
      <w:pPr>
        <w:pStyle w:val="Kop1"/>
        <w:numPr>
          <w:ilvl w:val="0"/>
          <w:numId w:val="35"/>
        </w:numPr>
        <w:rPr>
          <w:rFonts w:cstheme="minorHAnsi"/>
          <w:lang w:val="nl-BE"/>
        </w:rPr>
      </w:pPr>
      <w:bookmarkStart w:id="40" w:name="_Toc160465622"/>
      <w:r w:rsidRPr="001E069C">
        <w:rPr>
          <w:rFonts w:asciiTheme="minorHAnsi" w:hAnsiTheme="minorHAnsi" w:cstheme="minorHAnsi"/>
          <w:lang w:val="nl-BE"/>
        </w:rPr>
        <w:lastRenderedPageBreak/>
        <w:t>Verduidelijking methodiek</w:t>
      </w:r>
      <w:bookmarkEnd w:id="40"/>
    </w:p>
    <w:p w14:paraId="7685842C" w14:textId="76D16B59" w:rsidR="00206356" w:rsidRPr="001E069C" w:rsidRDefault="00134A6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Het MMP moet beschrijven hoe de gegevens</w:t>
      </w:r>
      <w:r w:rsidR="009A6BDD" w:rsidRPr="001E069C">
        <w:rPr>
          <w:rFonts w:cstheme="minorHAnsi"/>
          <w:color w:val="1C1A15"/>
          <w:lang w:val="nl-BE"/>
        </w:rPr>
        <w:t>,</w:t>
      </w:r>
      <w:r w:rsidRPr="001E069C">
        <w:rPr>
          <w:rFonts w:cstheme="minorHAnsi"/>
          <w:color w:val="1C1A15"/>
          <w:lang w:val="nl-BE"/>
        </w:rPr>
        <w:t xml:space="preserve"> </w:t>
      </w:r>
      <w:r w:rsidR="009A6BDD" w:rsidRPr="001E069C">
        <w:rPr>
          <w:rFonts w:cstheme="minorHAnsi"/>
          <w:color w:val="1C1A15"/>
          <w:lang w:val="nl-BE"/>
        </w:rPr>
        <w:t>die dienen voor de bepaling van de toewijzing</w:t>
      </w:r>
      <w:r w:rsidR="00314A3F" w:rsidRPr="001E069C">
        <w:rPr>
          <w:rFonts w:cstheme="minorHAnsi"/>
          <w:color w:val="1C1A15"/>
          <w:lang w:val="nl-BE"/>
        </w:rPr>
        <w:t>,</w:t>
      </w:r>
      <w:r w:rsidR="009A6BDD" w:rsidRPr="001E069C">
        <w:rPr>
          <w:rFonts w:cstheme="minorHAnsi"/>
          <w:color w:val="1C1A15"/>
          <w:lang w:val="nl-BE"/>
        </w:rPr>
        <w:t xml:space="preserve"> </w:t>
      </w:r>
      <w:r w:rsidRPr="001E069C">
        <w:rPr>
          <w:rFonts w:cstheme="minorHAnsi"/>
          <w:color w:val="1C1A15"/>
          <w:lang w:val="nl-BE"/>
        </w:rPr>
        <w:t>zullen worden verzameld en verwerkt</w:t>
      </w:r>
      <w:r w:rsidR="009A6BDD" w:rsidRPr="001E069C">
        <w:rPr>
          <w:rFonts w:cstheme="minorHAnsi"/>
          <w:color w:val="1C1A15"/>
          <w:lang w:val="nl-BE"/>
        </w:rPr>
        <w:t>.</w:t>
      </w:r>
      <w:r w:rsidRPr="001E069C">
        <w:rPr>
          <w:rFonts w:cstheme="minorHAnsi"/>
          <w:color w:val="1C1A15"/>
          <w:lang w:val="nl-BE"/>
        </w:rPr>
        <w:t xml:space="preserve"> De vuistregel daarbij is dat een externe lezer die nog niet vertrouwd is met de installatie enkel op basis van de inhoud van het MMP (en duidelijke bijlagen) kan begrijpen hoe de verschillende gegevens die uiteindelijk worden ingevuld in het baseline </w:t>
      </w:r>
      <w:r w:rsidR="00214222">
        <w:rPr>
          <w:rFonts w:cstheme="minorHAnsi"/>
          <w:color w:val="1C1A15"/>
          <w:lang w:val="nl-BE"/>
        </w:rPr>
        <w:t xml:space="preserve">data </w:t>
      </w:r>
      <w:r w:rsidRPr="001E069C">
        <w:rPr>
          <w:rFonts w:cstheme="minorHAnsi"/>
          <w:color w:val="1C1A15"/>
          <w:lang w:val="nl-BE"/>
        </w:rPr>
        <w:t>rapport of het jaarlijkse activiteitgegevensrapport</w:t>
      </w:r>
      <w:r w:rsidR="00330402" w:rsidRPr="001E069C">
        <w:rPr>
          <w:rFonts w:cstheme="minorHAnsi"/>
          <w:color w:val="1C1A15"/>
          <w:lang w:val="nl-BE"/>
        </w:rPr>
        <w:t xml:space="preserve"> worden verzameld en berekend</w:t>
      </w:r>
      <w:r w:rsidR="00314A3F" w:rsidRPr="001E069C">
        <w:rPr>
          <w:rFonts w:cstheme="minorHAnsi"/>
          <w:color w:val="1C1A15"/>
          <w:lang w:val="nl-BE"/>
        </w:rPr>
        <w:t>.</w:t>
      </w:r>
    </w:p>
    <w:p w14:paraId="73C664BE" w14:textId="1F70B3EB" w:rsidR="00206356" w:rsidRPr="001E069C" w:rsidRDefault="00206356" w:rsidP="005364F7">
      <w:pPr>
        <w:autoSpaceDE w:val="0"/>
        <w:autoSpaceDN w:val="0"/>
        <w:adjustRightInd w:val="0"/>
        <w:spacing w:after="0" w:line="240" w:lineRule="auto"/>
        <w:jc w:val="both"/>
        <w:rPr>
          <w:rFonts w:cstheme="minorHAnsi"/>
          <w:color w:val="1C1A15"/>
          <w:lang w:val="nl-BE"/>
        </w:rPr>
      </w:pPr>
    </w:p>
    <w:p w14:paraId="7AD0D83E" w14:textId="639EC030" w:rsidR="00134A67" w:rsidRPr="001E069C" w:rsidRDefault="00134A67" w:rsidP="005364F7">
      <w:pPr>
        <w:spacing w:after="0"/>
        <w:jc w:val="both"/>
        <w:rPr>
          <w:rFonts w:cstheme="minorHAnsi"/>
          <w:color w:val="1C1A15"/>
          <w:lang w:val="nl-BE"/>
        </w:rPr>
      </w:pPr>
      <w:r w:rsidRPr="001E069C">
        <w:rPr>
          <w:rFonts w:cstheme="minorHAnsi"/>
          <w:color w:val="1C1A15"/>
          <w:lang w:val="nl-BE"/>
        </w:rPr>
        <w:t xml:space="preserve">Er is dus een groot verschil tussen het MMP enerzijds en het baseline </w:t>
      </w:r>
      <w:r w:rsidR="00214222">
        <w:rPr>
          <w:rFonts w:cstheme="minorHAnsi"/>
          <w:color w:val="1C1A15"/>
          <w:lang w:val="nl-BE"/>
        </w:rPr>
        <w:t xml:space="preserve">data </w:t>
      </w:r>
      <w:r w:rsidRPr="001E069C">
        <w:rPr>
          <w:rFonts w:cstheme="minorHAnsi"/>
          <w:color w:val="1C1A15"/>
          <w:lang w:val="nl-BE"/>
        </w:rPr>
        <w:t xml:space="preserve">rapport en </w:t>
      </w:r>
      <w:r w:rsidR="0067345A" w:rsidRPr="001E069C">
        <w:rPr>
          <w:rFonts w:cstheme="minorHAnsi"/>
          <w:color w:val="1C1A15"/>
          <w:lang w:val="nl-BE"/>
        </w:rPr>
        <w:t xml:space="preserve">ALC </w:t>
      </w:r>
      <w:r w:rsidRPr="001E069C">
        <w:rPr>
          <w:rFonts w:cstheme="minorHAnsi"/>
          <w:color w:val="1C1A15"/>
          <w:lang w:val="nl-BE"/>
        </w:rPr>
        <w:t xml:space="preserve">rapport anderzijds: het baseline </w:t>
      </w:r>
      <w:r w:rsidR="00214222">
        <w:rPr>
          <w:rFonts w:cstheme="minorHAnsi"/>
          <w:color w:val="1C1A15"/>
          <w:lang w:val="nl-BE"/>
        </w:rPr>
        <w:t xml:space="preserve">data </w:t>
      </w:r>
      <w:r w:rsidRPr="001E069C">
        <w:rPr>
          <w:rFonts w:cstheme="minorHAnsi"/>
          <w:color w:val="1C1A15"/>
          <w:lang w:val="nl-BE"/>
        </w:rPr>
        <w:t xml:space="preserve">en </w:t>
      </w:r>
      <w:r w:rsidR="0067345A" w:rsidRPr="001E069C">
        <w:rPr>
          <w:rFonts w:cstheme="minorHAnsi"/>
          <w:color w:val="1C1A15"/>
          <w:lang w:val="nl-BE"/>
        </w:rPr>
        <w:t xml:space="preserve">ALC </w:t>
      </w:r>
      <w:r w:rsidRPr="001E069C">
        <w:rPr>
          <w:rFonts w:cstheme="minorHAnsi"/>
          <w:color w:val="1C1A15"/>
          <w:lang w:val="nl-BE"/>
        </w:rPr>
        <w:t>rapport bevatten data - meestal in hard gecodeerde vorm - terwijl het MMP de methodiek beschrijft vanwaar die data komen, hoe ze berekend en samengesteld worden. Dit betekent dat het MMP – zoals een monitoringplan – de methode en formules moet bevatten hoe men vanuit een debietmeting, een calorische waarde, een emissiefactor enz</w:t>
      </w:r>
      <w:r w:rsidR="00C4395D">
        <w:rPr>
          <w:rFonts w:cstheme="minorHAnsi"/>
          <w:color w:val="1C1A15"/>
          <w:lang w:val="nl-BE"/>
        </w:rPr>
        <w:t>ovoort</w:t>
      </w:r>
      <w:r w:rsidRPr="001E069C">
        <w:rPr>
          <w:rFonts w:cstheme="minorHAnsi"/>
          <w:color w:val="1C1A15"/>
          <w:lang w:val="nl-BE"/>
        </w:rPr>
        <w:t xml:space="preserve"> komt tot energieverbruiken en emissies met een verwijzing naar de locatie in het baseline </w:t>
      </w:r>
      <w:r w:rsidR="00214222">
        <w:rPr>
          <w:rFonts w:cstheme="minorHAnsi"/>
          <w:color w:val="1C1A15"/>
          <w:lang w:val="nl-BE"/>
        </w:rPr>
        <w:t xml:space="preserve">data </w:t>
      </w:r>
      <w:r w:rsidRPr="001E069C">
        <w:rPr>
          <w:rFonts w:cstheme="minorHAnsi"/>
          <w:color w:val="1C1A15"/>
          <w:lang w:val="nl-BE"/>
        </w:rPr>
        <w:t xml:space="preserve">rapport (en in de toekomst het </w:t>
      </w:r>
      <w:r w:rsidR="0067345A" w:rsidRPr="001E069C">
        <w:rPr>
          <w:rFonts w:cstheme="minorHAnsi"/>
          <w:color w:val="1C1A15"/>
          <w:lang w:val="nl-BE"/>
        </w:rPr>
        <w:t xml:space="preserve">ALC </w:t>
      </w:r>
      <w:r w:rsidRPr="001E069C">
        <w:rPr>
          <w:rFonts w:cstheme="minorHAnsi"/>
          <w:color w:val="1C1A15"/>
          <w:lang w:val="nl-BE"/>
        </w:rPr>
        <w:t>rapport) waar men deze data terug kan vinden.</w:t>
      </w:r>
    </w:p>
    <w:p w14:paraId="41B2FA8A" w14:textId="0A425481" w:rsidR="00134A67" w:rsidRPr="001E069C" w:rsidRDefault="00134A67" w:rsidP="005364F7">
      <w:pPr>
        <w:autoSpaceDE w:val="0"/>
        <w:autoSpaceDN w:val="0"/>
        <w:adjustRightInd w:val="0"/>
        <w:spacing w:after="0" w:line="240" w:lineRule="auto"/>
        <w:jc w:val="both"/>
        <w:rPr>
          <w:rFonts w:cstheme="minorHAnsi"/>
          <w:color w:val="1C1A15"/>
          <w:lang w:val="nl-BE"/>
        </w:rPr>
      </w:pPr>
    </w:p>
    <w:p w14:paraId="67479B11" w14:textId="69AA8606" w:rsidR="00134A67" w:rsidRPr="001E069C" w:rsidRDefault="00AA13AE"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Bij de beschrijving van methodieken</w:t>
      </w:r>
      <w:r w:rsidR="00694991" w:rsidRPr="001E069C">
        <w:rPr>
          <w:rFonts w:cstheme="minorHAnsi"/>
          <w:color w:val="1C1A15"/>
          <w:lang w:val="nl-BE"/>
        </w:rPr>
        <w:t xml:space="preserve"> in </w:t>
      </w:r>
      <w:r w:rsidR="00134A67" w:rsidRPr="001E069C">
        <w:rPr>
          <w:rFonts w:cstheme="minorHAnsi"/>
          <w:color w:val="1C1A15"/>
          <w:lang w:val="nl-BE"/>
        </w:rPr>
        <w:t xml:space="preserve">secties D.I en secties E t.e.m. H van </w:t>
      </w:r>
      <w:r w:rsidR="00694991" w:rsidRPr="001E069C">
        <w:rPr>
          <w:rFonts w:cstheme="minorHAnsi"/>
          <w:color w:val="1C1A15"/>
          <w:lang w:val="nl-BE"/>
        </w:rPr>
        <w:t>het MMP</w:t>
      </w:r>
      <w:r w:rsidRPr="001E069C">
        <w:rPr>
          <w:rFonts w:cstheme="minorHAnsi"/>
          <w:color w:val="1C1A15"/>
          <w:lang w:val="nl-BE"/>
        </w:rPr>
        <w:t xml:space="preserve"> </w:t>
      </w:r>
      <w:r w:rsidR="00134A67" w:rsidRPr="001E069C">
        <w:rPr>
          <w:rFonts w:cstheme="minorHAnsi"/>
          <w:color w:val="1C1A15"/>
          <w:lang w:val="nl-BE"/>
        </w:rPr>
        <w:t xml:space="preserve">dat werd voorgelegd </w:t>
      </w:r>
      <w:proofErr w:type="spellStart"/>
      <w:r w:rsidR="00134A67" w:rsidRPr="001E069C">
        <w:rPr>
          <w:rFonts w:cstheme="minorHAnsi"/>
          <w:color w:val="1C1A15"/>
          <w:lang w:val="nl-BE"/>
        </w:rPr>
        <w:t>i.k.v</w:t>
      </w:r>
      <w:proofErr w:type="spellEnd"/>
      <w:r w:rsidR="00134A67" w:rsidRPr="001E069C">
        <w:rPr>
          <w:rFonts w:cstheme="minorHAnsi"/>
          <w:color w:val="1C1A15"/>
          <w:lang w:val="nl-BE"/>
        </w:rPr>
        <w:t xml:space="preserve">. de datacollectie 2014-2018 </w:t>
      </w:r>
      <w:r w:rsidRPr="001E069C">
        <w:rPr>
          <w:rFonts w:cstheme="minorHAnsi"/>
          <w:color w:val="1C1A15"/>
          <w:lang w:val="nl-BE"/>
        </w:rPr>
        <w:t xml:space="preserve">is vaak vastgesteld dat deze onvolledig zijn en dat het verband tussen het MMP met eventuele bijlagen en het baseline </w:t>
      </w:r>
      <w:r w:rsidR="00214222">
        <w:rPr>
          <w:rFonts w:cstheme="minorHAnsi"/>
          <w:color w:val="1C1A15"/>
          <w:lang w:val="nl-BE"/>
        </w:rPr>
        <w:t xml:space="preserve">data </w:t>
      </w:r>
      <w:r w:rsidRPr="001E069C">
        <w:rPr>
          <w:rFonts w:cstheme="minorHAnsi"/>
          <w:color w:val="1C1A15"/>
          <w:lang w:val="nl-BE"/>
        </w:rPr>
        <w:t xml:space="preserve">rapport ontbreekt of onduidelijk is. </w:t>
      </w:r>
      <w:r w:rsidR="00134A67" w:rsidRPr="001E069C">
        <w:rPr>
          <w:rFonts w:cstheme="minorHAnsi"/>
          <w:color w:val="1C1A15"/>
          <w:lang w:val="nl-BE"/>
        </w:rPr>
        <w:t>In onderstaande sectie wordt daarom nog eens overlopen:</w:t>
      </w:r>
    </w:p>
    <w:p w14:paraId="0A75FC58" w14:textId="5C752FD3" w:rsidR="00134A67" w:rsidRPr="001E069C" w:rsidRDefault="00134A67" w:rsidP="005364F7">
      <w:pPr>
        <w:pStyle w:val="Lijstalinea"/>
        <w:numPr>
          <w:ilvl w:val="0"/>
          <w:numId w:val="30"/>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Wat de specifieke vereisten zijn m.b.t. het MMP;</w:t>
      </w:r>
    </w:p>
    <w:p w14:paraId="171D415B" w14:textId="1A994419" w:rsidR="00134A67" w:rsidRPr="001E069C" w:rsidRDefault="00134A67" w:rsidP="005364F7">
      <w:pPr>
        <w:pStyle w:val="Lijstalinea"/>
        <w:numPr>
          <w:ilvl w:val="0"/>
          <w:numId w:val="30"/>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Op welke </w:t>
      </w:r>
      <w:r w:rsidR="00672D8F">
        <w:rPr>
          <w:rFonts w:cstheme="minorHAnsi"/>
          <w:color w:val="1C1A15"/>
          <w:lang w:val="nl-BE"/>
        </w:rPr>
        <w:t xml:space="preserve">punten </w:t>
      </w:r>
      <w:r>
        <w:rPr>
          <w:rFonts w:cstheme="minorHAnsi"/>
          <w:color w:val="1C1A15"/>
          <w:lang w:val="nl-BE"/>
        </w:rPr>
        <w:t xml:space="preserve"> </w:t>
      </w:r>
      <w:r w:rsidRPr="001E069C">
        <w:rPr>
          <w:rFonts w:cstheme="minorHAnsi"/>
          <w:color w:val="1C1A15"/>
          <w:lang w:val="nl-BE"/>
        </w:rPr>
        <w:t xml:space="preserve">de reeds goedgekeurde </w:t>
      </w:r>
      <w:proofErr w:type="spellStart"/>
      <w:r w:rsidRPr="001E069C">
        <w:rPr>
          <w:rFonts w:cstheme="minorHAnsi"/>
          <w:color w:val="1C1A15"/>
          <w:lang w:val="nl-BE"/>
        </w:rPr>
        <w:t>MMP’s</w:t>
      </w:r>
      <w:proofErr w:type="spellEnd"/>
      <w:r w:rsidRPr="001E069C">
        <w:rPr>
          <w:rFonts w:cstheme="minorHAnsi"/>
          <w:color w:val="1C1A15"/>
          <w:lang w:val="nl-BE"/>
        </w:rPr>
        <w:t xml:space="preserve"> niet altijd tegemoet kwamen aan deze vereisten (en wat er dus moet worden nagekeken en waar nodig verbeterd bij de herwerking tegen eind dit jaar);</w:t>
      </w:r>
    </w:p>
    <w:p w14:paraId="744457E6" w14:textId="620AFE3B" w:rsidR="00134A67" w:rsidRPr="001E069C" w:rsidRDefault="00134A67" w:rsidP="005364F7">
      <w:pPr>
        <w:pStyle w:val="Lijstalinea"/>
        <w:numPr>
          <w:ilvl w:val="0"/>
          <w:numId w:val="30"/>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Welke verdere zaken verwerkt moeten worden bij de herwerking van het MMP tegen eind dit jaar.</w:t>
      </w:r>
    </w:p>
    <w:p w14:paraId="374F73FE" w14:textId="04D645BB" w:rsidR="00D16F4C" w:rsidRPr="001E069C" w:rsidRDefault="00134A6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Ten slotte worden er een aantal voorbeelden toegevoegd </w:t>
      </w:r>
      <w:r w:rsidR="00FB1B80">
        <w:rPr>
          <w:rFonts w:cstheme="minorHAnsi"/>
          <w:color w:val="1C1A15"/>
          <w:lang w:val="nl-BE"/>
        </w:rPr>
        <w:t>ter</w:t>
      </w:r>
      <w:r w:rsidRPr="001E069C">
        <w:rPr>
          <w:rFonts w:cstheme="minorHAnsi"/>
          <w:color w:val="1C1A15"/>
          <w:lang w:val="nl-BE"/>
        </w:rPr>
        <w:t xml:space="preserve"> verduidelijking.</w:t>
      </w:r>
    </w:p>
    <w:p w14:paraId="01E03A9E" w14:textId="21579081" w:rsidR="00134A67" w:rsidRPr="001E069C" w:rsidRDefault="00134A6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 </w:t>
      </w:r>
    </w:p>
    <w:p w14:paraId="0EBB7153" w14:textId="47F735A6" w:rsidR="00134A67" w:rsidRPr="001E069C" w:rsidRDefault="00134A67" w:rsidP="005364F7">
      <w:pPr>
        <w:autoSpaceDE w:val="0"/>
        <w:autoSpaceDN w:val="0"/>
        <w:adjustRightInd w:val="0"/>
        <w:spacing w:after="0" w:line="240" w:lineRule="auto"/>
        <w:jc w:val="both"/>
        <w:rPr>
          <w:rFonts w:cstheme="minorHAnsi"/>
          <w:color w:val="1C1A15"/>
          <w:lang w:val="nl-BE"/>
        </w:rPr>
      </w:pPr>
    </w:p>
    <w:p w14:paraId="24353316" w14:textId="24D7CDEA" w:rsidR="00D16F4C" w:rsidRPr="00802946" w:rsidRDefault="00D16F4C" w:rsidP="001E069C">
      <w:pPr>
        <w:pStyle w:val="Kop2"/>
        <w:numPr>
          <w:ilvl w:val="1"/>
          <w:numId w:val="35"/>
        </w:numPr>
        <w:rPr>
          <w:rFonts w:cstheme="minorHAnsi"/>
          <w:lang w:val="nl-BE"/>
        </w:rPr>
      </w:pPr>
      <w:bookmarkStart w:id="41" w:name="_Toc160465623"/>
      <w:r w:rsidRPr="001E069C">
        <w:rPr>
          <w:rFonts w:asciiTheme="minorHAnsi" w:hAnsiTheme="minorHAnsi" w:cstheme="minorHAnsi"/>
          <w:lang w:val="nl-BE"/>
        </w:rPr>
        <w:t>Wat zijn de specifieke vereisten voor het MMP?</w:t>
      </w:r>
      <w:bookmarkEnd w:id="41"/>
    </w:p>
    <w:p w14:paraId="768E8656" w14:textId="77777777" w:rsidR="00134A67" w:rsidRPr="001E069C" w:rsidRDefault="00134A67" w:rsidP="005364F7">
      <w:pPr>
        <w:spacing w:after="0"/>
        <w:jc w:val="both"/>
        <w:rPr>
          <w:rFonts w:cstheme="minorHAnsi"/>
          <w:color w:val="1C1A15"/>
          <w:lang w:val="nl-BE"/>
        </w:rPr>
      </w:pPr>
    </w:p>
    <w:p w14:paraId="3257EA4D" w14:textId="4EC81D5A" w:rsidR="0017470B" w:rsidRPr="001E069C" w:rsidRDefault="008525CE" w:rsidP="005364F7">
      <w:pPr>
        <w:spacing w:after="0"/>
        <w:jc w:val="both"/>
        <w:rPr>
          <w:rFonts w:cstheme="minorHAnsi"/>
          <w:color w:val="1C1A15"/>
          <w:lang w:val="nl-BE"/>
        </w:rPr>
      </w:pPr>
      <w:r w:rsidRPr="001E069C">
        <w:rPr>
          <w:rFonts w:cstheme="minorHAnsi"/>
          <w:color w:val="1C1A15"/>
          <w:lang w:val="nl-BE"/>
        </w:rPr>
        <w:t>In het algemeen bevat het MMP voldoende toelichtingsteksten over wat men waar moet invullen. Voor wat betreft de methodiek geeft de</w:t>
      </w:r>
      <w:r w:rsidR="00D45E11" w:rsidRPr="001E069C">
        <w:rPr>
          <w:rFonts w:cstheme="minorHAnsi"/>
          <w:color w:val="1C1A15"/>
          <w:lang w:val="nl-BE"/>
        </w:rPr>
        <w:t xml:space="preserve"> tekst met blauwe achtergrond die men bovenaan de tabbladen E, F en</w:t>
      </w:r>
      <w:r w:rsidR="00EE6386" w:rsidRPr="001E069C">
        <w:rPr>
          <w:rFonts w:cstheme="minorHAnsi"/>
          <w:color w:val="1C1A15"/>
          <w:lang w:val="nl-BE"/>
        </w:rPr>
        <w:t xml:space="preserve"> G terugvindt </w:t>
      </w:r>
      <w:r w:rsidRPr="001E069C">
        <w:rPr>
          <w:rFonts w:cstheme="minorHAnsi"/>
          <w:color w:val="1C1A15"/>
          <w:lang w:val="nl-BE"/>
        </w:rPr>
        <w:t xml:space="preserve">– en hieronder overgenomen in blauwe tekst </w:t>
      </w:r>
      <w:r w:rsidR="00B07B3E" w:rsidRPr="001E069C">
        <w:rPr>
          <w:rFonts w:cstheme="minorHAnsi"/>
          <w:color w:val="1C1A15"/>
          <w:lang w:val="nl-BE"/>
        </w:rPr>
        <w:t>–</w:t>
      </w:r>
      <w:r w:rsidRPr="001E069C">
        <w:rPr>
          <w:rFonts w:cstheme="minorHAnsi"/>
          <w:color w:val="1C1A15"/>
          <w:lang w:val="nl-BE"/>
        </w:rPr>
        <w:t xml:space="preserve"> </w:t>
      </w:r>
      <w:r w:rsidR="00B07B3E" w:rsidRPr="001E069C">
        <w:rPr>
          <w:rFonts w:cstheme="minorHAnsi"/>
          <w:color w:val="1C1A15"/>
          <w:lang w:val="nl-BE"/>
        </w:rPr>
        <w:t>duidelijk weer</w:t>
      </w:r>
      <w:r w:rsidR="00EE6386" w:rsidRPr="001E069C">
        <w:rPr>
          <w:rFonts w:cstheme="minorHAnsi"/>
          <w:color w:val="1C1A15"/>
          <w:lang w:val="nl-BE"/>
        </w:rPr>
        <w:t xml:space="preserve"> welke informatie</w:t>
      </w:r>
      <w:r w:rsidR="00D45E11" w:rsidRPr="001E069C">
        <w:rPr>
          <w:rFonts w:cstheme="minorHAnsi"/>
          <w:color w:val="1C1A15"/>
          <w:lang w:val="nl-BE"/>
        </w:rPr>
        <w:t xml:space="preserve"> er </w:t>
      </w:r>
      <w:r w:rsidRPr="001E069C">
        <w:rPr>
          <w:rFonts w:cstheme="minorHAnsi"/>
          <w:color w:val="1C1A15"/>
          <w:lang w:val="nl-BE"/>
        </w:rPr>
        <w:t>over de toegepaste methodieken</w:t>
      </w:r>
      <w:r w:rsidR="00806934" w:rsidRPr="001E069C">
        <w:rPr>
          <w:rFonts w:cstheme="minorHAnsi"/>
          <w:color w:val="1C1A15"/>
          <w:lang w:val="nl-BE"/>
        </w:rPr>
        <w:t xml:space="preserve"> </w:t>
      </w:r>
      <w:r w:rsidRPr="001E069C">
        <w:rPr>
          <w:rFonts w:cstheme="minorHAnsi"/>
          <w:color w:val="1C1A15"/>
          <w:lang w:val="nl-BE"/>
        </w:rPr>
        <w:t xml:space="preserve">in deze tabbladen </w:t>
      </w:r>
      <w:r w:rsidR="00D45E11" w:rsidRPr="001E069C">
        <w:rPr>
          <w:rFonts w:cstheme="minorHAnsi"/>
          <w:color w:val="1C1A15"/>
          <w:lang w:val="nl-BE"/>
        </w:rPr>
        <w:t>verwacht wordt</w:t>
      </w:r>
      <w:r w:rsidR="00EE6386" w:rsidRPr="001E069C">
        <w:rPr>
          <w:rFonts w:cstheme="minorHAnsi"/>
          <w:color w:val="1C1A15"/>
          <w:lang w:val="nl-BE"/>
        </w:rPr>
        <w:t xml:space="preserve">. De laatste zin van deze tekst vraagt </w:t>
      </w:r>
      <w:r w:rsidR="00B07B3E" w:rsidRPr="001E069C">
        <w:rPr>
          <w:rFonts w:cstheme="minorHAnsi"/>
          <w:color w:val="1C1A15"/>
          <w:lang w:val="nl-BE"/>
        </w:rPr>
        <w:t>daarbij n</w:t>
      </w:r>
      <w:r w:rsidR="00EE6386" w:rsidRPr="001E069C">
        <w:rPr>
          <w:rFonts w:cstheme="minorHAnsi"/>
          <w:color w:val="1C1A15"/>
          <w:lang w:val="nl-BE"/>
        </w:rPr>
        <w:t>aar tenminste één rekenvoorbeeld met werkel</w:t>
      </w:r>
      <w:r w:rsidRPr="001E069C">
        <w:rPr>
          <w:rFonts w:cstheme="minorHAnsi"/>
          <w:color w:val="1C1A15"/>
          <w:lang w:val="nl-BE"/>
        </w:rPr>
        <w:t>ijke gegevens om de methodiek te verduidelijken. D</w:t>
      </w:r>
      <w:r w:rsidR="00EE6386" w:rsidRPr="001E069C">
        <w:rPr>
          <w:rFonts w:cstheme="minorHAnsi"/>
          <w:color w:val="1C1A15"/>
          <w:lang w:val="nl-BE"/>
        </w:rPr>
        <w:t xml:space="preserve">eze zin </w:t>
      </w:r>
      <w:r w:rsidRPr="001E069C">
        <w:rPr>
          <w:rFonts w:cstheme="minorHAnsi"/>
          <w:color w:val="1C1A15"/>
          <w:lang w:val="nl-BE"/>
        </w:rPr>
        <w:t xml:space="preserve">is hier </w:t>
      </w:r>
      <w:r w:rsidR="00134A67" w:rsidRPr="001E069C">
        <w:rPr>
          <w:rFonts w:cstheme="minorHAnsi"/>
          <w:color w:val="1C1A15"/>
          <w:lang w:val="nl-BE"/>
        </w:rPr>
        <w:t>vetgedrukt</w:t>
      </w:r>
      <w:r w:rsidR="00EE6386" w:rsidRPr="001E069C">
        <w:rPr>
          <w:rFonts w:cstheme="minorHAnsi"/>
          <w:color w:val="1C1A15"/>
          <w:lang w:val="nl-BE"/>
        </w:rPr>
        <w:t xml:space="preserve"> om het belang ervan aan te geven.</w:t>
      </w:r>
    </w:p>
    <w:p w14:paraId="02BE94D3" w14:textId="77777777" w:rsidR="00EE6386" w:rsidRPr="001E069C" w:rsidRDefault="00EE6386" w:rsidP="005364F7">
      <w:pPr>
        <w:spacing w:after="0" w:line="240" w:lineRule="auto"/>
        <w:jc w:val="both"/>
        <w:rPr>
          <w:rFonts w:eastAsia="Times New Roman" w:cstheme="minorHAnsi"/>
          <w:bCs/>
          <w:i/>
          <w:color w:val="0070C0"/>
          <w:lang w:val="nl-BE"/>
        </w:rPr>
      </w:pPr>
    </w:p>
    <w:p w14:paraId="46D3537A" w14:textId="11ABB154" w:rsidR="0017470B" w:rsidRPr="001E069C" w:rsidRDefault="0017470B" w:rsidP="005364F7">
      <w:pPr>
        <w:spacing w:after="0" w:line="240" w:lineRule="auto"/>
        <w:jc w:val="both"/>
        <w:rPr>
          <w:rFonts w:eastAsia="Times New Roman" w:cstheme="minorHAnsi"/>
          <w:bCs/>
          <w:i/>
          <w:color w:val="0070C0"/>
          <w:lang w:val="nl-BE"/>
        </w:rPr>
      </w:pPr>
      <w:r w:rsidRPr="001E069C">
        <w:rPr>
          <w:rFonts w:eastAsia="Times New Roman" w:cstheme="minorHAnsi"/>
          <w:bCs/>
          <w:i/>
          <w:color w:val="0070C0"/>
          <w:lang w:val="nl-BE"/>
        </w:rPr>
        <w:t>Alle omschrijvingen van de gebruikte methoden in onderstaande rubrieken voor het kwantificeren van parameters die moeten worden gemonitord en gerapporteerd, omvatten, voor zover van toepassing:</w:t>
      </w:r>
    </w:p>
    <w:p w14:paraId="6CBA1B55" w14:textId="77777777" w:rsidR="0017470B" w:rsidRPr="001E069C" w:rsidRDefault="0017470B" w:rsidP="005364F7">
      <w:pPr>
        <w:pStyle w:val="Lijstalinea"/>
        <w:numPr>
          <w:ilvl w:val="0"/>
          <w:numId w:val="8"/>
        </w:numPr>
        <w:spacing w:after="0" w:line="240" w:lineRule="auto"/>
        <w:ind w:left="709" w:hanging="283"/>
        <w:jc w:val="both"/>
        <w:rPr>
          <w:rFonts w:eastAsia="Times New Roman" w:cstheme="minorHAnsi"/>
          <w:i/>
          <w:iCs/>
          <w:color w:val="0070C0"/>
          <w:lang w:val="nl-BE"/>
        </w:rPr>
      </w:pPr>
      <w:r w:rsidRPr="001E069C">
        <w:rPr>
          <w:rFonts w:eastAsia="Times New Roman" w:cstheme="minorHAnsi"/>
          <w:i/>
          <w:iCs/>
          <w:color w:val="0070C0"/>
          <w:lang w:val="nl-BE"/>
        </w:rPr>
        <w:t>berekeningsstappen;</w:t>
      </w:r>
    </w:p>
    <w:p w14:paraId="5AF8CE71" w14:textId="77777777" w:rsidR="0017470B" w:rsidRPr="001E069C" w:rsidRDefault="0017470B" w:rsidP="005364F7">
      <w:pPr>
        <w:pStyle w:val="Lijstalinea"/>
        <w:numPr>
          <w:ilvl w:val="0"/>
          <w:numId w:val="8"/>
        </w:numPr>
        <w:spacing w:after="0"/>
        <w:ind w:left="709" w:hanging="283"/>
        <w:jc w:val="both"/>
        <w:rPr>
          <w:rFonts w:cstheme="minorHAnsi"/>
          <w:i/>
          <w:color w:val="0070C0"/>
          <w:lang w:val="nl-BE"/>
        </w:rPr>
      </w:pPr>
      <w:r w:rsidRPr="001E069C">
        <w:rPr>
          <w:rFonts w:cstheme="minorHAnsi"/>
          <w:i/>
          <w:color w:val="0070C0"/>
          <w:lang w:val="nl-BE"/>
        </w:rPr>
        <w:t>gegevensbronnen</w:t>
      </w:r>
    </w:p>
    <w:p w14:paraId="36E6AAC5" w14:textId="77777777" w:rsidR="0017470B" w:rsidRPr="001E069C" w:rsidRDefault="0017470B" w:rsidP="005364F7">
      <w:pPr>
        <w:pStyle w:val="Lijstalinea"/>
        <w:numPr>
          <w:ilvl w:val="0"/>
          <w:numId w:val="8"/>
        </w:numPr>
        <w:spacing w:after="0"/>
        <w:ind w:left="709" w:hanging="283"/>
        <w:jc w:val="both"/>
        <w:rPr>
          <w:rFonts w:cstheme="minorHAnsi"/>
          <w:i/>
          <w:color w:val="0070C0"/>
          <w:lang w:val="nl-BE"/>
        </w:rPr>
      </w:pPr>
      <w:r w:rsidRPr="001E069C">
        <w:rPr>
          <w:rFonts w:cstheme="minorHAnsi"/>
          <w:i/>
          <w:color w:val="0070C0"/>
          <w:lang w:val="nl-BE"/>
        </w:rPr>
        <w:t>berekeningsformules</w:t>
      </w:r>
    </w:p>
    <w:p w14:paraId="30A7F5AC" w14:textId="77777777" w:rsidR="0017470B" w:rsidRPr="001E069C" w:rsidRDefault="0017470B" w:rsidP="005364F7">
      <w:pPr>
        <w:pStyle w:val="Lijstalinea"/>
        <w:numPr>
          <w:ilvl w:val="0"/>
          <w:numId w:val="8"/>
        </w:numPr>
        <w:spacing w:after="0" w:line="240" w:lineRule="auto"/>
        <w:ind w:left="709" w:hanging="283"/>
        <w:jc w:val="both"/>
        <w:rPr>
          <w:rFonts w:eastAsia="Times New Roman" w:cstheme="minorHAnsi"/>
          <w:i/>
          <w:iCs/>
          <w:color w:val="0070C0"/>
          <w:lang w:val="nl-BE"/>
        </w:rPr>
      </w:pPr>
      <w:r w:rsidRPr="001E069C">
        <w:rPr>
          <w:rFonts w:eastAsia="Times New Roman" w:cstheme="minorHAnsi"/>
          <w:i/>
          <w:iCs/>
          <w:color w:val="0070C0"/>
          <w:lang w:val="nl-BE"/>
        </w:rPr>
        <w:t xml:space="preserve">relevante berekeningsfactoren met inbegrip van de meeteenheid; </w:t>
      </w:r>
    </w:p>
    <w:p w14:paraId="1FC81423" w14:textId="77777777" w:rsidR="0017470B" w:rsidRPr="001E069C" w:rsidRDefault="0017470B" w:rsidP="005364F7">
      <w:pPr>
        <w:pStyle w:val="Lijstalinea"/>
        <w:numPr>
          <w:ilvl w:val="0"/>
          <w:numId w:val="8"/>
        </w:numPr>
        <w:spacing w:after="0" w:line="240" w:lineRule="auto"/>
        <w:ind w:left="709" w:hanging="283"/>
        <w:jc w:val="both"/>
        <w:rPr>
          <w:rFonts w:eastAsia="Times New Roman" w:cstheme="minorHAnsi"/>
          <w:i/>
          <w:iCs/>
          <w:color w:val="0070C0"/>
          <w:lang w:val="nl-BE"/>
        </w:rPr>
      </w:pPr>
      <w:r w:rsidRPr="001E069C">
        <w:rPr>
          <w:rFonts w:eastAsia="Times New Roman" w:cstheme="minorHAnsi"/>
          <w:i/>
          <w:iCs/>
          <w:color w:val="0070C0"/>
          <w:lang w:val="nl-BE"/>
        </w:rPr>
        <w:t xml:space="preserve">horizontale en verticale controles van ondersteunende gegevens; </w:t>
      </w:r>
    </w:p>
    <w:p w14:paraId="3B29D5AE" w14:textId="77777777" w:rsidR="0017470B" w:rsidRPr="001E069C" w:rsidRDefault="0017470B" w:rsidP="005364F7">
      <w:pPr>
        <w:pStyle w:val="Lijstalinea"/>
        <w:numPr>
          <w:ilvl w:val="0"/>
          <w:numId w:val="8"/>
        </w:numPr>
        <w:spacing w:after="0" w:line="240" w:lineRule="auto"/>
        <w:ind w:left="709" w:hanging="283"/>
        <w:jc w:val="both"/>
        <w:rPr>
          <w:rFonts w:eastAsia="Times New Roman" w:cstheme="minorHAnsi"/>
          <w:i/>
          <w:iCs/>
          <w:color w:val="0070C0"/>
          <w:lang w:val="nl-BE"/>
        </w:rPr>
      </w:pPr>
      <w:r w:rsidRPr="001E069C">
        <w:rPr>
          <w:rFonts w:eastAsia="Times New Roman" w:cstheme="minorHAnsi"/>
          <w:i/>
          <w:iCs/>
          <w:color w:val="0070C0"/>
          <w:lang w:val="nl-BE"/>
        </w:rPr>
        <w:t>onderliggende procedures voor de steekproefplannen;</w:t>
      </w:r>
    </w:p>
    <w:p w14:paraId="59FD9DC1" w14:textId="77777777" w:rsidR="0017470B" w:rsidRPr="001E069C" w:rsidRDefault="0017470B" w:rsidP="005364F7">
      <w:pPr>
        <w:pStyle w:val="Lijstalinea"/>
        <w:numPr>
          <w:ilvl w:val="0"/>
          <w:numId w:val="8"/>
        </w:numPr>
        <w:spacing w:after="0" w:line="240" w:lineRule="auto"/>
        <w:ind w:left="709" w:hanging="283"/>
        <w:jc w:val="both"/>
        <w:rPr>
          <w:rFonts w:eastAsia="Times New Roman" w:cstheme="minorHAnsi"/>
          <w:i/>
          <w:iCs/>
          <w:color w:val="0070C0"/>
          <w:lang w:val="nl-BE"/>
        </w:rPr>
      </w:pPr>
      <w:r w:rsidRPr="001E069C">
        <w:rPr>
          <w:rFonts w:eastAsia="Times New Roman" w:cstheme="minorHAnsi"/>
          <w:i/>
          <w:iCs/>
          <w:color w:val="0070C0"/>
          <w:lang w:val="nl-BE"/>
        </w:rPr>
        <w:t>gebruikte meetapparatuur met verwijzing naar het desbetreffende schema en een beschrijving van de wijze van installatie en onderhoud;</w:t>
      </w:r>
    </w:p>
    <w:p w14:paraId="469B82FD" w14:textId="77777777" w:rsidR="0017470B" w:rsidRPr="001E069C" w:rsidRDefault="0017470B" w:rsidP="005364F7">
      <w:pPr>
        <w:pStyle w:val="Lijstalinea"/>
        <w:numPr>
          <w:ilvl w:val="0"/>
          <w:numId w:val="8"/>
        </w:numPr>
        <w:spacing w:after="0" w:line="240" w:lineRule="auto"/>
        <w:ind w:left="709" w:hanging="283"/>
        <w:jc w:val="both"/>
        <w:rPr>
          <w:rFonts w:eastAsia="Times New Roman" w:cstheme="minorHAnsi"/>
          <w:i/>
          <w:iCs/>
          <w:color w:val="0070C0"/>
          <w:lang w:val="nl-BE"/>
        </w:rPr>
      </w:pPr>
      <w:r w:rsidRPr="001E069C">
        <w:rPr>
          <w:rFonts w:eastAsia="Times New Roman" w:cstheme="minorHAnsi"/>
          <w:i/>
          <w:iCs/>
          <w:color w:val="0070C0"/>
          <w:lang w:val="nl-BE"/>
        </w:rPr>
        <w:t>een lijst van laboratoria die zijn ingeschakeld voor het uitvoeren van toegepaste analytische procedures.</w:t>
      </w:r>
    </w:p>
    <w:p w14:paraId="029121B5" w14:textId="59A420CF" w:rsidR="0017470B" w:rsidRPr="001E069C" w:rsidRDefault="0017470B" w:rsidP="005364F7">
      <w:pPr>
        <w:spacing w:after="0" w:line="240" w:lineRule="auto"/>
        <w:jc w:val="both"/>
        <w:rPr>
          <w:rFonts w:eastAsia="Times New Roman" w:cstheme="minorHAnsi"/>
          <w:bCs/>
          <w:i/>
          <w:color w:val="0070C0"/>
          <w:lang w:val="nl-BE"/>
        </w:rPr>
      </w:pPr>
      <w:r w:rsidRPr="001E069C">
        <w:rPr>
          <w:rFonts w:eastAsia="Times New Roman" w:cstheme="minorHAnsi"/>
          <w:bCs/>
          <w:i/>
          <w:color w:val="0070C0"/>
          <w:lang w:val="nl-BE"/>
        </w:rPr>
        <w:lastRenderedPageBreak/>
        <w:t>Indien vereist bevat de omschrijving de uitkomst van een vereenvoudigde onzekerheidsbeoordeling in overeenstemming met artikel</w:t>
      </w:r>
      <w:r w:rsidR="001A658D">
        <w:rPr>
          <w:rFonts w:eastAsia="Times New Roman" w:cstheme="minorHAnsi"/>
          <w:bCs/>
          <w:i/>
          <w:color w:val="0070C0"/>
          <w:lang w:val="nl-BE"/>
        </w:rPr>
        <w:t xml:space="preserve"> </w:t>
      </w:r>
      <w:r w:rsidRPr="001E069C">
        <w:rPr>
          <w:rFonts w:eastAsia="Times New Roman" w:cstheme="minorHAnsi"/>
          <w:bCs/>
          <w:i/>
          <w:color w:val="0070C0"/>
          <w:lang w:val="nl-BE"/>
        </w:rPr>
        <w:t>7, lid</w:t>
      </w:r>
      <w:r w:rsidR="001A658D">
        <w:rPr>
          <w:rFonts w:eastAsia="Times New Roman" w:cstheme="minorHAnsi"/>
          <w:bCs/>
          <w:i/>
          <w:color w:val="0070C0"/>
          <w:lang w:val="nl-BE"/>
        </w:rPr>
        <w:t xml:space="preserve"> </w:t>
      </w:r>
      <w:r w:rsidRPr="001E069C">
        <w:rPr>
          <w:rFonts w:eastAsia="Times New Roman" w:cstheme="minorHAnsi"/>
          <w:bCs/>
          <w:i/>
          <w:color w:val="0070C0"/>
          <w:lang w:val="nl-BE"/>
        </w:rPr>
        <w:t>2.</w:t>
      </w:r>
    </w:p>
    <w:p w14:paraId="34D83BDE" w14:textId="77777777" w:rsidR="0017470B" w:rsidRPr="001E069C" w:rsidRDefault="0017470B" w:rsidP="005364F7">
      <w:pPr>
        <w:spacing w:after="0" w:line="240" w:lineRule="auto"/>
        <w:jc w:val="both"/>
        <w:rPr>
          <w:rFonts w:eastAsia="Times New Roman" w:cstheme="minorHAnsi"/>
          <w:b/>
          <w:bCs/>
          <w:i/>
          <w:color w:val="0070C0"/>
          <w:u w:val="single"/>
          <w:lang w:val="nl-BE"/>
        </w:rPr>
      </w:pPr>
      <w:r w:rsidRPr="001E069C">
        <w:rPr>
          <w:rFonts w:eastAsia="Times New Roman" w:cstheme="minorHAnsi"/>
          <w:b/>
          <w:bCs/>
          <w:i/>
          <w:color w:val="0070C0"/>
          <w:u w:val="single"/>
          <w:lang w:val="nl-BE"/>
        </w:rPr>
        <w:t>Voor elke relevante berekeningsformule bevat het plan één voorbeeld met daadwerkelijke gegevens.</w:t>
      </w:r>
    </w:p>
    <w:p w14:paraId="56EB88AB" w14:textId="77777777" w:rsidR="00B07B3E" w:rsidRPr="001E069C" w:rsidRDefault="00B07B3E" w:rsidP="005364F7">
      <w:pPr>
        <w:spacing w:after="0" w:line="240" w:lineRule="auto"/>
        <w:jc w:val="both"/>
        <w:rPr>
          <w:rFonts w:eastAsia="Times New Roman" w:cstheme="minorHAnsi"/>
          <w:bCs/>
          <w:i/>
          <w:color w:val="FF0000"/>
          <w:lang w:val="nl-BE"/>
        </w:rPr>
      </w:pPr>
    </w:p>
    <w:p w14:paraId="50224847" w14:textId="7A3FB088" w:rsidR="00B07B3E" w:rsidRPr="001E069C" w:rsidRDefault="00B07B3E" w:rsidP="005364F7">
      <w:pPr>
        <w:spacing w:after="0"/>
        <w:jc w:val="both"/>
        <w:rPr>
          <w:rFonts w:cstheme="minorHAnsi"/>
          <w:color w:val="1C1A15"/>
          <w:lang w:val="nl-BE"/>
        </w:rPr>
      </w:pPr>
      <w:r w:rsidRPr="001E069C">
        <w:rPr>
          <w:rFonts w:cstheme="minorHAnsi"/>
          <w:color w:val="1C1A15"/>
          <w:lang w:val="nl-BE"/>
        </w:rPr>
        <w:t>Concreet dient men dus telkens er in een rubriek gevraagd wordt naar de ‘Beschrijving van de methodologie’ een antwoord te geven op alle punten uit de blauwe tekst, die in die rubriek van toepassing zijn.</w:t>
      </w:r>
      <w:r w:rsidR="00D16F4C" w:rsidRPr="001E069C">
        <w:rPr>
          <w:rFonts w:cstheme="minorHAnsi"/>
          <w:color w:val="1C1A15"/>
          <w:lang w:val="nl-BE"/>
        </w:rPr>
        <w:t xml:space="preserve"> In sectie 5.X wordt aan de hand van voorbeelden verder toegelicht hoe dit kan aangepakt worden. </w:t>
      </w:r>
    </w:p>
    <w:p w14:paraId="6F8D6D2A" w14:textId="77777777" w:rsidR="00E812BD" w:rsidRPr="001E069C" w:rsidRDefault="00E812BD" w:rsidP="005364F7">
      <w:pPr>
        <w:spacing w:after="0"/>
        <w:jc w:val="both"/>
        <w:rPr>
          <w:rFonts w:cstheme="minorHAnsi"/>
          <w:color w:val="1C1A15"/>
          <w:lang w:val="nl-BE"/>
        </w:rPr>
      </w:pPr>
    </w:p>
    <w:p w14:paraId="402AF752" w14:textId="1036A7AF" w:rsidR="00550E78" w:rsidRPr="001E069C" w:rsidRDefault="00550E78" w:rsidP="005364F7">
      <w:pPr>
        <w:spacing w:after="0" w:line="240" w:lineRule="auto"/>
        <w:ind w:left="426"/>
        <w:jc w:val="both"/>
        <w:rPr>
          <w:rFonts w:eastAsia="Times New Roman" w:cstheme="minorHAnsi"/>
          <w:bCs/>
          <w:color w:val="FF0000"/>
          <w:lang w:val="nl-BE"/>
        </w:rPr>
      </w:pPr>
    </w:p>
    <w:p w14:paraId="59BE5E1C" w14:textId="088B88DC" w:rsidR="00550E78" w:rsidRPr="00802946" w:rsidRDefault="00550E78" w:rsidP="001E069C">
      <w:pPr>
        <w:pStyle w:val="Kop2"/>
        <w:numPr>
          <w:ilvl w:val="1"/>
          <w:numId w:val="35"/>
        </w:numPr>
        <w:rPr>
          <w:rFonts w:cstheme="minorHAnsi"/>
          <w:lang w:val="nl-BE"/>
        </w:rPr>
      </w:pPr>
      <w:bookmarkStart w:id="42" w:name="_Toc160465624"/>
      <w:r w:rsidRPr="001E069C">
        <w:rPr>
          <w:rFonts w:asciiTheme="minorHAnsi" w:hAnsiTheme="minorHAnsi" w:cstheme="minorHAnsi"/>
          <w:lang w:val="nl-BE"/>
        </w:rPr>
        <w:t xml:space="preserve">Wat </w:t>
      </w:r>
      <w:r w:rsidR="00794B5C">
        <w:rPr>
          <w:rFonts w:asciiTheme="minorHAnsi" w:hAnsiTheme="minorHAnsi" w:cstheme="minorHAnsi"/>
          <w:lang w:val="nl-BE"/>
        </w:rPr>
        <w:t xml:space="preserve">kan </w:t>
      </w:r>
      <w:r w:rsidR="00E10AE3">
        <w:rPr>
          <w:rFonts w:asciiTheme="minorHAnsi" w:hAnsiTheme="minorHAnsi" w:cstheme="minorHAnsi"/>
          <w:lang w:val="nl-BE"/>
        </w:rPr>
        <w:t>in sommige gevallen nog verbeterd worden</w:t>
      </w:r>
      <w:r w:rsidRPr="001E069C">
        <w:rPr>
          <w:rFonts w:asciiTheme="minorHAnsi" w:hAnsiTheme="minorHAnsi" w:cstheme="minorHAnsi"/>
          <w:lang w:val="nl-BE"/>
        </w:rPr>
        <w:t xml:space="preserve"> in </w:t>
      </w:r>
      <w:r w:rsidR="00D0209F" w:rsidRPr="001E069C">
        <w:rPr>
          <w:rFonts w:asciiTheme="minorHAnsi" w:hAnsiTheme="minorHAnsi" w:cstheme="minorHAnsi"/>
          <w:lang w:val="nl-BE"/>
        </w:rPr>
        <w:t xml:space="preserve">de </w:t>
      </w:r>
      <w:proofErr w:type="spellStart"/>
      <w:r w:rsidRPr="001E069C">
        <w:rPr>
          <w:rFonts w:asciiTheme="minorHAnsi" w:hAnsiTheme="minorHAnsi" w:cstheme="minorHAnsi"/>
          <w:lang w:val="nl-BE"/>
        </w:rPr>
        <w:t>MMP’s</w:t>
      </w:r>
      <w:proofErr w:type="spellEnd"/>
      <w:r w:rsidRPr="001E069C">
        <w:rPr>
          <w:rFonts w:asciiTheme="minorHAnsi" w:hAnsiTheme="minorHAnsi" w:cstheme="minorHAnsi"/>
          <w:lang w:val="nl-BE"/>
        </w:rPr>
        <w:t>?</w:t>
      </w:r>
      <w:bookmarkEnd w:id="42"/>
    </w:p>
    <w:p w14:paraId="24E6F824" w14:textId="77777777" w:rsidR="00B07B3E" w:rsidRPr="001E069C" w:rsidRDefault="00B07B3E" w:rsidP="005364F7">
      <w:pPr>
        <w:spacing w:after="0" w:line="240" w:lineRule="auto"/>
        <w:ind w:left="426"/>
        <w:jc w:val="both"/>
        <w:rPr>
          <w:rFonts w:eastAsia="Times New Roman" w:cstheme="minorHAnsi"/>
          <w:bCs/>
          <w:i/>
          <w:color w:val="FF0000"/>
          <w:sz w:val="16"/>
          <w:szCs w:val="16"/>
          <w:lang w:val="nl-BE"/>
        </w:rPr>
      </w:pPr>
    </w:p>
    <w:p w14:paraId="04C488B9" w14:textId="77777777" w:rsidR="00550E78" w:rsidRPr="001E069C" w:rsidRDefault="00550E78" w:rsidP="005364F7">
      <w:pPr>
        <w:spacing w:after="0" w:line="240" w:lineRule="auto"/>
        <w:ind w:left="426"/>
        <w:jc w:val="both"/>
        <w:rPr>
          <w:rFonts w:eastAsia="Times New Roman" w:cstheme="minorHAnsi"/>
          <w:bCs/>
          <w:i/>
          <w:color w:val="FF0000"/>
          <w:sz w:val="16"/>
          <w:szCs w:val="16"/>
          <w:lang w:val="nl-BE"/>
        </w:rPr>
      </w:pPr>
    </w:p>
    <w:p w14:paraId="58CC437C" w14:textId="0B55C5E4" w:rsidR="00D16F4C" w:rsidRPr="00802946" w:rsidRDefault="00D16F4C" w:rsidP="001E069C">
      <w:pPr>
        <w:pStyle w:val="Kop3"/>
        <w:numPr>
          <w:ilvl w:val="2"/>
          <w:numId w:val="35"/>
        </w:numPr>
        <w:rPr>
          <w:rFonts w:cstheme="minorHAnsi"/>
          <w:lang w:val="nl-BE"/>
        </w:rPr>
      </w:pPr>
      <w:bookmarkStart w:id="43" w:name="_Toc160465625"/>
      <w:r w:rsidRPr="001E069C">
        <w:rPr>
          <w:rFonts w:asciiTheme="minorHAnsi" w:hAnsiTheme="minorHAnsi" w:cstheme="minorHAnsi"/>
          <w:lang w:val="nl-BE"/>
        </w:rPr>
        <w:t>Rekenvoorbeelden</w:t>
      </w:r>
      <w:bookmarkEnd w:id="43"/>
    </w:p>
    <w:p w14:paraId="19F993C9" w14:textId="42B173CA" w:rsidR="00D16F4C" w:rsidRPr="001E069C" w:rsidRDefault="00D16F4C" w:rsidP="005364F7">
      <w:pPr>
        <w:autoSpaceDE w:val="0"/>
        <w:autoSpaceDN w:val="0"/>
        <w:adjustRightInd w:val="0"/>
        <w:spacing w:after="0" w:line="240" w:lineRule="auto"/>
        <w:jc w:val="both"/>
        <w:rPr>
          <w:rFonts w:cstheme="minorHAnsi"/>
          <w:color w:val="1C1A15"/>
          <w:lang w:val="nl-BE"/>
        </w:rPr>
      </w:pPr>
      <w:r w:rsidRPr="001E069C">
        <w:rPr>
          <w:rFonts w:cstheme="minorHAnsi"/>
          <w:lang w:val="nl-BE"/>
        </w:rPr>
        <w:t xml:space="preserve">Zoals hierboven toegelicht moet er voor elke relevante berekeningsformule in het MMP minstens één rekenvoorbeeld toegevoegd worden met daadwerkelijke gegevens. Hoewel er voor de meeste </w:t>
      </w:r>
      <w:proofErr w:type="spellStart"/>
      <w:r w:rsidRPr="001E069C">
        <w:rPr>
          <w:rFonts w:cstheme="minorHAnsi"/>
          <w:lang w:val="nl-BE"/>
        </w:rPr>
        <w:t>MMP’s</w:t>
      </w:r>
      <w:proofErr w:type="spellEnd"/>
      <w:r w:rsidRPr="001E069C">
        <w:rPr>
          <w:rFonts w:cstheme="minorHAnsi"/>
          <w:lang w:val="nl-BE"/>
        </w:rPr>
        <w:t xml:space="preserve"> inderdaad rekenvoorbeelden werden toegevoegd, bevatten deze in </w:t>
      </w:r>
      <w:r w:rsidRPr="001E069C">
        <w:rPr>
          <w:rFonts w:cstheme="minorHAnsi"/>
          <w:color w:val="1C1A15"/>
          <w:lang w:val="nl-BE"/>
        </w:rPr>
        <w:t>een aantal gevallen enkel hard gecodeerde getallen zodat de berekeningen onbegrijpelijk of niet te volgen waren, of had het rekenvoorbeeld een heel ander formaat dan het baseline data</w:t>
      </w:r>
      <w:r w:rsidR="00034664">
        <w:rPr>
          <w:rFonts w:cstheme="minorHAnsi"/>
          <w:color w:val="1C1A15"/>
          <w:lang w:val="nl-BE"/>
        </w:rPr>
        <w:t xml:space="preserve"> rapport</w:t>
      </w:r>
      <w:r w:rsidRPr="001E069C">
        <w:rPr>
          <w:rFonts w:cstheme="minorHAnsi"/>
          <w:color w:val="1C1A15"/>
          <w:lang w:val="nl-BE"/>
        </w:rPr>
        <w:t xml:space="preserve">. </w:t>
      </w:r>
    </w:p>
    <w:p w14:paraId="2A49B84F" w14:textId="77777777" w:rsidR="00D16F4C" w:rsidRPr="001E069C" w:rsidRDefault="00D16F4C" w:rsidP="005364F7">
      <w:pPr>
        <w:autoSpaceDE w:val="0"/>
        <w:autoSpaceDN w:val="0"/>
        <w:adjustRightInd w:val="0"/>
        <w:spacing w:after="0" w:line="240" w:lineRule="auto"/>
        <w:jc w:val="both"/>
        <w:rPr>
          <w:rFonts w:cstheme="minorHAnsi"/>
          <w:b/>
          <w:color w:val="1C1A15"/>
          <w:lang w:val="nl-BE"/>
        </w:rPr>
      </w:pPr>
    </w:p>
    <w:p w14:paraId="258E7087" w14:textId="24E28121" w:rsidR="00D16F4C" w:rsidRPr="001E069C" w:rsidRDefault="00D16F4C" w:rsidP="005364F7">
      <w:pPr>
        <w:pStyle w:val="Lijstalinea"/>
        <w:numPr>
          <w:ilvl w:val="0"/>
          <w:numId w:val="29"/>
        </w:numPr>
        <w:autoSpaceDE w:val="0"/>
        <w:autoSpaceDN w:val="0"/>
        <w:adjustRightInd w:val="0"/>
        <w:spacing w:after="0" w:line="240" w:lineRule="auto"/>
        <w:jc w:val="both"/>
        <w:rPr>
          <w:rFonts w:cstheme="minorHAnsi"/>
          <w:b/>
          <w:color w:val="1C1A15"/>
          <w:lang w:val="nl-BE"/>
        </w:rPr>
      </w:pPr>
      <w:r w:rsidRPr="001E069C">
        <w:rPr>
          <w:rFonts w:cstheme="minorHAnsi"/>
          <w:b/>
          <w:color w:val="1C1A15"/>
          <w:lang w:val="nl-BE"/>
        </w:rPr>
        <w:t>Elke exploitant moet dus nagaan of de achterliggende formules zichtbaar zijn in de rekenvoorbeelden bij het MMP en of het voldoende duidelijk is welke cellen uit deze berekeningsbestanden uiteindelijk corresponderen met de verschillende secties in het baseline</w:t>
      </w:r>
      <w:r w:rsidR="00214222">
        <w:rPr>
          <w:rFonts w:cstheme="minorHAnsi"/>
          <w:b/>
          <w:color w:val="1C1A15"/>
          <w:lang w:val="nl-BE"/>
        </w:rPr>
        <w:t xml:space="preserve"> data</w:t>
      </w:r>
      <w:r w:rsidRPr="001E069C">
        <w:rPr>
          <w:rFonts w:cstheme="minorHAnsi"/>
          <w:b/>
          <w:color w:val="1C1A15"/>
          <w:lang w:val="nl-BE"/>
        </w:rPr>
        <w:t xml:space="preserve"> rapport en in het MMP.</w:t>
      </w:r>
    </w:p>
    <w:p w14:paraId="647FAD81" w14:textId="77777777" w:rsidR="00D16F4C" w:rsidRPr="001E069C" w:rsidRDefault="00D16F4C" w:rsidP="005364F7">
      <w:pPr>
        <w:autoSpaceDE w:val="0"/>
        <w:autoSpaceDN w:val="0"/>
        <w:adjustRightInd w:val="0"/>
        <w:spacing w:after="0" w:line="240" w:lineRule="auto"/>
        <w:jc w:val="both"/>
        <w:rPr>
          <w:rFonts w:cstheme="minorHAnsi"/>
          <w:color w:val="1C1A15"/>
          <w:lang w:val="nl-BE"/>
        </w:rPr>
      </w:pPr>
    </w:p>
    <w:p w14:paraId="11300C20" w14:textId="6E990B9E" w:rsidR="00D16F4C" w:rsidRPr="001E069C" w:rsidRDefault="00D16F4C" w:rsidP="005364F7">
      <w:pPr>
        <w:autoSpaceDE w:val="0"/>
        <w:autoSpaceDN w:val="0"/>
        <w:adjustRightInd w:val="0"/>
        <w:spacing w:after="0" w:line="240" w:lineRule="auto"/>
        <w:jc w:val="both"/>
        <w:rPr>
          <w:rFonts w:cstheme="minorHAnsi"/>
          <w:color w:val="1C1A15"/>
          <w:lang w:val="nl-BE"/>
        </w:rPr>
      </w:pPr>
      <w:r w:rsidRPr="001E069C">
        <w:rPr>
          <w:rFonts w:cstheme="minorHAnsi"/>
          <w:b/>
          <w:color w:val="1C1A15"/>
          <w:u w:val="single"/>
          <w:lang w:val="nl-BE"/>
        </w:rPr>
        <w:t>Noot:</w:t>
      </w:r>
      <w:r w:rsidRPr="001E069C">
        <w:rPr>
          <w:rFonts w:cstheme="minorHAnsi"/>
          <w:color w:val="1C1A15"/>
          <w:lang w:val="nl-BE"/>
        </w:rPr>
        <w:t xml:space="preserve"> de als bijlagen toegevoegde berekeningsfiles bij het MMP moeten illustreren hoe de berekeningsmethode in elkaar steekt en zal worden toegepast. Bij de beoordeling en goedkeuring van het MMP zal dus bekeken worden of de berekeningsmethode (m.a.w. de formules) in deze bijlage correct en voldoende duidelijk is. De gegevens zelf die zijn opgenomen in dergelijke berekeningsfiles worden echter als louter illustratief beschouwd, en worden dus niet goedgekeurd samen met het MMP. Deze gegevens zijn immers integraal onderdeel van het baseline </w:t>
      </w:r>
      <w:r w:rsidR="00214222">
        <w:rPr>
          <w:rFonts w:cstheme="minorHAnsi"/>
          <w:color w:val="1C1A15"/>
          <w:lang w:val="nl-BE"/>
        </w:rPr>
        <w:t xml:space="preserve">data </w:t>
      </w:r>
      <w:r w:rsidRPr="001E069C">
        <w:rPr>
          <w:rFonts w:cstheme="minorHAnsi"/>
          <w:color w:val="1C1A15"/>
          <w:lang w:val="nl-BE"/>
        </w:rPr>
        <w:t>rapport zelf, dat moet geverifieerd worden door een externe, geaccrediteerde verificatie-instelling.</w:t>
      </w:r>
    </w:p>
    <w:p w14:paraId="24971230" w14:textId="78C19784" w:rsidR="00DB4022" w:rsidRPr="001E069C" w:rsidRDefault="00DB4022">
      <w:pPr>
        <w:rPr>
          <w:rFonts w:cstheme="minorHAnsi"/>
          <w:b/>
          <w:color w:val="1C1A15"/>
          <w:sz w:val="24"/>
          <w:szCs w:val="24"/>
          <w:u w:val="single"/>
          <w:lang w:val="nl-BE"/>
        </w:rPr>
      </w:pPr>
      <w:r w:rsidRPr="001E069C">
        <w:rPr>
          <w:rFonts w:cstheme="minorHAnsi"/>
          <w:b/>
          <w:color w:val="1C1A15"/>
          <w:sz w:val="24"/>
          <w:szCs w:val="24"/>
          <w:u w:val="single"/>
          <w:lang w:val="nl-BE"/>
        </w:rPr>
        <w:br w:type="page"/>
      </w:r>
    </w:p>
    <w:p w14:paraId="35DEA5EE" w14:textId="77777777" w:rsidR="00D16F4C" w:rsidRPr="001E069C" w:rsidRDefault="00D16F4C" w:rsidP="005364F7">
      <w:pPr>
        <w:pStyle w:val="Lijstalinea"/>
        <w:spacing w:after="0"/>
        <w:ind w:left="1080"/>
        <w:jc w:val="both"/>
        <w:rPr>
          <w:rFonts w:cstheme="minorHAnsi"/>
          <w:b/>
          <w:color w:val="1C1A15"/>
          <w:sz w:val="24"/>
          <w:szCs w:val="24"/>
          <w:u w:val="single"/>
          <w:lang w:val="nl-BE"/>
        </w:rPr>
      </w:pPr>
    </w:p>
    <w:p w14:paraId="1FE1EF82" w14:textId="536FCDF4" w:rsidR="00222680" w:rsidRPr="00802946" w:rsidRDefault="002A7BF5" w:rsidP="001E069C">
      <w:pPr>
        <w:pStyle w:val="Kop3"/>
        <w:numPr>
          <w:ilvl w:val="2"/>
          <w:numId w:val="35"/>
        </w:numPr>
        <w:rPr>
          <w:rFonts w:cstheme="minorHAnsi"/>
          <w:lang w:val="nl-BE"/>
        </w:rPr>
      </w:pPr>
      <w:bookmarkStart w:id="44" w:name="_Toc160465626"/>
      <w:r w:rsidRPr="001E069C">
        <w:rPr>
          <w:rFonts w:asciiTheme="minorHAnsi" w:hAnsiTheme="minorHAnsi" w:cstheme="minorHAnsi"/>
          <w:lang w:val="nl-BE"/>
        </w:rPr>
        <w:t>Kwaliteitsborging van meetapparatuur</w:t>
      </w:r>
      <w:bookmarkEnd w:id="44"/>
    </w:p>
    <w:p w14:paraId="0516C922" w14:textId="77777777" w:rsidR="002A7BF5" w:rsidRPr="001E069C" w:rsidRDefault="002A7BF5" w:rsidP="005364F7">
      <w:pPr>
        <w:spacing w:after="0"/>
        <w:ind w:left="426" w:hanging="426"/>
        <w:jc w:val="both"/>
        <w:rPr>
          <w:rFonts w:cstheme="minorHAnsi"/>
          <w:b/>
          <w:color w:val="1C1A15"/>
          <w:sz w:val="20"/>
          <w:szCs w:val="20"/>
          <w:u w:val="single"/>
          <w:lang w:val="nl-BE"/>
        </w:rPr>
      </w:pPr>
    </w:p>
    <w:p w14:paraId="5FC5EC4F" w14:textId="42DBF81A" w:rsidR="001A67D8" w:rsidRPr="001E069C" w:rsidRDefault="002A7BF5"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De FAR (</w:t>
      </w:r>
      <w:r w:rsidR="00E0108B">
        <w:rPr>
          <w:rFonts w:cstheme="minorHAnsi"/>
          <w:color w:val="1C1A15"/>
          <w:lang w:val="nl-BE"/>
        </w:rPr>
        <w:t>a</w:t>
      </w:r>
      <w:r w:rsidRPr="001E069C">
        <w:rPr>
          <w:rFonts w:cstheme="minorHAnsi"/>
          <w:color w:val="1C1A15"/>
          <w:lang w:val="nl-BE"/>
        </w:rPr>
        <w:t>rt</w:t>
      </w:r>
      <w:r w:rsidR="00E0108B">
        <w:rPr>
          <w:rFonts w:cstheme="minorHAnsi"/>
          <w:color w:val="1C1A15"/>
          <w:lang w:val="nl-BE"/>
        </w:rPr>
        <w:t>i</w:t>
      </w:r>
      <w:r w:rsidR="00602951">
        <w:rPr>
          <w:rFonts w:cstheme="minorHAnsi"/>
          <w:color w:val="1C1A15"/>
          <w:lang w:val="nl-BE"/>
        </w:rPr>
        <w:t>kel</w:t>
      </w:r>
      <w:r w:rsidRPr="001E069C">
        <w:rPr>
          <w:rFonts w:cstheme="minorHAnsi"/>
          <w:color w:val="1C1A15"/>
          <w:lang w:val="nl-BE"/>
        </w:rPr>
        <w:t xml:space="preserve">. 11.3 a) vraagt naar kwaliteitsborging van de meetapparatuur en </w:t>
      </w:r>
      <w:proofErr w:type="spellStart"/>
      <w:r w:rsidR="00746E35" w:rsidRPr="001E069C">
        <w:rPr>
          <w:rFonts w:cstheme="minorHAnsi"/>
          <w:color w:val="1C1A15"/>
          <w:lang w:val="nl-BE"/>
        </w:rPr>
        <w:t>G</w:t>
      </w:r>
      <w:r w:rsidRPr="001E069C">
        <w:rPr>
          <w:rFonts w:cstheme="minorHAnsi"/>
          <w:color w:val="1C1A15"/>
          <w:lang w:val="nl-BE"/>
        </w:rPr>
        <w:t>uidance</w:t>
      </w:r>
      <w:proofErr w:type="spellEnd"/>
      <w:r w:rsidRPr="001E069C">
        <w:rPr>
          <w:rFonts w:cstheme="minorHAnsi"/>
          <w:color w:val="1C1A15"/>
          <w:lang w:val="nl-BE"/>
        </w:rPr>
        <w:t xml:space="preserve"> </w:t>
      </w:r>
      <w:r w:rsidR="00746E35" w:rsidRPr="001E069C">
        <w:rPr>
          <w:rFonts w:cstheme="minorHAnsi"/>
          <w:color w:val="1C1A15"/>
          <w:lang w:val="nl-BE"/>
        </w:rPr>
        <w:t xml:space="preserve">Document </w:t>
      </w:r>
      <w:r w:rsidRPr="001E069C">
        <w:rPr>
          <w:rFonts w:cstheme="minorHAnsi"/>
          <w:color w:val="1C1A15"/>
          <w:lang w:val="nl-BE"/>
        </w:rPr>
        <w:t xml:space="preserve">5 specificeert verder dat meetapparaten gebruikt in het MMP om data te verzamelen op dezelfde manier </w:t>
      </w:r>
      <w:r w:rsidR="00550E78" w:rsidRPr="001E069C">
        <w:rPr>
          <w:rFonts w:cstheme="minorHAnsi"/>
          <w:color w:val="1C1A15"/>
          <w:lang w:val="nl-BE"/>
        </w:rPr>
        <w:t xml:space="preserve">moeten </w:t>
      </w:r>
      <w:r w:rsidRPr="001E069C">
        <w:rPr>
          <w:rFonts w:cstheme="minorHAnsi"/>
          <w:color w:val="1C1A15"/>
          <w:lang w:val="nl-BE"/>
        </w:rPr>
        <w:t>onderhouden worden als deze uit het monitoringplan, d.w.z. regelmatig gekalibreerd</w:t>
      </w:r>
      <w:r w:rsidR="00550E78" w:rsidRPr="001E069C">
        <w:rPr>
          <w:rFonts w:cstheme="minorHAnsi"/>
          <w:color w:val="1C1A15"/>
          <w:lang w:val="nl-BE"/>
        </w:rPr>
        <w:t xml:space="preserve"> en jaarlijks gecontroleerd</w:t>
      </w:r>
      <w:r w:rsidRPr="001E069C">
        <w:rPr>
          <w:rFonts w:cstheme="minorHAnsi"/>
          <w:color w:val="1C1A15"/>
          <w:lang w:val="nl-BE"/>
        </w:rPr>
        <w:t xml:space="preserve">. </w:t>
      </w:r>
      <w:r w:rsidR="00D16F4C" w:rsidRPr="001E069C">
        <w:rPr>
          <w:rFonts w:cstheme="minorHAnsi"/>
          <w:lang w:val="nl-BE"/>
        </w:rPr>
        <w:t xml:space="preserve">De procedure en het onderhoudsprogramma hiertoe moet beschreven worden in </w:t>
      </w:r>
      <w:proofErr w:type="spellStart"/>
      <w:r w:rsidR="00D16F4C" w:rsidRPr="001E069C">
        <w:rPr>
          <w:rFonts w:cstheme="minorHAnsi"/>
          <w:lang w:val="nl-BE"/>
        </w:rPr>
        <w:t>Tab_D</w:t>
      </w:r>
      <w:proofErr w:type="spellEnd"/>
      <w:r w:rsidR="00D16F4C" w:rsidRPr="001E069C">
        <w:rPr>
          <w:rFonts w:cstheme="minorHAnsi"/>
          <w:lang w:val="nl-BE"/>
        </w:rPr>
        <w:t xml:space="preserve"> II (d) van het MMP. </w:t>
      </w:r>
      <w:r w:rsidR="00D16F4C" w:rsidRPr="001E069C">
        <w:rPr>
          <w:rFonts w:cstheme="minorHAnsi"/>
          <w:color w:val="1C1A15"/>
          <w:lang w:val="nl-BE"/>
        </w:rPr>
        <w:t>B</w:t>
      </w:r>
      <w:r w:rsidR="001A67D8" w:rsidRPr="001E069C">
        <w:rPr>
          <w:rFonts w:cstheme="minorHAnsi"/>
          <w:color w:val="1C1A15"/>
          <w:lang w:val="nl-BE"/>
        </w:rPr>
        <w:t xml:space="preserve">ij de beoordeling van de </w:t>
      </w:r>
      <w:r w:rsidR="00D16F4C" w:rsidRPr="001E069C">
        <w:rPr>
          <w:rFonts w:cstheme="minorHAnsi"/>
          <w:color w:val="1C1A15"/>
          <w:lang w:val="nl-BE"/>
        </w:rPr>
        <w:t xml:space="preserve">reeds goedgekeurde </w:t>
      </w:r>
      <w:proofErr w:type="spellStart"/>
      <w:r w:rsidR="001A67D8" w:rsidRPr="001E069C">
        <w:rPr>
          <w:rFonts w:cstheme="minorHAnsi"/>
          <w:color w:val="1C1A15"/>
          <w:lang w:val="nl-BE"/>
        </w:rPr>
        <w:t>MMPs</w:t>
      </w:r>
      <w:proofErr w:type="spellEnd"/>
      <w:r w:rsidR="001A67D8" w:rsidRPr="001E069C">
        <w:rPr>
          <w:rFonts w:cstheme="minorHAnsi"/>
          <w:color w:val="1C1A15"/>
          <w:lang w:val="nl-BE"/>
        </w:rPr>
        <w:t xml:space="preserve"> </w:t>
      </w:r>
      <w:r w:rsidR="00D16F4C" w:rsidRPr="001E069C">
        <w:rPr>
          <w:rFonts w:cstheme="minorHAnsi"/>
          <w:color w:val="1C1A15"/>
          <w:lang w:val="nl-BE"/>
        </w:rPr>
        <w:t xml:space="preserve">is echter </w:t>
      </w:r>
      <w:r w:rsidR="001A67D8" w:rsidRPr="001E069C">
        <w:rPr>
          <w:rFonts w:cstheme="minorHAnsi"/>
          <w:color w:val="1C1A15"/>
          <w:lang w:val="nl-BE"/>
        </w:rPr>
        <w:t>vastgesteld dat</w:t>
      </w:r>
      <w:r w:rsidR="00D16F4C" w:rsidRPr="001E069C">
        <w:rPr>
          <w:rFonts w:cstheme="minorHAnsi"/>
          <w:color w:val="1C1A15"/>
          <w:lang w:val="nl-BE"/>
        </w:rPr>
        <w:t xml:space="preserve"> deze procedure onvoldoende was uitgewerkt, en dat</w:t>
      </w:r>
      <w:r w:rsidR="001A67D8" w:rsidRPr="001E069C">
        <w:rPr>
          <w:rFonts w:cstheme="minorHAnsi"/>
          <w:color w:val="1C1A15"/>
          <w:lang w:val="nl-BE"/>
        </w:rPr>
        <w:t xml:space="preserve"> bv. stoommeters</w:t>
      </w:r>
      <w:r w:rsidR="00D16F4C" w:rsidRPr="001E069C">
        <w:rPr>
          <w:rFonts w:cstheme="minorHAnsi"/>
          <w:color w:val="1C1A15"/>
          <w:lang w:val="nl-BE"/>
        </w:rPr>
        <w:t xml:space="preserve"> - </w:t>
      </w:r>
      <w:r w:rsidR="001A67D8" w:rsidRPr="001E069C">
        <w:rPr>
          <w:rFonts w:cstheme="minorHAnsi"/>
          <w:color w:val="1C1A15"/>
          <w:lang w:val="nl-BE"/>
        </w:rPr>
        <w:t xml:space="preserve">die in vele gevallen gebruikt worden voor de berekening van het activiteitsniveau van de warmtebenchmark </w:t>
      </w:r>
      <w:proofErr w:type="spellStart"/>
      <w:r w:rsidR="005E6A36">
        <w:rPr>
          <w:rFonts w:cstheme="minorHAnsi"/>
          <w:color w:val="1C1A15"/>
          <w:lang w:val="nl-BE"/>
        </w:rPr>
        <w:t>subinstallatie</w:t>
      </w:r>
      <w:proofErr w:type="spellEnd"/>
      <w:r w:rsidR="00D16F4C" w:rsidRPr="001E069C">
        <w:rPr>
          <w:rFonts w:cstheme="minorHAnsi"/>
          <w:color w:val="1C1A15"/>
          <w:lang w:val="nl-BE"/>
        </w:rPr>
        <w:t xml:space="preserve"> - </w:t>
      </w:r>
      <w:r w:rsidR="001A67D8" w:rsidRPr="001E069C">
        <w:rPr>
          <w:rFonts w:cstheme="minorHAnsi"/>
          <w:color w:val="1C1A15"/>
          <w:lang w:val="nl-BE"/>
        </w:rPr>
        <w:t xml:space="preserve">vaak onvoldoende onderhouden worden. </w:t>
      </w:r>
    </w:p>
    <w:p w14:paraId="6BC18D83" w14:textId="77777777" w:rsidR="00D16F4C" w:rsidRPr="001E069C" w:rsidRDefault="00D16F4C" w:rsidP="005364F7">
      <w:pPr>
        <w:autoSpaceDE w:val="0"/>
        <w:autoSpaceDN w:val="0"/>
        <w:adjustRightInd w:val="0"/>
        <w:spacing w:after="0" w:line="240" w:lineRule="auto"/>
        <w:jc w:val="both"/>
        <w:rPr>
          <w:rFonts w:cstheme="minorHAnsi"/>
          <w:color w:val="1C1A15"/>
          <w:lang w:val="nl-BE"/>
        </w:rPr>
      </w:pPr>
    </w:p>
    <w:p w14:paraId="45C0F253" w14:textId="3781A80A" w:rsidR="00D16F4C" w:rsidRPr="001E069C" w:rsidRDefault="00D16F4C" w:rsidP="005364F7">
      <w:pPr>
        <w:pStyle w:val="Lijstalinea"/>
        <w:numPr>
          <w:ilvl w:val="0"/>
          <w:numId w:val="29"/>
        </w:numPr>
        <w:jc w:val="both"/>
        <w:rPr>
          <w:rFonts w:cstheme="minorHAnsi"/>
          <w:b/>
          <w:lang w:val="nl-BE"/>
        </w:rPr>
      </w:pPr>
      <w:r w:rsidRPr="001E069C">
        <w:rPr>
          <w:rFonts w:cstheme="minorHAnsi"/>
          <w:b/>
          <w:lang w:val="nl-BE"/>
        </w:rPr>
        <w:t>Elke exploitant moet daarom in TAB_D II (d) een procedure uitwerken waarin het onderhoudsprogramma van de gehanteerde meetappar</w:t>
      </w:r>
      <w:r w:rsidR="00C310B5">
        <w:rPr>
          <w:rFonts w:cstheme="minorHAnsi"/>
          <w:b/>
          <w:lang w:val="nl-BE"/>
        </w:rPr>
        <w:t>a</w:t>
      </w:r>
      <w:r w:rsidRPr="001E069C">
        <w:rPr>
          <w:rFonts w:cstheme="minorHAnsi"/>
          <w:b/>
          <w:lang w:val="nl-BE"/>
        </w:rPr>
        <w:t xml:space="preserve">tuur wordt beschreven, en dit onderhoudsprogramma vervolgens ook uitvoeren. </w:t>
      </w:r>
    </w:p>
    <w:p w14:paraId="1731AC76" w14:textId="77777777" w:rsidR="002A7BF5" w:rsidRPr="001E069C" w:rsidRDefault="002A7BF5" w:rsidP="005364F7">
      <w:pPr>
        <w:spacing w:after="0"/>
        <w:jc w:val="both"/>
        <w:rPr>
          <w:rFonts w:cstheme="minorHAnsi"/>
          <w:b/>
          <w:color w:val="1C1A15"/>
          <w:sz w:val="16"/>
          <w:szCs w:val="16"/>
          <w:u w:val="single"/>
          <w:lang w:val="nl-BE"/>
        </w:rPr>
      </w:pPr>
    </w:p>
    <w:p w14:paraId="763A548A" w14:textId="05887551" w:rsidR="002A7BF5" w:rsidRPr="00802946" w:rsidRDefault="002A7BF5" w:rsidP="001E069C">
      <w:pPr>
        <w:pStyle w:val="Kop3"/>
        <w:numPr>
          <w:ilvl w:val="2"/>
          <w:numId w:val="35"/>
        </w:numPr>
        <w:rPr>
          <w:rFonts w:cstheme="minorHAnsi"/>
          <w:lang w:val="nl-BE"/>
        </w:rPr>
      </w:pPr>
      <w:bookmarkStart w:id="45" w:name="_Toc160465627"/>
      <w:r w:rsidRPr="001E069C">
        <w:rPr>
          <w:rFonts w:asciiTheme="minorHAnsi" w:hAnsiTheme="minorHAnsi" w:cstheme="minorHAnsi"/>
          <w:lang w:val="nl-BE"/>
        </w:rPr>
        <w:t>Correct invullen van de methodiek</w:t>
      </w:r>
      <w:r w:rsidR="00B658E5" w:rsidRPr="001E069C">
        <w:rPr>
          <w:rFonts w:asciiTheme="minorHAnsi" w:hAnsiTheme="minorHAnsi" w:cstheme="minorHAnsi"/>
          <w:lang w:val="nl-BE"/>
        </w:rPr>
        <w:t>en</w:t>
      </w:r>
      <w:bookmarkEnd w:id="45"/>
    </w:p>
    <w:p w14:paraId="6880D017" w14:textId="77777777" w:rsidR="00FF2D46" w:rsidRPr="001E069C" w:rsidRDefault="00FF2D46" w:rsidP="005364F7">
      <w:pPr>
        <w:spacing w:after="0"/>
        <w:ind w:left="426"/>
        <w:jc w:val="both"/>
        <w:rPr>
          <w:rFonts w:cstheme="minorHAnsi"/>
          <w:color w:val="1C1A15"/>
          <w:sz w:val="16"/>
          <w:szCs w:val="16"/>
          <w:lang w:val="nl-BE"/>
        </w:rPr>
      </w:pPr>
    </w:p>
    <w:p w14:paraId="1E2FACCF" w14:textId="0B20DD34" w:rsidR="00FF2D46" w:rsidRPr="001E069C" w:rsidRDefault="00FF2D46" w:rsidP="005364F7">
      <w:pPr>
        <w:spacing w:after="0"/>
        <w:jc w:val="both"/>
        <w:rPr>
          <w:rFonts w:cstheme="minorHAnsi"/>
          <w:color w:val="1C1A15"/>
          <w:lang w:val="nl-BE"/>
        </w:rPr>
      </w:pPr>
      <w:r w:rsidRPr="001E069C">
        <w:rPr>
          <w:rFonts w:cstheme="minorHAnsi"/>
          <w:color w:val="1C1A15"/>
          <w:lang w:val="nl-BE"/>
        </w:rPr>
        <w:t xml:space="preserve">Vaak werden methodieken in het MMP onvolledig of onduidelijk ingevuld. We nemen als voorbeeld de beschrijving van de methodiek </w:t>
      </w:r>
      <w:r w:rsidRPr="001E069C">
        <w:rPr>
          <w:rFonts w:cstheme="minorHAnsi"/>
          <w:i/>
          <w:color w:val="1C1A15"/>
          <w:lang w:val="nl-BE"/>
        </w:rPr>
        <w:t>voor ‘Meetbare warmte op installatieniveau’</w:t>
      </w:r>
      <w:r w:rsidRPr="001E069C">
        <w:rPr>
          <w:rFonts w:cstheme="minorHAnsi"/>
          <w:color w:val="1C1A15"/>
          <w:lang w:val="nl-BE"/>
        </w:rPr>
        <w:t xml:space="preserve"> in TAB_E II (a) ii 3. De tekst in het MMP ge</w:t>
      </w:r>
      <w:r w:rsidR="00550E78" w:rsidRPr="001E069C">
        <w:rPr>
          <w:rFonts w:cstheme="minorHAnsi"/>
          <w:color w:val="1C1A15"/>
          <w:lang w:val="nl-BE"/>
        </w:rPr>
        <w:t>eft duidelijk aan dat men hierbij</w:t>
      </w:r>
      <w:r w:rsidRPr="001E069C">
        <w:rPr>
          <w:rFonts w:cstheme="minorHAnsi"/>
          <w:color w:val="1C1A15"/>
          <w:lang w:val="nl-BE"/>
        </w:rPr>
        <w:t xml:space="preserve"> vier stappen moet onderscheiden in meetbare warmte, namelijk:</w:t>
      </w:r>
    </w:p>
    <w:p w14:paraId="260548C2" w14:textId="77777777" w:rsidR="00FF2D46" w:rsidRPr="001E069C" w:rsidRDefault="00FF2D46" w:rsidP="005364F7">
      <w:pPr>
        <w:pStyle w:val="Lijstalinea"/>
        <w:numPr>
          <w:ilvl w:val="0"/>
          <w:numId w:val="11"/>
        </w:numPr>
        <w:spacing w:after="0"/>
        <w:ind w:left="709" w:hanging="283"/>
        <w:jc w:val="both"/>
        <w:rPr>
          <w:rFonts w:cstheme="minorHAnsi"/>
          <w:color w:val="1C1A15"/>
          <w:lang w:val="nl-BE"/>
        </w:rPr>
      </w:pPr>
      <w:r w:rsidRPr="001E069C">
        <w:rPr>
          <w:rFonts w:cstheme="minorHAnsi"/>
          <w:color w:val="1C1A15"/>
          <w:lang w:val="nl-BE"/>
        </w:rPr>
        <w:t xml:space="preserve">invoer </w:t>
      </w:r>
    </w:p>
    <w:p w14:paraId="33C4FFDC" w14:textId="77777777" w:rsidR="00FF2D46" w:rsidRPr="001E069C" w:rsidRDefault="00FF2D46" w:rsidP="005364F7">
      <w:pPr>
        <w:pStyle w:val="Lijstalinea"/>
        <w:numPr>
          <w:ilvl w:val="0"/>
          <w:numId w:val="11"/>
        </w:numPr>
        <w:spacing w:after="0"/>
        <w:ind w:left="709" w:hanging="283"/>
        <w:jc w:val="both"/>
        <w:rPr>
          <w:rFonts w:cstheme="minorHAnsi"/>
          <w:color w:val="1C1A15"/>
          <w:lang w:val="nl-BE"/>
        </w:rPr>
      </w:pPr>
      <w:r w:rsidRPr="001E069C">
        <w:rPr>
          <w:rFonts w:cstheme="minorHAnsi"/>
          <w:color w:val="1C1A15"/>
          <w:lang w:val="nl-BE"/>
        </w:rPr>
        <w:t>uitvoer</w:t>
      </w:r>
    </w:p>
    <w:p w14:paraId="27987C68" w14:textId="77777777" w:rsidR="00FF2D46" w:rsidRPr="001E069C" w:rsidRDefault="00FF2D46" w:rsidP="005364F7">
      <w:pPr>
        <w:pStyle w:val="Lijstalinea"/>
        <w:numPr>
          <w:ilvl w:val="0"/>
          <w:numId w:val="11"/>
        </w:numPr>
        <w:spacing w:after="0"/>
        <w:ind w:left="709" w:hanging="283"/>
        <w:jc w:val="both"/>
        <w:rPr>
          <w:rFonts w:cstheme="minorHAnsi"/>
          <w:color w:val="1C1A15"/>
          <w:lang w:val="nl-BE"/>
        </w:rPr>
      </w:pPr>
      <w:r w:rsidRPr="001E069C">
        <w:rPr>
          <w:rFonts w:cstheme="minorHAnsi"/>
          <w:color w:val="1C1A15"/>
          <w:lang w:val="nl-BE"/>
        </w:rPr>
        <w:t>productie</w:t>
      </w:r>
    </w:p>
    <w:p w14:paraId="1FE96153" w14:textId="14FC722C" w:rsidR="00FF2D46" w:rsidRPr="001E069C" w:rsidRDefault="00FF2D46" w:rsidP="005364F7">
      <w:pPr>
        <w:pStyle w:val="Lijstalinea"/>
        <w:numPr>
          <w:ilvl w:val="0"/>
          <w:numId w:val="11"/>
        </w:numPr>
        <w:spacing w:after="0"/>
        <w:ind w:left="709" w:hanging="283"/>
        <w:jc w:val="both"/>
        <w:rPr>
          <w:rFonts w:cstheme="minorHAnsi"/>
          <w:color w:val="1C1A15"/>
          <w:lang w:val="nl-BE"/>
        </w:rPr>
      </w:pPr>
      <w:r w:rsidRPr="001E069C">
        <w:rPr>
          <w:rFonts w:cstheme="minorHAnsi"/>
          <w:color w:val="1C1A15"/>
          <w:lang w:val="nl-BE"/>
        </w:rPr>
        <w:t>verbruik</w:t>
      </w:r>
    </w:p>
    <w:p w14:paraId="33B4B4B6" w14:textId="77777777" w:rsidR="003D3FD8" w:rsidRPr="001E069C" w:rsidRDefault="003D3FD8" w:rsidP="005364F7">
      <w:pPr>
        <w:spacing w:after="0"/>
        <w:jc w:val="both"/>
        <w:rPr>
          <w:rFonts w:cstheme="minorHAnsi"/>
          <w:color w:val="1C1A15"/>
          <w:lang w:val="nl-BE"/>
        </w:rPr>
      </w:pPr>
    </w:p>
    <w:p w14:paraId="574761D3" w14:textId="5A981F46" w:rsidR="00FF2D46" w:rsidRPr="001E069C" w:rsidRDefault="00FF2D46" w:rsidP="005364F7">
      <w:pPr>
        <w:pStyle w:val="Lijstalinea"/>
        <w:numPr>
          <w:ilvl w:val="0"/>
          <w:numId w:val="29"/>
        </w:numPr>
        <w:spacing w:after="0"/>
        <w:jc w:val="both"/>
        <w:rPr>
          <w:rFonts w:cstheme="minorHAnsi"/>
          <w:b/>
          <w:color w:val="1C1A15"/>
          <w:lang w:val="nl-BE"/>
        </w:rPr>
      </w:pPr>
      <w:r w:rsidRPr="001E069C">
        <w:rPr>
          <w:rFonts w:cstheme="minorHAnsi"/>
          <w:b/>
          <w:color w:val="1C1A15"/>
          <w:lang w:val="nl-BE"/>
        </w:rPr>
        <w:t>Voor elk van die vier stappen dient de exploitant de gegevensbronnen, berekeningsstappen en berekeningsformules op te nemen in deze rubriek – of te verwijzen naar een bijlage. Indien bepaalde stappen niet aanwezig zijn (bv</w:t>
      </w:r>
      <w:r w:rsidR="003D3FD8" w:rsidRPr="001E069C">
        <w:rPr>
          <w:rFonts w:cstheme="minorHAnsi"/>
          <w:b/>
          <w:color w:val="1C1A15"/>
          <w:lang w:val="nl-BE"/>
        </w:rPr>
        <w:t>.</w:t>
      </w:r>
      <w:r w:rsidRPr="001E069C">
        <w:rPr>
          <w:rFonts w:cstheme="minorHAnsi"/>
          <w:b/>
          <w:color w:val="1C1A15"/>
          <w:lang w:val="nl-BE"/>
        </w:rPr>
        <w:t xml:space="preserve"> uitvoer van meetbare warmte) vermeldt hij dat, zodat duidelijk is dat deze stap niet vergeten is.</w:t>
      </w:r>
    </w:p>
    <w:p w14:paraId="40DF2003" w14:textId="77777777" w:rsidR="0043165D" w:rsidRPr="001E069C" w:rsidRDefault="0043165D" w:rsidP="005364F7">
      <w:pPr>
        <w:spacing w:after="0"/>
        <w:jc w:val="both"/>
        <w:rPr>
          <w:rFonts w:cstheme="minorHAnsi"/>
          <w:b/>
          <w:color w:val="1C1A15"/>
          <w:sz w:val="16"/>
          <w:szCs w:val="16"/>
          <w:u w:val="single"/>
          <w:lang w:val="nl-BE"/>
        </w:rPr>
      </w:pPr>
    </w:p>
    <w:p w14:paraId="5FFC5C98" w14:textId="77777777" w:rsidR="001A67D8" w:rsidRPr="001E069C" w:rsidRDefault="001A67D8" w:rsidP="005364F7">
      <w:pPr>
        <w:spacing w:after="0"/>
        <w:jc w:val="both"/>
        <w:rPr>
          <w:rFonts w:cstheme="minorHAnsi"/>
          <w:b/>
          <w:color w:val="1C1A15"/>
          <w:sz w:val="16"/>
          <w:szCs w:val="16"/>
          <w:u w:val="single"/>
          <w:lang w:val="nl-BE"/>
        </w:rPr>
      </w:pPr>
    </w:p>
    <w:p w14:paraId="1A1F3794" w14:textId="71A06CAB" w:rsidR="00FF2D46" w:rsidRPr="00802946" w:rsidRDefault="00FF2D46" w:rsidP="001E069C">
      <w:pPr>
        <w:pStyle w:val="Kop3"/>
        <w:numPr>
          <w:ilvl w:val="2"/>
          <w:numId w:val="35"/>
        </w:numPr>
        <w:rPr>
          <w:rFonts w:cstheme="minorHAnsi"/>
          <w:lang w:val="nl-BE"/>
        </w:rPr>
      </w:pPr>
      <w:bookmarkStart w:id="46" w:name="_Toc160465628"/>
      <w:r w:rsidRPr="001E069C">
        <w:rPr>
          <w:rFonts w:asciiTheme="minorHAnsi" w:hAnsiTheme="minorHAnsi" w:cstheme="minorHAnsi"/>
          <w:lang w:val="nl-BE"/>
        </w:rPr>
        <w:t>Procedures in TAB_D II</w:t>
      </w:r>
      <w:bookmarkEnd w:id="46"/>
    </w:p>
    <w:p w14:paraId="67722541" w14:textId="77777777" w:rsidR="00B658E5" w:rsidRPr="001E069C" w:rsidRDefault="00B658E5" w:rsidP="005364F7">
      <w:pPr>
        <w:spacing w:after="0"/>
        <w:jc w:val="both"/>
        <w:rPr>
          <w:rFonts w:cstheme="minorHAnsi"/>
          <w:b/>
          <w:color w:val="1C1A15"/>
          <w:sz w:val="24"/>
          <w:szCs w:val="24"/>
          <w:u w:val="single"/>
          <w:lang w:val="nl-BE"/>
        </w:rPr>
      </w:pPr>
    </w:p>
    <w:p w14:paraId="09951994" w14:textId="74A0B5CF" w:rsidR="00762BD7" w:rsidRPr="001E069C" w:rsidRDefault="00B658E5" w:rsidP="005364F7">
      <w:pPr>
        <w:spacing w:after="0"/>
        <w:jc w:val="both"/>
        <w:rPr>
          <w:rFonts w:cstheme="minorHAnsi"/>
          <w:color w:val="1C1A15"/>
          <w:lang w:val="nl-BE"/>
        </w:rPr>
      </w:pPr>
      <w:r w:rsidRPr="001E069C">
        <w:rPr>
          <w:rFonts w:cstheme="minorHAnsi"/>
          <w:color w:val="1C1A15"/>
          <w:lang w:val="nl-BE"/>
        </w:rPr>
        <w:t xml:space="preserve">Omwille van tijdsnood is het deel ‘Procedures’ van TAB_D II niet kritisch bekeken bij de beoordeling van de </w:t>
      </w:r>
      <w:proofErr w:type="spellStart"/>
      <w:r w:rsidRPr="001E069C">
        <w:rPr>
          <w:rFonts w:cstheme="minorHAnsi"/>
          <w:color w:val="1C1A15"/>
          <w:lang w:val="nl-BE"/>
        </w:rPr>
        <w:t>MMP’s</w:t>
      </w:r>
      <w:proofErr w:type="spellEnd"/>
      <w:r w:rsidRPr="001E069C">
        <w:rPr>
          <w:rFonts w:cstheme="minorHAnsi"/>
          <w:color w:val="1C1A15"/>
          <w:lang w:val="nl-BE"/>
        </w:rPr>
        <w:t xml:space="preserve">. De meeste </w:t>
      </w:r>
      <w:r w:rsidR="00762BD7" w:rsidRPr="001E069C">
        <w:rPr>
          <w:rFonts w:cstheme="minorHAnsi"/>
          <w:color w:val="1C1A15"/>
          <w:lang w:val="nl-BE"/>
        </w:rPr>
        <w:t xml:space="preserve">exploitanten </w:t>
      </w:r>
      <w:r w:rsidRPr="001E069C">
        <w:rPr>
          <w:rFonts w:cstheme="minorHAnsi"/>
          <w:color w:val="1C1A15"/>
          <w:lang w:val="nl-BE"/>
        </w:rPr>
        <w:t xml:space="preserve">hebben dit deel </w:t>
      </w:r>
      <w:r w:rsidR="00762BD7" w:rsidRPr="001E069C">
        <w:rPr>
          <w:rFonts w:cstheme="minorHAnsi"/>
          <w:color w:val="1C1A15"/>
          <w:lang w:val="nl-BE"/>
        </w:rPr>
        <w:t>zeer beperkt uitgewerkt</w:t>
      </w:r>
      <w:r w:rsidR="00550E78" w:rsidRPr="001E069C">
        <w:rPr>
          <w:rFonts w:cstheme="minorHAnsi"/>
          <w:color w:val="1C1A15"/>
          <w:lang w:val="nl-BE"/>
        </w:rPr>
        <w:t xml:space="preserve">. </w:t>
      </w:r>
    </w:p>
    <w:p w14:paraId="6323ABE9" w14:textId="77777777" w:rsidR="00762BD7" w:rsidRPr="001E069C" w:rsidRDefault="00762BD7" w:rsidP="005364F7">
      <w:pPr>
        <w:spacing w:after="0"/>
        <w:jc w:val="both"/>
        <w:rPr>
          <w:rFonts w:cstheme="minorHAnsi"/>
          <w:b/>
          <w:color w:val="1C1A15"/>
          <w:lang w:val="nl-BE"/>
        </w:rPr>
      </w:pPr>
    </w:p>
    <w:p w14:paraId="3F2C46E7" w14:textId="2F43EA52" w:rsidR="00762BD7" w:rsidRPr="001E069C" w:rsidRDefault="00762BD7" w:rsidP="005364F7">
      <w:pPr>
        <w:pStyle w:val="Lijstalinea"/>
        <w:numPr>
          <w:ilvl w:val="0"/>
          <w:numId w:val="29"/>
        </w:numPr>
        <w:spacing w:after="0"/>
        <w:jc w:val="both"/>
        <w:rPr>
          <w:rFonts w:cstheme="minorHAnsi"/>
          <w:b/>
          <w:color w:val="1C1A15"/>
          <w:lang w:val="nl-BE"/>
        </w:rPr>
      </w:pPr>
      <w:r w:rsidRPr="001E069C">
        <w:rPr>
          <w:rFonts w:cstheme="minorHAnsi"/>
          <w:b/>
          <w:color w:val="1C1A15"/>
          <w:lang w:val="nl-BE"/>
        </w:rPr>
        <w:t>Voor de herwerking van het MMP moet elke exploitant nagaan of de</w:t>
      </w:r>
      <w:r w:rsidR="00B658E5" w:rsidRPr="001E069C">
        <w:rPr>
          <w:rFonts w:cstheme="minorHAnsi"/>
          <w:b/>
          <w:color w:val="1C1A15"/>
          <w:lang w:val="nl-BE"/>
        </w:rPr>
        <w:t xml:space="preserve"> procedures </w:t>
      </w:r>
      <w:r w:rsidRPr="001E069C">
        <w:rPr>
          <w:rFonts w:cstheme="minorHAnsi"/>
          <w:b/>
          <w:color w:val="1C1A15"/>
          <w:lang w:val="nl-BE"/>
        </w:rPr>
        <w:t xml:space="preserve">in TAB_D_II voldoende en </w:t>
      </w:r>
      <w:r w:rsidR="00B658E5" w:rsidRPr="001E069C">
        <w:rPr>
          <w:rFonts w:cstheme="minorHAnsi"/>
          <w:b/>
          <w:color w:val="1C1A15"/>
          <w:lang w:val="nl-BE"/>
        </w:rPr>
        <w:t xml:space="preserve">correct </w:t>
      </w:r>
      <w:r w:rsidRPr="001E069C">
        <w:rPr>
          <w:rFonts w:cstheme="minorHAnsi"/>
          <w:b/>
          <w:color w:val="1C1A15"/>
          <w:lang w:val="nl-BE"/>
        </w:rPr>
        <w:t xml:space="preserve">zijn </w:t>
      </w:r>
      <w:r w:rsidR="00B658E5" w:rsidRPr="001E069C">
        <w:rPr>
          <w:rFonts w:cstheme="minorHAnsi"/>
          <w:b/>
          <w:color w:val="1C1A15"/>
          <w:lang w:val="nl-BE"/>
        </w:rPr>
        <w:t>opgesteld</w:t>
      </w:r>
      <w:r w:rsidRPr="001E069C">
        <w:rPr>
          <w:rFonts w:cstheme="minorHAnsi"/>
          <w:b/>
          <w:color w:val="1C1A15"/>
          <w:lang w:val="nl-BE"/>
        </w:rPr>
        <w:t>, en waar nodig de procedures verder verduidelijken en aanvullen</w:t>
      </w:r>
      <w:r w:rsidR="00B658E5" w:rsidRPr="001E069C">
        <w:rPr>
          <w:rFonts w:cstheme="minorHAnsi"/>
          <w:b/>
          <w:color w:val="1C1A15"/>
          <w:lang w:val="nl-BE"/>
        </w:rPr>
        <w:t xml:space="preserve">. </w:t>
      </w:r>
      <w:r w:rsidRPr="001E069C">
        <w:rPr>
          <w:rFonts w:cstheme="minorHAnsi"/>
          <w:b/>
          <w:color w:val="1C1A15"/>
          <w:lang w:val="nl-BE"/>
        </w:rPr>
        <w:t>We vragen daarbij bijzondere aandacht voor procedures c en d die inhoudelijk verschillen van analoge procedures uit het monitoringplan.</w:t>
      </w:r>
    </w:p>
    <w:p w14:paraId="15B4BDFC" w14:textId="77777777" w:rsidR="00762BD7" w:rsidRPr="001E069C" w:rsidRDefault="00762BD7" w:rsidP="005364F7">
      <w:pPr>
        <w:spacing w:after="0"/>
        <w:jc w:val="both"/>
        <w:rPr>
          <w:rFonts w:cstheme="minorHAnsi"/>
          <w:color w:val="1C1A15"/>
          <w:lang w:val="nl-BE"/>
        </w:rPr>
      </w:pPr>
    </w:p>
    <w:p w14:paraId="3DA5B760" w14:textId="2AA2B163" w:rsidR="00B658E5" w:rsidRPr="001E069C" w:rsidRDefault="00B658E5" w:rsidP="005364F7">
      <w:pPr>
        <w:spacing w:after="0"/>
        <w:jc w:val="both"/>
        <w:rPr>
          <w:rFonts w:cstheme="minorHAnsi"/>
          <w:color w:val="1C1A15"/>
          <w:lang w:val="nl-BE"/>
        </w:rPr>
      </w:pPr>
      <w:r w:rsidRPr="001E069C">
        <w:rPr>
          <w:rFonts w:cstheme="minorHAnsi"/>
          <w:color w:val="1C1A15"/>
          <w:lang w:val="nl-BE"/>
        </w:rPr>
        <w:t xml:space="preserve">Zoals bij het monitoringplan dient in TAB_D II een korte, maar duidelijke samenvatting te staan van wat de procedures inhouden, zodat de lezer goed begrijpt wat er zal gebeuren op basis van deze procedures. De uitgebreide procedures zelf blijven bij de exploitant, maar dienen voorgelegd te worden op vraag van </w:t>
      </w:r>
      <w:r w:rsidR="0081135D">
        <w:rPr>
          <w:rFonts w:cstheme="minorHAnsi"/>
          <w:color w:val="1C1A15"/>
          <w:lang w:val="nl-BE"/>
        </w:rPr>
        <w:t>VBBV/VEKA</w:t>
      </w:r>
      <w:r w:rsidRPr="001E069C">
        <w:rPr>
          <w:rFonts w:cstheme="minorHAnsi"/>
          <w:color w:val="1C1A15"/>
          <w:lang w:val="nl-BE"/>
        </w:rPr>
        <w:t>.</w:t>
      </w:r>
      <w:r w:rsidR="00762BD7" w:rsidRPr="001E069C">
        <w:rPr>
          <w:rFonts w:cstheme="minorHAnsi"/>
          <w:color w:val="1C1A15"/>
          <w:lang w:val="nl-BE"/>
        </w:rPr>
        <w:t xml:space="preserve"> </w:t>
      </w:r>
    </w:p>
    <w:p w14:paraId="7BA32A96" w14:textId="77777777" w:rsidR="00B658E5" w:rsidRPr="001E069C" w:rsidRDefault="00B658E5" w:rsidP="005364F7">
      <w:pPr>
        <w:spacing w:after="0"/>
        <w:jc w:val="both"/>
        <w:rPr>
          <w:rFonts w:cstheme="minorHAnsi"/>
          <w:b/>
          <w:color w:val="1C1A15"/>
          <w:sz w:val="16"/>
          <w:szCs w:val="16"/>
          <w:u w:val="single"/>
          <w:lang w:val="nl-BE"/>
        </w:rPr>
      </w:pPr>
    </w:p>
    <w:p w14:paraId="468BC065" w14:textId="77777777" w:rsidR="00B658E5" w:rsidRPr="001E069C" w:rsidRDefault="00B658E5" w:rsidP="005364F7">
      <w:pPr>
        <w:spacing w:after="0"/>
        <w:jc w:val="both"/>
        <w:rPr>
          <w:rFonts w:cstheme="minorHAnsi"/>
          <w:b/>
          <w:color w:val="1C1A15"/>
          <w:sz w:val="16"/>
          <w:szCs w:val="16"/>
          <w:u w:val="single"/>
          <w:lang w:val="nl-BE"/>
        </w:rPr>
      </w:pPr>
    </w:p>
    <w:p w14:paraId="741F14E9" w14:textId="3A20B1FF" w:rsidR="00B658E5" w:rsidRPr="00802946" w:rsidRDefault="00B658E5" w:rsidP="001E069C">
      <w:pPr>
        <w:pStyle w:val="Kop3"/>
        <w:numPr>
          <w:ilvl w:val="2"/>
          <w:numId w:val="35"/>
        </w:numPr>
        <w:rPr>
          <w:rFonts w:cstheme="minorHAnsi"/>
          <w:lang w:val="nl-BE"/>
        </w:rPr>
      </w:pPr>
      <w:bookmarkStart w:id="47" w:name="_Toc160465629"/>
      <w:r w:rsidRPr="001E069C">
        <w:rPr>
          <w:rFonts w:asciiTheme="minorHAnsi" w:hAnsiTheme="minorHAnsi" w:cstheme="minorHAnsi"/>
          <w:lang w:val="nl-BE"/>
        </w:rPr>
        <w:lastRenderedPageBreak/>
        <w:t>Informatie over het herrekenen van benchmarkwaarden</w:t>
      </w:r>
      <w:bookmarkEnd w:id="47"/>
    </w:p>
    <w:p w14:paraId="161902ED" w14:textId="77777777" w:rsidR="002A7BF5" w:rsidRPr="001E069C" w:rsidRDefault="002A7BF5" w:rsidP="005364F7">
      <w:pPr>
        <w:spacing w:after="0"/>
        <w:ind w:left="426"/>
        <w:jc w:val="both"/>
        <w:rPr>
          <w:rFonts w:cstheme="minorHAnsi"/>
          <w:color w:val="1C1A15"/>
          <w:sz w:val="16"/>
          <w:szCs w:val="16"/>
          <w:lang w:val="nl-BE"/>
        </w:rPr>
      </w:pPr>
    </w:p>
    <w:p w14:paraId="7A60BCAD" w14:textId="65368307" w:rsidR="00B658E5" w:rsidRPr="001E069C" w:rsidRDefault="00B658E5" w:rsidP="005364F7">
      <w:pPr>
        <w:spacing w:after="0"/>
        <w:jc w:val="both"/>
        <w:rPr>
          <w:rFonts w:cstheme="minorHAnsi"/>
          <w:color w:val="1C1A15"/>
          <w:lang w:val="nl-BE"/>
        </w:rPr>
      </w:pPr>
      <w:r w:rsidRPr="001E069C">
        <w:rPr>
          <w:rFonts w:cstheme="minorHAnsi"/>
          <w:color w:val="1C1A15"/>
          <w:lang w:val="nl-BE"/>
        </w:rPr>
        <w:t xml:space="preserve">In het algemeen waren de </w:t>
      </w:r>
      <w:r w:rsidR="003D3FD8" w:rsidRPr="001E069C">
        <w:rPr>
          <w:rFonts w:cstheme="minorHAnsi"/>
          <w:color w:val="1C1A15"/>
          <w:lang w:val="nl-BE"/>
        </w:rPr>
        <w:t xml:space="preserve">blauw gekleurde </w:t>
      </w:r>
      <w:r w:rsidRPr="001E069C">
        <w:rPr>
          <w:rFonts w:cstheme="minorHAnsi"/>
          <w:color w:val="1C1A15"/>
          <w:lang w:val="nl-BE"/>
        </w:rPr>
        <w:t>delen uit TAB_F I x vanaf (d) en TAB_G I x vanaf (c)</w:t>
      </w:r>
      <w:r w:rsidR="00550E78" w:rsidRPr="001E069C">
        <w:rPr>
          <w:rFonts w:cstheme="minorHAnsi"/>
          <w:color w:val="1C1A15"/>
          <w:lang w:val="nl-BE"/>
        </w:rPr>
        <w:t>,</w:t>
      </w:r>
      <w:r w:rsidRPr="001E069C">
        <w:rPr>
          <w:rFonts w:cstheme="minorHAnsi"/>
          <w:color w:val="1C1A15"/>
          <w:lang w:val="nl-BE"/>
        </w:rPr>
        <w:t xml:space="preserve"> die gebruikt worden om benchmarkwaarden te herrekenen</w:t>
      </w:r>
      <w:r w:rsidR="00550E78" w:rsidRPr="001E069C">
        <w:rPr>
          <w:rFonts w:cstheme="minorHAnsi"/>
          <w:color w:val="1C1A15"/>
          <w:lang w:val="nl-BE"/>
        </w:rPr>
        <w:t>,</w:t>
      </w:r>
      <w:r w:rsidRPr="001E069C">
        <w:rPr>
          <w:rFonts w:cstheme="minorHAnsi"/>
          <w:color w:val="1C1A15"/>
          <w:lang w:val="nl-BE"/>
        </w:rPr>
        <w:t xml:space="preserve"> vaak</w:t>
      </w:r>
      <w:r w:rsidR="00051CA8" w:rsidRPr="001E069C">
        <w:rPr>
          <w:rFonts w:cstheme="minorHAnsi"/>
          <w:color w:val="1C1A15"/>
          <w:lang w:val="nl-BE"/>
        </w:rPr>
        <w:t xml:space="preserve"> niet correct ingevuld, wellicht door gebrek aan tijd of/en doordat hier een gans andere denkwijze gebruikt wordt dan bij het verzamelen van data voor allocatiedoeleinden.</w:t>
      </w:r>
    </w:p>
    <w:p w14:paraId="774D87F2" w14:textId="74653809" w:rsidR="00762BD7" w:rsidRPr="001E069C" w:rsidRDefault="00762BD7" w:rsidP="005364F7">
      <w:pPr>
        <w:spacing w:after="0"/>
        <w:jc w:val="both"/>
        <w:rPr>
          <w:rFonts w:cstheme="minorHAnsi"/>
          <w:color w:val="1C1A15"/>
          <w:lang w:val="nl-BE"/>
        </w:rPr>
      </w:pPr>
    </w:p>
    <w:p w14:paraId="3901ECEC" w14:textId="764A71CD" w:rsidR="00762BD7" w:rsidRPr="001E069C" w:rsidRDefault="00762BD7" w:rsidP="005364F7">
      <w:pPr>
        <w:pStyle w:val="Lijstalinea"/>
        <w:numPr>
          <w:ilvl w:val="0"/>
          <w:numId w:val="29"/>
        </w:numPr>
        <w:spacing w:after="0"/>
        <w:jc w:val="both"/>
        <w:rPr>
          <w:rFonts w:cstheme="minorHAnsi"/>
          <w:b/>
          <w:color w:val="1C1A15"/>
          <w:lang w:val="nl-BE"/>
        </w:rPr>
      </w:pPr>
      <w:r w:rsidRPr="001E069C">
        <w:rPr>
          <w:rFonts w:cstheme="minorHAnsi"/>
          <w:b/>
          <w:color w:val="1C1A15"/>
          <w:lang w:val="nl-BE"/>
        </w:rPr>
        <w:t xml:space="preserve">Voor de herwerking van het MMP moet elke exploitant nagaan of </w:t>
      </w:r>
      <w:r w:rsidR="00DB4022" w:rsidRPr="001E069C">
        <w:rPr>
          <w:rFonts w:cstheme="minorHAnsi"/>
          <w:b/>
          <w:color w:val="1C1A15"/>
          <w:lang w:val="nl-BE"/>
        </w:rPr>
        <w:t xml:space="preserve">de </w:t>
      </w:r>
      <w:r w:rsidRPr="001E069C">
        <w:rPr>
          <w:rFonts w:cstheme="minorHAnsi"/>
          <w:b/>
          <w:color w:val="1C1A15"/>
          <w:lang w:val="nl-BE"/>
        </w:rPr>
        <w:t xml:space="preserve">methodiek voor de toewijzing van emissies per </w:t>
      </w:r>
      <w:proofErr w:type="spellStart"/>
      <w:r w:rsidR="005E6A36">
        <w:rPr>
          <w:rFonts w:cstheme="minorHAnsi"/>
          <w:b/>
          <w:color w:val="1C1A15"/>
          <w:lang w:val="nl-BE"/>
        </w:rPr>
        <w:t>subinstallatie</w:t>
      </w:r>
      <w:proofErr w:type="spellEnd"/>
      <w:r w:rsidRPr="001E069C">
        <w:rPr>
          <w:rFonts w:cstheme="minorHAnsi"/>
          <w:b/>
          <w:color w:val="1C1A15"/>
          <w:lang w:val="nl-BE"/>
        </w:rPr>
        <w:t xml:space="preserve"> (de blauw gekleurde delen in TAB_F en TAB_G) correct is opgemaakt, en waar nodig correcties aanbrengen.  </w:t>
      </w:r>
    </w:p>
    <w:p w14:paraId="562A027F" w14:textId="77777777" w:rsidR="00762BD7" w:rsidRPr="001E069C" w:rsidRDefault="00762BD7" w:rsidP="005364F7">
      <w:pPr>
        <w:spacing w:after="0"/>
        <w:jc w:val="both"/>
        <w:rPr>
          <w:rFonts w:cstheme="minorHAnsi"/>
          <w:color w:val="1C1A15"/>
          <w:lang w:val="nl-BE"/>
        </w:rPr>
      </w:pPr>
    </w:p>
    <w:p w14:paraId="77400C52" w14:textId="4934D245" w:rsidR="00051CA8" w:rsidRPr="001E069C" w:rsidRDefault="00051CA8" w:rsidP="005364F7">
      <w:pPr>
        <w:spacing w:after="0"/>
        <w:jc w:val="both"/>
        <w:rPr>
          <w:rFonts w:cstheme="minorHAnsi"/>
          <w:color w:val="1C1A15"/>
          <w:lang w:val="nl-BE"/>
        </w:rPr>
      </w:pPr>
      <w:r w:rsidRPr="001E069C">
        <w:rPr>
          <w:rFonts w:cstheme="minorHAnsi"/>
          <w:color w:val="1C1A15"/>
          <w:lang w:val="nl-BE"/>
        </w:rPr>
        <w:t xml:space="preserve">Informatie over hoe men dit deel moet invullen vindt men in hoofdstuk 7.3 </w:t>
      </w:r>
      <w:r w:rsidR="00F21BBF" w:rsidRPr="001E069C">
        <w:rPr>
          <w:rFonts w:cstheme="minorHAnsi"/>
          <w:color w:val="1C1A15"/>
          <w:lang w:val="nl-BE"/>
        </w:rPr>
        <w:t xml:space="preserve">van </w:t>
      </w:r>
      <w:proofErr w:type="spellStart"/>
      <w:r w:rsidR="00F21BBF" w:rsidRPr="001E069C">
        <w:rPr>
          <w:rFonts w:cstheme="minorHAnsi"/>
          <w:color w:val="1C1A15"/>
          <w:lang w:val="nl-BE"/>
        </w:rPr>
        <w:t>Guidance</w:t>
      </w:r>
      <w:proofErr w:type="spellEnd"/>
      <w:r w:rsidR="00F21BBF" w:rsidRPr="001E069C">
        <w:rPr>
          <w:rFonts w:cstheme="minorHAnsi"/>
          <w:color w:val="1C1A15"/>
          <w:lang w:val="nl-BE"/>
        </w:rPr>
        <w:t xml:space="preserve"> Document 5 </w:t>
      </w:r>
      <w:r w:rsidRPr="001E069C">
        <w:rPr>
          <w:rFonts w:cstheme="minorHAnsi"/>
          <w:color w:val="1C1A15"/>
          <w:lang w:val="nl-BE"/>
        </w:rPr>
        <w:t>dat ook een aantal verhelderende voorbeelden bevat.</w:t>
      </w:r>
      <w:r w:rsidR="00762BD7" w:rsidRPr="001E069C">
        <w:rPr>
          <w:rFonts w:cstheme="minorHAnsi"/>
          <w:color w:val="1C1A15"/>
          <w:lang w:val="nl-BE"/>
        </w:rPr>
        <w:t xml:space="preserve"> Daarnaast werden ook de Vlaamse FAQ’s aangevuld met verdere toelichting over de correcte methodiek in gevallen waar er vaak fouten zijn gemaakt, met name gevallen waar er:</w:t>
      </w:r>
    </w:p>
    <w:p w14:paraId="74EF3196" w14:textId="1A10686D" w:rsidR="00762BD7" w:rsidRPr="001E069C" w:rsidRDefault="00762BD7" w:rsidP="005364F7">
      <w:pPr>
        <w:pStyle w:val="Lijstalinea"/>
        <w:numPr>
          <w:ilvl w:val="0"/>
          <w:numId w:val="33"/>
        </w:numPr>
        <w:spacing w:after="0"/>
        <w:jc w:val="both"/>
        <w:rPr>
          <w:rFonts w:cstheme="minorHAnsi"/>
          <w:color w:val="1C1A15"/>
          <w:lang w:val="nl-BE"/>
        </w:rPr>
      </w:pPr>
      <w:r w:rsidRPr="001E069C">
        <w:rPr>
          <w:rFonts w:cstheme="minorHAnsi"/>
          <w:color w:val="1C1A15"/>
          <w:lang w:val="nl-BE"/>
        </w:rPr>
        <w:t xml:space="preserve">warmte wordt gerecupereerd uit de brandstofbenchmark </w:t>
      </w:r>
      <w:proofErr w:type="spellStart"/>
      <w:r w:rsidR="005E6A36">
        <w:rPr>
          <w:rFonts w:cstheme="minorHAnsi"/>
          <w:color w:val="1C1A15"/>
          <w:lang w:val="nl-BE"/>
        </w:rPr>
        <w:t>subinstallatie</w:t>
      </w:r>
      <w:proofErr w:type="spellEnd"/>
      <w:r w:rsidRPr="001E069C">
        <w:rPr>
          <w:rFonts w:cstheme="minorHAnsi"/>
          <w:color w:val="1C1A15"/>
          <w:lang w:val="nl-BE"/>
        </w:rPr>
        <w:t xml:space="preserve">, die vervolgens wordt geconsumeerd onder de warmtebenchmark </w:t>
      </w:r>
      <w:proofErr w:type="spellStart"/>
      <w:r w:rsidR="005E6A36">
        <w:rPr>
          <w:rFonts w:cstheme="minorHAnsi"/>
          <w:color w:val="1C1A15"/>
          <w:lang w:val="nl-BE"/>
        </w:rPr>
        <w:t>subinstallatie</w:t>
      </w:r>
      <w:proofErr w:type="spellEnd"/>
      <w:r w:rsidRPr="001E069C">
        <w:rPr>
          <w:rFonts w:cstheme="minorHAnsi"/>
          <w:color w:val="1C1A15"/>
          <w:lang w:val="nl-BE"/>
        </w:rPr>
        <w:t>;</w:t>
      </w:r>
    </w:p>
    <w:p w14:paraId="5C8748E3" w14:textId="0282EF93" w:rsidR="00762BD7" w:rsidRPr="001E069C" w:rsidRDefault="00762BD7" w:rsidP="005364F7">
      <w:pPr>
        <w:pStyle w:val="Lijstalinea"/>
        <w:numPr>
          <w:ilvl w:val="0"/>
          <w:numId w:val="33"/>
        </w:numPr>
        <w:spacing w:after="0"/>
        <w:jc w:val="both"/>
        <w:rPr>
          <w:rFonts w:cstheme="minorHAnsi"/>
          <w:color w:val="1C1A15"/>
          <w:lang w:val="nl-BE"/>
        </w:rPr>
      </w:pPr>
      <w:r w:rsidRPr="001E069C">
        <w:rPr>
          <w:rFonts w:cstheme="minorHAnsi"/>
          <w:color w:val="1C1A15"/>
          <w:lang w:val="nl-BE"/>
        </w:rPr>
        <w:t xml:space="preserve">warmte wordt opgewekt met afgassen, die vervolgens wordt geconsumeerd onder de warmtebenchmark </w:t>
      </w:r>
      <w:proofErr w:type="spellStart"/>
      <w:r w:rsidR="005E6A36">
        <w:rPr>
          <w:rFonts w:cstheme="minorHAnsi"/>
          <w:color w:val="1C1A15"/>
          <w:lang w:val="nl-BE"/>
        </w:rPr>
        <w:t>subinstallatie</w:t>
      </w:r>
      <w:proofErr w:type="spellEnd"/>
      <w:r w:rsidRPr="001E069C">
        <w:rPr>
          <w:rFonts w:cstheme="minorHAnsi"/>
          <w:color w:val="1C1A15"/>
          <w:lang w:val="nl-BE"/>
        </w:rPr>
        <w:t xml:space="preserve">.  </w:t>
      </w:r>
    </w:p>
    <w:p w14:paraId="462A5EC1" w14:textId="103204EB" w:rsidR="00222680" w:rsidRPr="001E069C" w:rsidRDefault="00222680" w:rsidP="005364F7">
      <w:pPr>
        <w:spacing w:after="0"/>
        <w:jc w:val="both"/>
        <w:rPr>
          <w:rFonts w:cstheme="minorHAnsi"/>
          <w:color w:val="1C1A15"/>
          <w:sz w:val="24"/>
          <w:szCs w:val="24"/>
          <w:lang w:val="nl-BE"/>
        </w:rPr>
      </w:pPr>
    </w:p>
    <w:p w14:paraId="790C43BD" w14:textId="742D82F0" w:rsidR="00762BD7" w:rsidRPr="00802946" w:rsidRDefault="00762BD7" w:rsidP="001E069C">
      <w:pPr>
        <w:pStyle w:val="Kop3"/>
        <w:numPr>
          <w:ilvl w:val="2"/>
          <w:numId w:val="35"/>
        </w:numPr>
        <w:rPr>
          <w:rFonts w:cstheme="minorHAnsi"/>
          <w:lang w:val="nl-BE"/>
        </w:rPr>
      </w:pPr>
      <w:bookmarkStart w:id="48" w:name="_Toc160465630"/>
      <w:r w:rsidRPr="001E069C">
        <w:rPr>
          <w:rFonts w:asciiTheme="minorHAnsi" w:hAnsiTheme="minorHAnsi" w:cstheme="minorHAnsi"/>
          <w:lang w:val="nl-BE"/>
        </w:rPr>
        <w:t xml:space="preserve">Fysieke onderdelen die onder meerdere </w:t>
      </w:r>
      <w:proofErr w:type="spellStart"/>
      <w:r w:rsidR="005E6A36">
        <w:rPr>
          <w:rFonts w:asciiTheme="minorHAnsi" w:hAnsiTheme="minorHAnsi" w:cstheme="minorHAnsi"/>
          <w:lang w:val="nl-BE"/>
        </w:rPr>
        <w:t>subinstallatie</w:t>
      </w:r>
      <w:r w:rsidRPr="001E069C">
        <w:rPr>
          <w:rFonts w:asciiTheme="minorHAnsi" w:hAnsiTheme="minorHAnsi" w:cstheme="minorHAnsi"/>
          <w:lang w:val="nl-BE"/>
        </w:rPr>
        <w:t>s</w:t>
      </w:r>
      <w:proofErr w:type="spellEnd"/>
      <w:r w:rsidRPr="001E069C">
        <w:rPr>
          <w:rFonts w:asciiTheme="minorHAnsi" w:hAnsiTheme="minorHAnsi" w:cstheme="minorHAnsi"/>
          <w:lang w:val="nl-BE"/>
        </w:rPr>
        <w:t xml:space="preserve"> vallen</w:t>
      </w:r>
      <w:bookmarkEnd w:id="48"/>
    </w:p>
    <w:p w14:paraId="69F362E4" w14:textId="3925B585" w:rsidR="00762BD7" w:rsidRPr="001E069C" w:rsidRDefault="00762BD7" w:rsidP="005364F7">
      <w:pPr>
        <w:spacing w:after="0"/>
        <w:jc w:val="both"/>
        <w:rPr>
          <w:rFonts w:cstheme="minorHAnsi"/>
          <w:color w:val="1C1A15"/>
          <w:sz w:val="24"/>
          <w:szCs w:val="24"/>
          <w:lang w:val="nl-BE"/>
        </w:rPr>
      </w:pPr>
    </w:p>
    <w:p w14:paraId="328F41B0" w14:textId="77777777" w:rsidR="00762BD7" w:rsidRPr="001E069C" w:rsidRDefault="00762BD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Onder TAB_D I dient de exploitant aan te geven:</w:t>
      </w:r>
    </w:p>
    <w:p w14:paraId="3CD7C04C" w14:textId="567087E5" w:rsidR="00762BD7" w:rsidRPr="001E069C" w:rsidRDefault="00762BD7" w:rsidP="005364F7">
      <w:pPr>
        <w:pStyle w:val="Lijstalinea"/>
        <w:numPr>
          <w:ilvl w:val="0"/>
          <w:numId w:val="15"/>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welke fysieke installaties onder meerdere </w:t>
      </w:r>
      <w:proofErr w:type="spellStart"/>
      <w:r w:rsidR="005E6A36">
        <w:rPr>
          <w:rFonts w:cstheme="minorHAnsi"/>
          <w:color w:val="1C1A15"/>
          <w:lang w:val="nl-BE"/>
        </w:rPr>
        <w:t>subinstallatie</w:t>
      </w:r>
      <w:r w:rsidRPr="001E069C">
        <w:rPr>
          <w:rFonts w:cstheme="minorHAnsi"/>
          <w:color w:val="1C1A15"/>
          <w:lang w:val="nl-BE"/>
        </w:rPr>
        <w:t>s</w:t>
      </w:r>
      <w:proofErr w:type="spellEnd"/>
      <w:r w:rsidRPr="001E069C">
        <w:rPr>
          <w:rFonts w:cstheme="minorHAnsi"/>
          <w:color w:val="1C1A15"/>
          <w:lang w:val="nl-BE"/>
        </w:rPr>
        <w:t xml:space="preserve"> vallen (a);</w:t>
      </w:r>
    </w:p>
    <w:p w14:paraId="3BF908C3" w14:textId="361A482A" w:rsidR="00762BD7" w:rsidRPr="001E069C" w:rsidRDefault="00762BD7" w:rsidP="005364F7">
      <w:pPr>
        <w:pStyle w:val="Lijstalinea"/>
        <w:numPr>
          <w:ilvl w:val="0"/>
          <w:numId w:val="15"/>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welke methodiek gebruikt wordt om de emissies van de fysieke installatie te verdelen over de respectieve </w:t>
      </w:r>
      <w:proofErr w:type="spellStart"/>
      <w:r w:rsidR="005E6A36">
        <w:rPr>
          <w:rFonts w:cstheme="minorHAnsi"/>
          <w:color w:val="1C1A15"/>
          <w:lang w:val="nl-BE"/>
        </w:rPr>
        <w:t>subinstallatie</w:t>
      </w:r>
      <w:r w:rsidRPr="001E069C">
        <w:rPr>
          <w:rFonts w:cstheme="minorHAnsi"/>
          <w:color w:val="1C1A15"/>
          <w:lang w:val="nl-BE"/>
        </w:rPr>
        <w:t>s</w:t>
      </w:r>
      <w:proofErr w:type="spellEnd"/>
      <w:r w:rsidRPr="001E069C">
        <w:rPr>
          <w:rFonts w:cstheme="minorHAnsi"/>
          <w:color w:val="1C1A15"/>
          <w:lang w:val="nl-BE"/>
        </w:rPr>
        <w:t xml:space="preserve"> (b);</w:t>
      </w:r>
    </w:p>
    <w:p w14:paraId="5BD202EB" w14:textId="77777777" w:rsidR="00762BD7" w:rsidRPr="001E069C" w:rsidRDefault="00762BD7" w:rsidP="005364F7">
      <w:pPr>
        <w:pStyle w:val="Lijstalinea"/>
        <w:numPr>
          <w:ilvl w:val="0"/>
          <w:numId w:val="15"/>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en hoe de exploitant in dit verband gegevenshiaten of dubbeltelling voorkomt (c).</w:t>
      </w:r>
    </w:p>
    <w:p w14:paraId="22C6E8A9" w14:textId="77777777" w:rsidR="00762BD7" w:rsidRPr="001E069C" w:rsidRDefault="00762BD7" w:rsidP="005364F7">
      <w:pPr>
        <w:autoSpaceDE w:val="0"/>
        <w:autoSpaceDN w:val="0"/>
        <w:adjustRightInd w:val="0"/>
        <w:spacing w:after="0" w:line="240" w:lineRule="auto"/>
        <w:jc w:val="both"/>
        <w:rPr>
          <w:rFonts w:cstheme="minorHAnsi"/>
          <w:color w:val="1C1A15"/>
          <w:lang w:val="nl-BE"/>
        </w:rPr>
      </w:pPr>
    </w:p>
    <w:p w14:paraId="43D85577" w14:textId="77777777" w:rsidR="00762BD7" w:rsidRPr="001E069C" w:rsidRDefault="00762BD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Voorbeelden hiervan zijn: </w:t>
      </w:r>
    </w:p>
    <w:p w14:paraId="5D53874D" w14:textId="60D4FAB2" w:rsidR="00762BD7" w:rsidRPr="001E069C" w:rsidRDefault="00762BD7" w:rsidP="005364F7">
      <w:pPr>
        <w:pStyle w:val="Lijstalinea"/>
        <w:numPr>
          <w:ilvl w:val="0"/>
          <w:numId w:val="16"/>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stoomketels en </w:t>
      </w:r>
      <w:proofErr w:type="spellStart"/>
      <w:r w:rsidRPr="001E069C">
        <w:rPr>
          <w:rFonts w:cstheme="minorHAnsi"/>
          <w:color w:val="1C1A15"/>
          <w:lang w:val="nl-BE"/>
        </w:rPr>
        <w:t>WKK’s</w:t>
      </w:r>
      <w:proofErr w:type="spellEnd"/>
      <w:r w:rsidRPr="001E069C">
        <w:rPr>
          <w:rFonts w:cstheme="minorHAnsi"/>
          <w:color w:val="1C1A15"/>
          <w:lang w:val="nl-BE"/>
        </w:rPr>
        <w:t xml:space="preserve"> die zowel aan productbenchmark </w:t>
      </w:r>
      <w:proofErr w:type="spellStart"/>
      <w:r w:rsidR="005E6A36">
        <w:rPr>
          <w:rFonts w:cstheme="minorHAnsi"/>
          <w:color w:val="1C1A15"/>
          <w:lang w:val="nl-BE"/>
        </w:rPr>
        <w:t>subinstallatie</w:t>
      </w:r>
      <w:r w:rsidRPr="001E069C">
        <w:rPr>
          <w:rFonts w:cstheme="minorHAnsi"/>
          <w:color w:val="1C1A15"/>
          <w:lang w:val="nl-BE"/>
        </w:rPr>
        <w:t>s</w:t>
      </w:r>
      <w:proofErr w:type="spellEnd"/>
      <w:r w:rsidRPr="001E069C">
        <w:rPr>
          <w:rFonts w:cstheme="minorHAnsi"/>
          <w:color w:val="1C1A15"/>
          <w:lang w:val="nl-BE"/>
        </w:rPr>
        <w:t xml:space="preserve"> als aan warmtebenchmark </w:t>
      </w:r>
      <w:proofErr w:type="spellStart"/>
      <w:r w:rsidR="005E6A36">
        <w:rPr>
          <w:rFonts w:cstheme="minorHAnsi"/>
          <w:color w:val="1C1A15"/>
          <w:lang w:val="nl-BE"/>
        </w:rPr>
        <w:t>subinstallatie</w:t>
      </w:r>
      <w:r w:rsidRPr="001E069C">
        <w:rPr>
          <w:rFonts w:cstheme="minorHAnsi"/>
          <w:color w:val="1C1A15"/>
          <w:lang w:val="nl-BE"/>
        </w:rPr>
        <w:t>s</w:t>
      </w:r>
      <w:proofErr w:type="spellEnd"/>
      <w:r w:rsidRPr="001E069C">
        <w:rPr>
          <w:rFonts w:cstheme="minorHAnsi"/>
          <w:color w:val="1C1A15"/>
          <w:lang w:val="nl-BE"/>
        </w:rPr>
        <w:t xml:space="preserve"> stoom leveren </w:t>
      </w:r>
    </w:p>
    <w:p w14:paraId="687A8357" w14:textId="65A25AD3" w:rsidR="00762BD7" w:rsidRPr="001E069C" w:rsidRDefault="00762BD7" w:rsidP="005364F7">
      <w:pPr>
        <w:pStyle w:val="Lijstalinea"/>
        <w:numPr>
          <w:ilvl w:val="0"/>
          <w:numId w:val="16"/>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Installaties die afgassen produceren die in productbenchmark – en brandstof- benchmark </w:t>
      </w:r>
      <w:proofErr w:type="spellStart"/>
      <w:r w:rsidR="005E6A36">
        <w:rPr>
          <w:rFonts w:cstheme="minorHAnsi"/>
          <w:color w:val="1C1A15"/>
          <w:lang w:val="nl-BE"/>
        </w:rPr>
        <w:t>subinstallatie</w:t>
      </w:r>
      <w:r w:rsidRPr="001E069C">
        <w:rPr>
          <w:rFonts w:cstheme="minorHAnsi"/>
          <w:color w:val="1C1A15"/>
          <w:lang w:val="nl-BE"/>
        </w:rPr>
        <w:t>s</w:t>
      </w:r>
      <w:proofErr w:type="spellEnd"/>
      <w:r w:rsidRPr="001E069C">
        <w:rPr>
          <w:rFonts w:cstheme="minorHAnsi"/>
          <w:color w:val="1C1A15"/>
          <w:lang w:val="nl-BE"/>
        </w:rPr>
        <w:t xml:space="preserve"> verbruikt worden</w:t>
      </w:r>
    </w:p>
    <w:p w14:paraId="3F0D8FCD" w14:textId="20833A87" w:rsidR="00762BD7" w:rsidRPr="001E069C" w:rsidRDefault="00762BD7" w:rsidP="005364F7">
      <w:pPr>
        <w:pStyle w:val="Lijstalinea"/>
        <w:numPr>
          <w:ilvl w:val="0"/>
          <w:numId w:val="16"/>
        </w:num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Stoomketels die zowel aan warmtebenchmark </w:t>
      </w:r>
      <w:proofErr w:type="spellStart"/>
      <w:r w:rsidR="005E6A36">
        <w:rPr>
          <w:rFonts w:cstheme="minorHAnsi"/>
          <w:color w:val="1C1A15"/>
          <w:lang w:val="nl-BE"/>
        </w:rPr>
        <w:t>subinstallatie</w:t>
      </w:r>
      <w:r w:rsidRPr="001E069C">
        <w:rPr>
          <w:rFonts w:cstheme="minorHAnsi"/>
          <w:color w:val="1C1A15"/>
          <w:lang w:val="nl-BE"/>
        </w:rPr>
        <w:t>s</w:t>
      </w:r>
      <w:proofErr w:type="spellEnd"/>
      <w:r w:rsidRPr="001E069C">
        <w:rPr>
          <w:rFonts w:cstheme="minorHAnsi"/>
          <w:color w:val="1C1A15"/>
          <w:lang w:val="nl-BE"/>
        </w:rPr>
        <w:t xml:space="preserve"> CL als NCL stoom leveren</w:t>
      </w:r>
    </w:p>
    <w:p w14:paraId="0652743B" w14:textId="77777777" w:rsidR="00762BD7" w:rsidRPr="001E069C" w:rsidRDefault="00762BD7" w:rsidP="005364F7">
      <w:pPr>
        <w:autoSpaceDE w:val="0"/>
        <w:autoSpaceDN w:val="0"/>
        <w:adjustRightInd w:val="0"/>
        <w:spacing w:after="0" w:line="240" w:lineRule="auto"/>
        <w:jc w:val="both"/>
        <w:rPr>
          <w:rFonts w:cstheme="minorHAnsi"/>
          <w:color w:val="1C1A15"/>
          <w:lang w:val="nl-BE"/>
        </w:rPr>
      </w:pPr>
    </w:p>
    <w:p w14:paraId="2441BD39" w14:textId="656919C5" w:rsidR="00762BD7" w:rsidRPr="001E069C" w:rsidRDefault="00762BD7" w:rsidP="005364F7">
      <w:pPr>
        <w:autoSpaceDE w:val="0"/>
        <w:autoSpaceDN w:val="0"/>
        <w:adjustRightInd w:val="0"/>
        <w:spacing w:after="0" w:line="240" w:lineRule="auto"/>
        <w:jc w:val="both"/>
        <w:rPr>
          <w:rFonts w:cstheme="minorHAnsi"/>
          <w:color w:val="1C1A15"/>
          <w:lang w:val="nl-BE"/>
        </w:rPr>
      </w:pPr>
      <w:r w:rsidRPr="001E069C">
        <w:rPr>
          <w:rFonts w:cstheme="minorHAnsi"/>
          <w:color w:val="1C1A15"/>
          <w:lang w:val="nl-BE"/>
        </w:rPr>
        <w:t xml:space="preserve">In een aantal gevallen </w:t>
      </w:r>
      <w:r w:rsidR="00E82E7E" w:rsidRPr="001E069C">
        <w:rPr>
          <w:rFonts w:cstheme="minorHAnsi"/>
          <w:color w:val="1C1A15"/>
          <w:lang w:val="nl-BE"/>
        </w:rPr>
        <w:t>werd</w:t>
      </w:r>
      <w:r w:rsidRPr="001E069C">
        <w:rPr>
          <w:rFonts w:cstheme="minorHAnsi"/>
          <w:color w:val="1C1A15"/>
          <w:lang w:val="nl-BE"/>
        </w:rPr>
        <w:t xml:space="preserve"> punt (a) niet ingevuld en/of </w:t>
      </w:r>
      <w:r w:rsidR="00E82E7E" w:rsidRPr="001E069C">
        <w:rPr>
          <w:rFonts w:cstheme="minorHAnsi"/>
          <w:color w:val="1C1A15"/>
          <w:lang w:val="nl-BE"/>
        </w:rPr>
        <w:t>werd</w:t>
      </w:r>
      <w:r w:rsidRPr="001E069C">
        <w:rPr>
          <w:rFonts w:cstheme="minorHAnsi"/>
          <w:color w:val="1C1A15"/>
          <w:lang w:val="nl-BE"/>
        </w:rPr>
        <w:t xml:space="preserve"> punten (b) en (c) onvolledig, onduidelijk of niet ingevuld</w:t>
      </w:r>
      <w:r w:rsidR="00E82E7E" w:rsidRPr="001E069C">
        <w:rPr>
          <w:rFonts w:cstheme="minorHAnsi"/>
          <w:color w:val="1C1A15"/>
          <w:lang w:val="nl-BE"/>
        </w:rPr>
        <w:t xml:space="preserve"> in de oorspronkelijke </w:t>
      </w:r>
      <w:proofErr w:type="spellStart"/>
      <w:r w:rsidR="00E82E7E" w:rsidRPr="001E069C">
        <w:rPr>
          <w:rFonts w:cstheme="minorHAnsi"/>
          <w:color w:val="1C1A15"/>
          <w:lang w:val="nl-BE"/>
        </w:rPr>
        <w:t>MMPs</w:t>
      </w:r>
      <w:proofErr w:type="spellEnd"/>
      <w:r w:rsidRPr="001E069C">
        <w:rPr>
          <w:rFonts w:cstheme="minorHAnsi"/>
          <w:color w:val="1C1A15"/>
          <w:lang w:val="nl-BE"/>
        </w:rPr>
        <w:t xml:space="preserve">. </w:t>
      </w:r>
    </w:p>
    <w:p w14:paraId="4241AA8C" w14:textId="3850B508" w:rsidR="00E82E7E" w:rsidRPr="001E069C" w:rsidRDefault="00E82E7E" w:rsidP="005364F7">
      <w:pPr>
        <w:autoSpaceDE w:val="0"/>
        <w:autoSpaceDN w:val="0"/>
        <w:adjustRightInd w:val="0"/>
        <w:spacing w:after="0" w:line="240" w:lineRule="auto"/>
        <w:jc w:val="both"/>
        <w:rPr>
          <w:rFonts w:cstheme="minorHAnsi"/>
          <w:color w:val="1C1A15"/>
          <w:lang w:val="nl-BE"/>
        </w:rPr>
      </w:pPr>
    </w:p>
    <w:p w14:paraId="0B3DB47F" w14:textId="0C0E7469" w:rsidR="00E82E7E" w:rsidRPr="001E069C" w:rsidRDefault="00E82E7E" w:rsidP="005364F7">
      <w:pPr>
        <w:pStyle w:val="Lijstalinea"/>
        <w:numPr>
          <w:ilvl w:val="0"/>
          <w:numId w:val="29"/>
        </w:numPr>
        <w:autoSpaceDE w:val="0"/>
        <w:autoSpaceDN w:val="0"/>
        <w:adjustRightInd w:val="0"/>
        <w:spacing w:after="0" w:line="240" w:lineRule="auto"/>
        <w:jc w:val="both"/>
        <w:rPr>
          <w:rFonts w:cstheme="minorHAnsi"/>
          <w:color w:val="1C1A15"/>
          <w:lang w:val="nl-BE"/>
        </w:rPr>
      </w:pPr>
      <w:r w:rsidRPr="001E069C">
        <w:rPr>
          <w:rFonts w:cstheme="minorHAnsi"/>
          <w:b/>
          <w:color w:val="1C1A15"/>
          <w:lang w:val="nl-BE"/>
        </w:rPr>
        <w:t xml:space="preserve">Voor de herwerking van het MMP moet elke exploitant nagaan of de methodiek in TAB_D sectie I (voor fysieke onderdelen die onder meerdere </w:t>
      </w:r>
      <w:proofErr w:type="spellStart"/>
      <w:r w:rsidR="005E6A36">
        <w:rPr>
          <w:rFonts w:cstheme="minorHAnsi"/>
          <w:b/>
          <w:color w:val="1C1A15"/>
          <w:lang w:val="nl-BE"/>
        </w:rPr>
        <w:t>subinstallatie</w:t>
      </w:r>
      <w:r w:rsidRPr="001E069C">
        <w:rPr>
          <w:rFonts w:cstheme="minorHAnsi"/>
          <w:b/>
          <w:color w:val="1C1A15"/>
          <w:lang w:val="nl-BE"/>
        </w:rPr>
        <w:t>s</w:t>
      </w:r>
      <w:proofErr w:type="spellEnd"/>
      <w:r w:rsidRPr="001E069C">
        <w:rPr>
          <w:rFonts w:cstheme="minorHAnsi"/>
          <w:b/>
          <w:color w:val="1C1A15"/>
          <w:lang w:val="nl-BE"/>
        </w:rPr>
        <w:t xml:space="preserve"> vallen) volledig en correct is ingevuld, en waar nodig correcties aanbrengen. </w:t>
      </w:r>
    </w:p>
    <w:p w14:paraId="57FE2945" w14:textId="77777777" w:rsidR="00E82E7E" w:rsidRPr="001E069C" w:rsidRDefault="00E82E7E" w:rsidP="005364F7">
      <w:pPr>
        <w:pStyle w:val="Lijstalinea"/>
        <w:autoSpaceDE w:val="0"/>
        <w:autoSpaceDN w:val="0"/>
        <w:adjustRightInd w:val="0"/>
        <w:spacing w:after="0" w:line="240" w:lineRule="auto"/>
        <w:jc w:val="both"/>
        <w:rPr>
          <w:rFonts w:cstheme="minorHAnsi"/>
          <w:color w:val="1C1A15"/>
          <w:lang w:val="nl-BE"/>
        </w:rPr>
      </w:pPr>
    </w:p>
    <w:p w14:paraId="58D0BBD8" w14:textId="73303586" w:rsidR="008D02AA" w:rsidRPr="001E069C" w:rsidRDefault="008D02AA" w:rsidP="001E069C">
      <w:pPr>
        <w:pStyle w:val="Lijstalinea"/>
        <w:spacing w:after="0"/>
        <w:ind w:left="1080"/>
        <w:jc w:val="both"/>
        <w:rPr>
          <w:rFonts w:cstheme="minorHAnsi"/>
          <w:b/>
          <w:color w:val="1C1A15"/>
          <w:sz w:val="24"/>
          <w:szCs w:val="24"/>
          <w:u w:val="single"/>
          <w:lang w:val="nl-BE"/>
        </w:rPr>
      </w:pPr>
    </w:p>
    <w:p w14:paraId="14A87759" w14:textId="77777777" w:rsidR="00234F6C" w:rsidRPr="001E069C" w:rsidRDefault="00234F6C">
      <w:pPr>
        <w:rPr>
          <w:rFonts w:eastAsiaTheme="majorEastAsia" w:cstheme="minorHAnsi"/>
          <w:color w:val="2F5496" w:themeColor="accent1" w:themeShade="BF"/>
          <w:sz w:val="26"/>
          <w:szCs w:val="26"/>
          <w:lang w:val="nl-BE"/>
        </w:rPr>
      </w:pPr>
      <w:r>
        <w:rPr>
          <w:lang w:val="nl-BE"/>
        </w:rPr>
        <w:br w:type="page"/>
      </w:r>
    </w:p>
    <w:p w14:paraId="71ADAC0B" w14:textId="05F57AAC" w:rsidR="00E82E7E" w:rsidRPr="00802946" w:rsidRDefault="00E82E7E" w:rsidP="001E069C">
      <w:pPr>
        <w:pStyle w:val="Kop2"/>
        <w:numPr>
          <w:ilvl w:val="1"/>
          <w:numId w:val="35"/>
        </w:numPr>
        <w:rPr>
          <w:rFonts w:cstheme="minorHAnsi"/>
          <w:lang w:val="nl-BE"/>
        </w:rPr>
      </w:pPr>
      <w:bookmarkStart w:id="49" w:name="_Toc160465631"/>
      <w:r w:rsidRPr="001E069C">
        <w:rPr>
          <w:rFonts w:asciiTheme="minorHAnsi" w:hAnsiTheme="minorHAnsi" w:cstheme="minorHAnsi"/>
          <w:lang w:val="nl-BE"/>
        </w:rPr>
        <w:lastRenderedPageBreak/>
        <w:t>Voorbeelden</w:t>
      </w:r>
      <w:bookmarkEnd w:id="49"/>
    </w:p>
    <w:p w14:paraId="58684A62" w14:textId="0E55118D" w:rsidR="0028049A" w:rsidRPr="001E069C" w:rsidRDefault="0028049A" w:rsidP="005364F7">
      <w:pPr>
        <w:pStyle w:val="Lijstalinea"/>
        <w:spacing w:after="0"/>
        <w:ind w:left="1440"/>
        <w:jc w:val="both"/>
        <w:rPr>
          <w:rFonts w:cstheme="minorHAnsi"/>
          <w:color w:val="1C1A15"/>
          <w:lang w:val="nl-BE"/>
        </w:rPr>
      </w:pPr>
    </w:p>
    <w:p w14:paraId="77D0784D" w14:textId="3BAE5E81" w:rsidR="00E82E7E" w:rsidRPr="001E069C" w:rsidRDefault="00E82E7E" w:rsidP="005364F7">
      <w:pPr>
        <w:jc w:val="both"/>
        <w:rPr>
          <w:rFonts w:cstheme="minorHAnsi"/>
          <w:lang w:val="nl-BE"/>
        </w:rPr>
      </w:pPr>
      <w:r w:rsidRPr="001E069C">
        <w:rPr>
          <w:rFonts w:cstheme="minorHAnsi"/>
          <w:color w:val="1C1A15"/>
          <w:lang w:val="nl-BE"/>
        </w:rPr>
        <w:t xml:space="preserve">Om bovenstaande concreet toe te passen, wordt aangeraden om de </w:t>
      </w:r>
      <w:r w:rsidR="00D16F4C" w:rsidRPr="001E069C">
        <w:rPr>
          <w:rFonts w:cstheme="minorHAnsi"/>
          <w:color w:val="1C1A15"/>
          <w:lang w:val="nl-BE"/>
        </w:rPr>
        <w:t xml:space="preserve">gevraagde informatie per rubriek uit het MMP </w:t>
      </w:r>
      <w:r w:rsidRPr="001E069C">
        <w:rPr>
          <w:rFonts w:cstheme="minorHAnsi"/>
          <w:color w:val="1C1A15"/>
          <w:lang w:val="nl-BE"/>
        </w:rPr>
        <w:t xml:space="preserve">te verzamelen en te rapporteren </w:t>
      </w:r>
      <w:r w:rsidR="00D16F4C" w:rsidRPr="001E069C">
        <w:rPr>
          <w:rFonts w:cstheme="minorHAnsi"/>
          <w:color w:val="1C1A15"/>
          <w:lang w:val="nl-BE"/>
        </w:rPr>
        <w:t xml:space="preserve">in </w:t>
      </w:r>
      <w:r w:rsidR="00D16F4C" w:rsidRPr="001E069C">
        <w:rPr>
          <w:rFonts w:cstheme="minorHAnsi"/>
          <w:lang w:val="nl-BE"/>
        </w:rPr>
        <w:t>Excel-tabellen</w:t>
      </w:r>
      <w:r w:rsidRPr="001E069C">
        <w:rPr>
          <w:rFonts w:cstheme="minorHAnsi"/>
          <w:lang w:val="nl-BE"/>
        </w:rPr>
        <w:t xml:space="preserve">. Hieronder wordt aan de hand van een aantal voorbeelden toegelicht hoe dit kan gebeuren. </w:t>
      </w:r>
      <w:r w:rsidRPr="001E069C">
        <w:rPr>
          <w:rFonts w:cstheme="minorHAnsi"/>
          <w:color w:val="1C1A15"/>
          <w:lang w:val="nl-BE"/>
        </w:rPr>
        <w:t xml:space="preserve">Deze voorbeelden zijn geen verplicht sjabloon, maar kunnen </w:t>
      </w:r>
      <w:r w:rsidR="00052C10" w:rsidRPr="001E069C">
        <w:rPr>
          <w:rFonts w:cstheme="minorHAnsi"/>
          <w:color w:val="1C1A15"/>
          <w:lang w:val="nl-BE"/>
        </w:rPr>
        <w:t xml:space="preserve">dienen </w:t>
      </w:r>
      <w:r w:rsidRPr="001E069C">
        <w:rPr>
          <w:rFonts w:cstheme="minorHAnsi"/>
          <w:color w:val="1C1A15"/>
          <w:lang w:val="nl-BE"/>
        </w:rPr>
        <w:t>als hulpmiddel voor exploitanten.</w:t>
      </w:r>
      <w:r w:rsidRPr="001E069C">
        <w:rPr>
          <w:rFonts w:cstheme="minorHAnsi"/>
          <w:lang w:val="nl-BE"/>
        </w:rPr>
        <w:t xml:space="preserve"> Het gaat hier voor alle duidelijkheid </w:t>
      </w:r>
      <w:r w:rsidR="00052C10" w:rsidRPr="001E069C">
        <w:rPr>
          <w:rFonts w:cstheme="minorHAnsi"/>
          <w:lang w:val="nl-BE"/>
        </w:rPr>
        <w:t xml:space="preserve">telkens </w:t>
      </w:r>
      <w:r w:rsidRPr="001E069C">
        <w:rPr>
          <w:rFonts w:cstheme="minorHAnsi"/>
          <w:lang w:val="nl-BE"/>
        </w:rPr>
        <w:t>over een voorbeeld, waarvan het stramien best overgenomen wordt, maar niet de inhoud als dusdanig.</w:t>
      </w:r>
    </w:p>
    <w:p w14:paraId="3229FF9D" w14:textId="741E0DAF" w:rsidR="00D16F4C" w:rsidRPr="001E069C" w:rsidRDefault="00D16F4C" w:rsidP="005364F7">
      <w:pPr>
        <w:autoSpaceDE w:val="0"/>
        <w:autoSpaceDN w:val="0"/>
        <w:adjustRightInd w:val="0"/>
        <w:spacing w:after="0" w:line="240" w:lineRule="auto"/>
        <w:jc w:val="both"/>
        <w:rPr>
          <w:rFonts w:cstheme="minorHAnsi"/>
          <w:color w:val="1C1A15"/>
          <w:lang w:val="nl-BE"/>
        </w:rPr>
      </w:pPr>
    </w:p>
    <w:p w14:paraId="103FF26B" w14:textId="35EFF76F" w:rsidR="00D16F4C" w:rsidRPr="001E069C" w:rsidRDefault="00D16F4C" w:rsidP="005364F7">
      <w:pPr>
        <w:jc w:val="both"/>
        <w:rPr>
          <w:rFonts w:cstheme="minorHAnsi"/>
          <w:lang w:val="nl-BE"/>
        </w:rPr>
      </w:pPr>
      <w:r w:rsidRPr="001E069C">
        <w:rPr>
          <w:rFonts w:cstheme="minorHAnsi"/>
          <w:lang w:val="nl-BE"/>
        </w:rPr>
        <w:t>VOORBEELDEN IN BIJLAGEN</w:t>
      </w:r>
    </w:p>
    <w:p w14:paraId="0043B82F" w14:textId="3BCFF709" w:rsidR="00D16F4C" w:rsidRPr="001E069C" w:rsidRDefault="00D16F4C" w:rsidP="005364F7">
      <w:pPr>
        <w:pStyle w:val="Lijstalinea"/>
        <w:numPr>
          <w:ilvl w:val="0"/>
          <w:numId w:val="22"/>
        </w:numPr>
        <w:jc w:val="both"/>
        <w:rPr>
          <w:rFonts w:cstheme="minorHAnsi"/>
          <w:lang w:val="nl-BE"/>
        </w:rPr>
      </w:pPr>
      <w:r w:rsidRPr="001E069C">
        <w:rPr>
          <w:rFonts w:cstheme="minorHAnsi"/>
          <w:lang w:val="nl-BE"/>
        </w:rPr>
        <w:t xml:space="preserve">In bijlage 2 vindt men een numeriek voorbeeld van een installatie met meerdere debietmetingen: de tabel in bijlage 2 vertrekt van bijlage 1 en vult deze verder aan. </w:t>
      </w:r>
      <w:r w:rsidR="00052C10" w:rsidRPr="001E069C">
        <w:rPr>
          <w:rFonts w:cstheme="minorHAnsi"/>
          <w:lang w:val="nl-BE"/>
        </w:rPr>
        <w:t xml:space="preserve">Deze bijlage </w:t>
      </w:r>
      <w:r w:rsidRPr="001E069C">
        <w:rPr>
          <w:rFonts w:cstheme="minorHAnsi"/>
          <w:lang w:val="nl-BE"/>
        </w:rPr>
        <w:t>bevat uitgewerkte voorbeelden voor de meeste rubrieken in de tabbladen E, F en G van het MMP</w:t>
      </w:r>
    </w:p>
    <w:bookmarkStart w:id="50" w:name="_MON_1770644296"/>
    <w:bookmarkEnd w:id="50"/>
    <w:p w14:paraId="40FD9739" w14:textId="040763A1" w:rsidR="00D16F4C" w:rsidRPr="001E069C" w:rsidRDefault="001528B1" w:rsidP="00143C1A">
      <w:pPr>
        <w:jc w:val="both"/>
        <w:rPr>
          <w:lang w:val="nl-BE"/>
        </w:rPr>
      </w:pPr>
      <w:r w:rsidRPr="001528B1">
        <w:rPr>
          <w:rFonts w:cstheme="minorHAnsi"/>
          <w:lang w:val="nl-BE"/>
        </w:rPr>
        <w:object w:dxaOrig="1376" w:dyaOrig="893" w14:anchorId="48FA2E96">
          <v:shape id="_x0000_i1026" type="#_x0000_t75" style="width:69pt;height:45pt" o:ole="">
            <v:imagedata r:id="rId22" o:title=""/>
          </v:shape>
          <o:OLEObject Type="Embed" ProgID="Excel.Sheet.12" ShapeID="_x0000_i1026" DrawAspect="Icon" ObjectID="_1771078757" r:id="rId23"/>
        </w:object>
      </w:r>
    </w:p>
    <w:p w14:paraId="5B9F4FBB" w14:textId="37E19724" w:rsidR="00D16F4C" w:rsidRPr="001E069C" w:rsidRDefault="00D16F4C" w:rsidP="005364F7">
      <w:pPr>
        <w:pStyle w:val="Lijstalinea"/>
        <w:numPr>
          <w:ilvl w:val="0"/>
          <w:numId w:val="22"/>
        </w:numPr>
        <w:spacing w:after="0"/>
        <w:jc w:val="both"/>
        <w:rPr>
          <w:rFonts w:cstheme="minorHAnsi"/>
          <w:lang w:val="nl-BE"/>
        </w:rPr>
      </w:pPr>
      <w:r w:rsidRPr="001E069C">
        <w:rPr>
          <w:rFonts w:cstheme="minorHAnsi"/>
          <w:lang w:val="nl-BE"/>
        </w:rPr>
        <w:t xml:space="preserve">In bijlage 3 vindt men een uitgewerkt voorbeeld voor exploitanten die de warmtebenchmark </w:t>
      </w:r>
      <w:proofErr w:type="spellStart"/>
      <w:r w:rsidR="005E6A36">
        <w:rPr>
          <w:rFonts w:cstheme="minorHAnsi"/>
          <w:lang w:val="nl-BE"/>
        </w:rPr>
        <w:t>subinstallatie</w:t>
      </w:r>
      <w:proofErr w:type="spellEnd"/>
      <w:r w:rsidRPr="001E069C">
        <w:rPr>
          <w:rFonts w:cstheme="minorHAnsi"/>
          <w:lang w:val="nl-BE"/>
        </w:rPr>
        <w:t xml:space="preserve"> berekenen </w:t>
      </w:r>
      <w:proofErr w:type="spellStart"/>
      <w:r w:rsidRPr="001E069C">
        <w:rPr>
          <w:rFonts w:cstheme="minorHAnsi"/>
          <w:lang w:val="nl-BE"/>
        </w:rPr>
        <w:t>a.h.v</w:t>
      </w:r>
      <w:proofErr w:type="spellEnd"/>
      <w:r w:rsidRPr="001E069C">
        <w:rPr>
          <w:rFonts w:cstheme="minorHAnsi"/>
          <w:lang w:val="nl-BE"/>
        </w:rPr>
        <w:t xml:space="preserve">. paragraaf 6.12 uit </w:t>
      </w:r>
      <w:proofErr w:type="spellStart"/>
      <w:r w:rsidRPr="001E069C">
        <w:rPr>
          <w:rFonts w:cstheme="minorHAnsi"/>
          <w:lang w:val="nl-BE"/>
        </w:rPr>
        <w:t>guidance</w:t>
      </w:r>
      <w:proofErr w:type="spellEnd"/>
      <w:r w:rsidRPr="001E069C">
        <w:rPr>
          <w:rFonts w:cstheme="minorHAnsi"/>
          <w:lang w:val="nl-BE"/>
        </w:rPr>
        <w:t xml:space="preserve"> 5. </w:t>
      </w:r>
    </w:p>
    <w:p w14:paraId="09C2A1FD" w14:textId="22CD5066" w:rsidR="00D16F4C" w:rsidRPr="001E069C" w:rsidRDefault="005970F3" w:rsidP="005364F7">
      <w:pPr>
        <w:spacing w:after="0"/>
        <w:jc w:val="both"/>
        <w:rPr>
          <w:lang w:val="nl-BE"/>
        </w:rPr>
      </w:pPr>
      <w:r w:rsidRPr="00CE105C">
        <w:rPr>
          <w:rFonts w:cstheme="minorHAnsi"/>
          <w:lang w:val="nl-BE"/>
        </w:rPr>
        <w:object w:dxaOrig="1376" w:dyaOrig="893" w14:anchorId="71569F7F">
          <v:shape id="_x0000_i1027" type="#_x0000_t75" style="width:69pt;height:45pt" o:ole="">
            <v:imagedata r:id="rId24" o:title=""/>
          </v:shape>
          <o:OLEObject Type="Embed" ProgID="Excel.Sheet.12" ShapeID="_x0000_i1027" DrawAspect="Icon" ObjectID="_1771078758" r:id="rId25"/>
        </w:object>
      </w:r>
    </w:p>
    <w:p w14:paraId="39921646" w14:textId="77777777" w:rsidR="00143C1A" w:rsidRPr="001E069C" w:rsidRDefault="00143C1A" w:rsidP="005364F7">
      <w:pPr>
        <w:spacing w:after="0"/>
        <w:jc w:val="both"/>
        <w:rPr>
          <w:rFonts w:cstheme="minorHAnsi"/>
          <w:lang w:val="nl-BE"/>
        </w:rPr>
      </w:pPr>
    </w:p>
    <w:p w14:paraId="0ACD0D5A" w14:textId="51F440E7" w:rsidR="00D16F4C" w:rsidRPr="001E069C" w:rsidRDefault="00D16F4C" w:rsidP="005364F7">
      <w:pPr>
        <w:pStyle w:val="Lijstalinea"/>
        <w:numPr>
          <w:ilvl w:val="0"/>
          <w:numId w:val="22"/>
        </w:numPr>
        <w:spacing w:after="0"/>
        <w:jc w:val="both"/>
        <w:rPr>
          <w:rFonts w:cstheme="minorHAnsi"/>
          <w:lang w:val="nl-BE"/>
        </w:rPr>
      </w:pPr>
      <w:r w:rsidRPr="001E069C">
        <w:rPr>
          <w:rFonts w:cstheme="minorHAnsi"/>
          <w:lang w:val="nl-BE"/>
        </w:rPr>
        <w:t xml:space="preserve">Bijlage 4 bevat extra toelichting en een uitgewerkt voorbeeld voor minder complexe bedrijven. Het bestaat uit een lagedrukstoomketel die via aardgasverbranding stoom genereert. </w:t>
      </w:r>
    </w:p>
    <w:bookmarkStart w:id="51" w:name="_MON_1633261278"/>
    <w:bookmarkEnd w:id="51"/>
    <w:p w14:paraId="5CCB64D4" w14:textId="3D056675" w:rsidR="002D412D" w:rsidRPr="001E069C" w:rsidRDefault="001F4733" w:rsidP="00143C1A">
      <w:pPr>
        <w:spacing w:after="0"/>
        <w:jc w:val="both"/>
        <w:rPr>
          <w:color w:val="1C1A15"/>
          <w:lang w:val="nl-BE"/>
        </w:rPr>
      </w:pPr>
      <w:r w:rsidRPr="00CE105C">
        <w:rPr>
          <w:rFonts w:cstheme="minorHAnsi"/>
          <w:lang w:val="nl-BE"/>
        </w:rPr>
        <w:object w:dxaOrig="1376" w:dyaOrig="893" w14:anchorId="5BD51100">
          <v:shape id="_x0000_i1028" type="#_x0000_t75" style="width:69pt;height:45pt" o:ole="">
            <v:imagedata r:id="rId26" o:title=""/>
          </v:shape>
          <o:OLEObject Type="Embed" ProgID="Word.Document.12" ShapeID="_x0000_i1028" DrawAspect="Icon" ObjectID="_1771078759" r:id="rId27">
            <o:FieldCodes>\s</o:FieldCodes>
          </o:OLEObject>
        </w:object>
      </w:r>
    </w:p>
    <w:p w14:paraId="19F13C7E" w14:textId="77777777" w:rsidR="002D412D" w:rsidRPr="001E069C" w:rsidRDefault="002D412D" w:rsidP="005364F7">
      <w:pPr>
        <w:pStyle w:val="Lijstalinea"/>
        <w:numPr>
          <w:ilvl w:val="0"/>
          <w:numId w:val="23"/>
        </w:numPr>
        <w:ind w:left="426" w:hanging="426"/>
        <w:jc w:val="both"/>
        <w:rPr>
          <w:rFonts w:cstheme="minorHAnsi"/>
          <w:b/>
          <w:sz w:val="32"/>
          <w:szCs w:val="32"/>
          <w:u w:val="single"/>
          <w:lang w:val="nl-BE"/>
        </w:rPr>
        <w:sectPr w:rsidR="002D412D" w:rsidRPr="001E069C" w:rsidSect="00E35D11">
          <w:footerReference w:type="default" r:id="rId28"/>
          <w:pgSz w:w="11906" w:h="16838"/>
          <w:pgMar w:top="1440" w:right="1440" w:bottom="1440" w:left="1440" w:header="708" w:footer="708" w:gutter="0"/>
          <w:cols w:space="708"/>
          <w:docGrid w:linePitch="360"/>
        </w:sectPr>
      </w:pPr>
    </w:p>
    <w:p w14:paraId="20091991" w14:textId="74C98811" w:rsidR="002D412D" w:rsidRPr="00802946" w:rsidRDefault="002D412D" w:rsidP="001E069C">
      <w:pPr>
        <w:pStyle w:val="Kop1"/>
        <w:numPr>
          <w:ilvl w:val="0"/>
          <w:numId w:val="35"/>
        </w:numPr>
        <w:rPr>
          <w:rFonts w:cstheme="minorHAnsi"/>
          <w:lang w:val="nl-BE"/>
        </w:rPr>
      </w:pPr>
      <w:bookmarkStart w:id="52" w:name="_Toc160465632"/>
      <w:r w:rsidRPr="001E069C">
        <w:rPr>
          <w:rFonts w:asciiTheme="minorHAnsi" w:hAnsiTheme="minorHAnsi" w:cstheme="minorHAnsi"/>
          <w:lang w:val="nl-BE"/>
        </w:rPr>
        <w:lastRenderedPageBreak/>
        <w:t>Checklist</w:t>
      </w:r>
      <w:bookmarkEnd w:id="52"/>
    </w:p>
    <w:p w14:paraId="2B806FA4" w14:textId="77777777" w:rsidR="002D412D" w:rsidRPr="001E069C" w:rsidRDefault="002D412D" w:rsidP="005364F7">
      <w:pPr>
        <w:autoSpaceDE w:val="0"/>
        <w:autoSpaceDN w:val="0"/>
        <w:adjustRightInd w:val="0"/>
        <w:spacing w:after="0" w:line="240" w:lineRule="auto"/>
        <w:jc w:val="both"/>
        <w:rPr>
          <w:rFonts w:cstheme="minorHAnsi"/>
          <w:color w:val="1C1A15"/>
          <w:lang w:val="nl-BE"/>
        </w:rPr>
      </w:pPr>
    </w:p>
    <w:tbl>
      <w:tblPr>
        <w:tblStyle w:val="Tabelraster"/>
        <w:tblW w:w="0" w:type="auto"/>
        <w:tblLook w:val="04A0" w:firstRow="1" w:lastRow="0" w:firstColumn="1" w:lastColumn="0" w:noHBand="0" w:noVBand="1"/>
      </w:tblPr>
      <w:tblGrid>
        <w:gridCol w:w="6941"/>
        <w:gridCol w:w="4111"/>
        <w:gridCol w:w="2896"/>
      </w:tblGrid>
      <w:tr w:rsidR="002D412D" w:rsidRPr="005364F7" w14:paraId="4A2F38BA" w14:textId="77777777" w:rsidTr="00F4534E">
        <w:tc>
          <w:tcPr>
            <w:tcW w:w="6941" w:type="dxa"/>
          </w:tcPr>
          <w:p w14:paraId="22ECE8AB" w14:textId="7B85C770" w:rsidR="002D412D" w:rsidRPr="001E069C" w:rsidRDefault="002D412D" w:rsidP="005364F7">
            <w:pPr>
              <w:autoSpaceDE w:val="0"/>
              <w:autoSpaceDN w:val="0"/>
              <w:adjustRightInd w:val="0"/>
              <w:jc w:val="both"/>
              <w:rPr>
                <w:rFonts w:cstheme="minorHAnsi"/>
                <w:b/>
                <w:color w:val="1C1A15"/>
                <w:lang w:val="nl-BE"/>
              </w:rPr>
            </w:pPr>
            <w:r w:rsidRPr="001E069C">
              <w:rPr>
                <w:rFonts w:cstheme="minorHAnsi"/>
                <w:b/>
                <w:color w:val="1C1A15"/>
                <w:lang w:val="nl-BE"/>
              </w:rPr>
              <w:t>Vereiste actie</w:t>
            </w:r>
          </w:p>
        </w:tc>
        <w:tc>
          <w:tcPr>
            <w:tcW w:w="4111" w:type="dxa"/>
          </w:tcPr>
          <w:p w14:paraId="75A6AF13" w14:textId="36D743E8" w:rsidR="002D412D" w:rsidRPr="001E069C" w:rsidRDefault="002D412D" w:rsidP="005364F7">
            <w:pPr>
              <w:autoSpaceDE w:val="0"/>
              <w:autoSpaceDN w:val="0"/>
              <w:adjustRightInd w:val="0"/>
              <w:jc w:val="both"/>
              <w:rPr>
                <w:rFonts w:cstheme="minorHAnsi"/>
                <w:b/>
                <w:color w:val="1C1A15"/>
                <w:lang w:val="nl-BE"/>
              </w:rPr>
            </w:pPr>
            <w:r w:rsidRPr="001E069C">
              <w:rPr>
                <w:rFonts w:cstheme="minorHAnsi"/>
                <w:b/>
                <w:color w:val="1C1A15"/>
                <w:lang w:val="nl-BE"/>
              </w:rPr>
              <w:t>Relevante sectie</w:t>
            </w:r>
          </w:p>
        </w:tc>
        <w:tc>
          <w:tcPr>
            <w:tcW w:w="2896" w:type="dxa"/>
          </w:tcPr>
          <w:p w14:paraId="16976CA2" w14:textId="2F7C2FCA" w:rsidR="002D412D" w:rsidRPr="001E069C" w:rsidRDefault="002D412D" w:rsidP="005364F7">
            <w:pPr>
              <w:autoSpaceDE w:val="0"/>
              <w:autoSpaceDN w:val="0"/>
              <w:adjustRightInd w:val="0"/>
              <w:jc w:val="both"/>
              <w:rPr>
                <w:rFonts w:cstheme="minorHAnsi"/>
                <w:b/>
                <w:color w:val="1C1A15"/>
                <w:lang w:val="nl-BE"/>
              </w:rPr>
            </w:pPr>
            <w:r w:rsidRPr="001E069C">
              <w:rPr>
                <w:rFonts w:cstheme="minorHAnsi"/>
                <w:b/>
                <w:color w:val="1C1A15"/>
                <w:lang w:val="nl-BE"/>
              </w:rPr>
              <w:t>Uitgevoerd</w:t>
            </w:r>
          </w:p>
        </w:tc>
      </w:tr>
      <w:tr w:rsidR="00A80729" w:rsidRPr="005364F7" w14:paraId="12B890A5" w14:textId="77777777" w:rsidTr="00F4534E">
        <w:tc>
          <w:tcPr>
            <w:tcW w:w="6941" w:type="dxa"/>
          </w:tcPr>
          <w:p w14:paraId="67238C16" w14:textId="23C19D8F" w:rsidR="00A80729" w:rsidRPr="00A80729" w:rsidRDefault="00A80729" w:rsidP="005364F7">
            <w:pPr>
              <w:autoSpaceDE w:val="0"/>
              <w:autoSpaceDN w:val="0"/>
              <w:adjustRightInd w:val="0"/>
              <w:jc w:val="both"/>
              <w:rPr>
                <w:rFonts w:cstheme="minorHAnsi"/>
                <w:color w:val="1C1A15"/>
                <w:lang w:val="nl-BE"/>
              </w:rPr>
            </w:pPr>
            <w:r>
              <w:rPr>
                <w:rFonts w:cstheme="minorHAnsi"/>
                <w:color w:val="1C1A15"/>
                <w:lang w:val="nl-BE"/>
              </w:rPr>
              <w:t xml:space="preserve">Zijn er grote wijzigingen </w:t>
            </w:r>
            <w:proofErr w:type="spellStart"/>
            <w:r>
              <w:rPr>
                <w:rFonts w:cstheme="minorHAnsi"/>
                <w:color w:val="1C1A15"/>
                <w:lang w:val="nl-BE"/>
              </w:rPr>
              <w:t>tov</w:t>
            </w:r>
            <w:proofErr w:type="spellEnd"/>
            <w:r>
              <w:rPr>
                <w:rFonts w:cstheme="minorHAnsi"/>
                <w:color w:val="1C1A15"/>
                <w:lang w:val="nl-BE"/>
              </w:rPr>
              <w:t xml:space="preserve"> het MMP21-25?</w:t>
            </w:r>
          </w:p>
        </w:tc>
        <w:tc>
          <w:tcPr>
            <w:tcW w:w="4111" w:type="dxa"/>
          </w:tcPr>
          <w:p w14:paraId="59C21CE1" w14:textId="18F1273C" w:rsidR="00A80729" w:rsidRPr="00A80729" w:rsidRDefault="00A80729" w:rsidP="005364F7">
            <w:pPr>
              <w:autoSpaceDE w:val="0"/>
              <w:autoSpaceDN w:val="0"/>
              <w:adjustRightInd w:val="0"/>
              <w:jc w:val="both"/>
              <w:rPr>
                <w:rFonts w:cstheme="minorHAnsi"/>
                <w:color w:val="1C1A15"/>
                <w:lang w:val="nl-BE"/>
              </w:rPr>
            </w:pPr>
            <w:r>
              <w:rPr>
                <w:rFonts w:cstheme="minorHAnsi"/>
                <w:color w:val="1C1A15"/>
                <w:lang w:val="nl-BE"/>
              </w:rPr>
              <w:t>3</w:t>
            </w:r>
          </w:p>
        </w:tc>
        <w:tc>
          <w:tcPr>
            <w:tcW w:w="2896" w:type="dxa"/>
          </w:tcPr>
          <w:p w14:paraId="06DACB5E" w14:textId="77777777" w:rsidR="00A80729" w:rsidRPr="00A80729" w:rsidRDefault="00A80729" w:rsidP="005364F7">
            <w:pPr>
              <w:autoSpaceDE w:val="0"/>
              <w:autoSpaceDN w:val="0"/>
              <w:adjustRightInd w:val="0"/>
              <w:jc w:val="both"/>
              <w:rPr>
                <w:rFonts w:cstheme="minorHAnsi"/>
                <w:color w:val="1C1A15"/>
                <w:lang w:val="nl-BE"/>
              </w:rPr>
            </w:pPr>
          </w:p>
        </w:tc>
      </w:tr>
      <w:tr w:rsidR="002D412D" w:rsidRPr="005364F7" w14:paraId="58566115" w14:textId="77777777" w:rsidTr="00F4534E">
        <w:tc>
          <w:tcPr>
            <w:tcW w:w="6941" w:type="dxa"/>
          </w:tcPr>
          <w:p w14:paraId="7F4A57E4" w14:textId="0475ADF6"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Wordt voor elke dataset de meest nauwkeurige methodiek (</w:t>
            </w:r>
            <w:proofErr w:type="spellStart"/>
            <w:r w:rsidRPr="001E069C">
              <w:rPr>
                <w:rFonts w:cstheme="minorHAnsi"/>
                <w:color w:val="1C1A15"/>
                <w:lang w:val="nl-BE"/>
              </w:rPr>
              <w:t>o.b.v</w:t>
            </w:r>
            <w:proofErr w:type="spellEnd"/>
            <w:r w:rsidRPr="001E069C">
              <w:rPr>
                <w:rFonts w:cstheme="minorHAnsi"/>
                <w:color w:val="1C1A15"/>
                <w:lang w:val="nl-BE"/>
              </w:rPr>
              <w:t xml:space="preserve"> hiërarchie in de </w:t>
            </w:r>
            <w:r w:rsidR="00764698">
              <w:rPr>
                <w:rFonts w:cstheme="minorHAnsi"/>
                <w:color w:val="1C1A15"/>
                <w:lang w:val="nl-BE"/>
              </w:rPr>
              <w:t xml:space="preserve">herziene </w:t>
            </w:r>
            <w:r w:rsidRPr="001E069C">
              <w:rPr>
                <w:rFonts w:cstheme="minorHAnsi"/>
                <w:color w:val="1C1A15"/>
                <w:lang w:val="nl-BE"/>
              </w:rPr>
              <w:t xml:space="preserve">FAR) gebruikt. Voor elke dataset waar dit niet het geval is </w:t>
            </w:r>
            <w:r w:rsidR="001F4733" w:rsidRPr="001E069C">
              <w:rPr>
                <w:rFonts w:cstheme="minorHAnsi"/>
                <w:color w:val="1C1A15"/>
                <w:lang w:val="nl-BE"/>
              </w:rPr>
              <w:t xml:space="preserve">dient men </w:t>
            </w:r>
            <w:r w:rsidRPr="001E069C">
              <w:rPr>
                <w:rFonts w:cstheme="minorHAnsi"/>
                <w:color w:val="1C1A15"/>
                <w:lang w:val="nl-BE"/>
              </w:rPr>
              <w:t xml:space="preserve">één van onderstaande acties </w:t>
            </w:r>
            <w:r w:rsidR="001F4733" w:rsidRPr="001E069C">
              <w:rPr>
                <w:rFonts w:cstheme="minorHAnsi"/>
                <w:color w:val="1C1A15"/>
                <w:lang w:val="nl-BE"/>
              </w:rPr>
              <w:t xml:space="preserve">te </w:t>
            </w:r>
            <w:r w:rsidRPr="001E069C">
              <w:rPr>
                <w:rFonts w:cstheme="minorHAnsi"/>
                <w:color w:val="1C1A15"/>
                <w:lang w:val="nl-BE"/>
              </w:rPr>
              <w:t>ondernemen:</w:t>
            </w:r>
          </w:p>
          <w:p w14:paraId="7CEF1D1F" w14:textId="4EA4C924" w:rsidR="002D412D" w:rsidRPr="001E069C" w:rsidRDefault="002D412D" w:rsidP="005364F7">
            <w:pPr>
              <w:pStyle w:val="Lijstalinea"/>
              <w:numPr>
                <w:ilvl w:val="0"/>
                <w:numId w:val="29"/>
              </w:numPr>
              <w:autoSpaceDE w:val="0"/>
              <w:autoSpaceDN w:val="0"/>
              <w:adjustRightInd w:val="0"/>
              <w:jc w:val="both"/>
              <w:rPr>
                <w:rFonts w:cstheme="minorHAnsi"/>
                <w:color w:val="1C1A15"/>
                <w:lang w:val="nl-BE"/>
              </w:rPr>
            </w:pPr>
            <w:r w:rsidRPr="001E069C">
              <w:rPr>
                <w:rFonts w:cstheme="minorHAnsi"/>
                <w:color w:val="1C1A15"/>
                <w:lang w:val="nl-BE"/>
              </w:rPr>
              <w:t xml:space="preserve">Uitwerking van corrigerende maatregel zodat in de toekomst de </w:t>
            </w:r>
            <w:r w:rsidR="007E2340" w:rsidRPr="007E2340">
              <w:rPr>
                <w:rFonts w:cstheme="minorHAnsi"/>
                <w:color w:val="1C1A15"/>
                <w:lang w:val="nl-BE"/>
              </w:rPr>
              <w:t>hiërarchie</w:t>
            </w:r>
            <w:r w:rsidRPr="001E069C">
              <w:rPr>
                <w:rFonts w:cstheme="minorHAnsi"/>
                <w:color w:val="1C1A15"/>
                <w:lang w:val="nl-BE"/>
              </w:rPr>
              <w:t xml:space="preserve"> wel wordt gerespecteerd;</w:t>
            </w:r>
          </w:p>
          <w:p w14:paraId="62E43238" w14:textId="77777777" w:rsidR="002D412D" w:rsidRPr="001E069C" w:rsidRDefault="002D412D" w:rsidP="005364F7">
            <w:pPr>
              <w:pStyle w:val="Lijstalinea"/>
              <w:numPr>
                <w:ilvl w:val="0"/>
                <w:numId w:val="29"/>
              </w:numPr>
              <w:autoSpaceDE w:val="0"/>
              <w:autoSpaceDN w:val="0"/>
              <w:adjustRightInd w:val="0"/>
              <w:jc w:val="both"/>
              <w:rPr>
                <w:rFonts w:cstheme="minorHAnsi"/>
                <w:color w:val="1C1A15"/>
                <w:lang w:val="nl-BE"/>
              </w:rPr>
            </w:pPr>
            <w:r w:rsidRPr="001E069C">
              <w:rPr>
                <w:rFonts w:cstheme="minorHAnsi"/>
                <w:color w:val="1C1A15"/>
                <w:lang w:val="nl-BE"/>
              </w:rPr>
              <w:t>Onderbouwing onredelijke kosten/technische onhaalbaarheid</w:t>
            </w:r>
          </w:p>
          <w:p w14:paraId="10A0020D" w14:textId="575297A9" w:rsidR="002D412D" w:rsidRPr="001E069C" w:rsidRDefault="002D412D" w:rsidP="005364F7">
            <w:pPr>
              <w:pStyle w:val="Lijstalinea"/>
              <w:numPr>
                <w:ilvl w:val="0"/>
                <w:numId w:val="29"/>
              </w:numPr>
              <w:autoSpaceDE w:val="0"/>
              <w:autoSpaceDN w:val="0"/>
              <w:adjustRightInd w:val="0"/>
              <w:jc w:val="both"/>
              <w:rPr>
                <w:rFonts w:cstheme="minorHAnsi"/>
                <w:color w:val="1C1A15"/>
                <w:lang w:val="nl-BE"/>
              </w:rPr>
            </w:pPr>
            <w:r w:rsidRPr="001E069C">
              <w:rPr>
                <w:rFonts w:cstheme="minorHAnsi"/>
                <w:color w:val="1C1A15"/>
                <w:lang w:val="nl-BE"/>
              </w:rPr>
              <w:t xml:space="preserve">Onderbouwing equivalente nauwkeurigheid </w:t>
            </w:r>
            <w:proofErr w:type="spellStart"/>
            <w:r w:rsidRPr="001E069C">
              <w:rPr>
                <w:rFonts w:cstheme="minorHAnsi"/>
                <w:color w:val="1C1A15"/>
                <w:lang w:val="nl-BE"/>
              </w:rPr>
              <w:t>a.h.v</w:t>
            </w:r>
            <w:proofErr w:type="spellEnd"/>
            <w:r w:rsidRPr="001E069C">
              <w:rPr>
                <w:rFonts w:cstheme="minorHAnsi"/>
                <w:color w:val="1C1A15"/>
                <w:lang w:val="nl-BE"/>
              </w:rPr>
              <w:t>. vereenvoudigde onzekerheidsbeoordeling</w:t>
            </w:r>
          </w:p>
        </w:tc>
        <w:tc>
          <w:tcPr>
            <w:tcW w:w="4111" w:type="dxa"/>
          </w:tcPr>
          <w:p w14:paraId="657B7554" w14:textId="1C810102"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4.1 – 4.4</w:t>
            </w:r>
          </w:p>
        </w:tc>
        <w:tc>
          <w:tcPr>
            <w:tcW w:w="2896" w:type="dxa"/>
          </w:tcPr>
          <w:p w14:paraId="4C50F1BB" w14:textId="77777777" w:rsidR="002D412D" w:rsidRPr="001E069C" w:rsidRDefault="002D412D" w:rsidP="005364F7">
            <w:pPr>
              <w:autoSpaceDE w:val="0"/>
              <w:autoSpaceDN w:val="0"/>
              <w:adjustRightInd w:val="0"/>
              <w:jc w:val="both"/>
              <w:rPr>
                <w:rFonts w:cstheme="minorHAnsi"/>
                <w:color w:val="1C1A15"/>
                <w:lang w:val="nl-BE"/>
              </w:rPr>
            </w:pPr>
          </w:p>
        </w:tc>
      </w:tr>
      <w:tr w:rsidR="002D412D" w:rsidRPr="005364F7" w14:paraId="4D618E5B" w14:textId="77777777" w:rsidTr="002D412D">
        <w:tc>
          <w:tcPr>
            <w:tcW w:w="6941" w:type="dxa"/>
          </w:tcPr>
          <w:p w14:paraId="2EFB0B15" w14:textId="6FA63F16"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Zijn alle beschreven methodieken voldoende duidelijk en begrijpelijk?</w:t>
            </w:r>
          </w:p>
        </w:tc>
        <w:tc>
          <w:tcPr>
            <w:tcW w:w="4111" w:type="dxa"/>
          </w:tcPr>
          <w:p w14:paraId="6FE4E0DE" w14:textId="0AFE364C"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5.1 en 5.2.3</w:t>
            </w:r>
          </w:p>
        </w:tc>
        <w:tc>
          <w:tcPr>
            <w:tcW w:w="2896" w:type="dxa"/>
          </w:tcPr>
          <w:p w14:paraId="3A93A65A" w14:textId="77777777" w:rsidR="002D412D" w:rsidRPr="001E069C" w:rsidRDefault="002D412D" w:rsidP="005364F7">
            <w:pPr>
              <w:autoSpaceDE w:val="0"/>
              <w:autoSpaceDN w:val="0"/>
              <w:adjustRightInd w:val="0"/>
              <w:jc w:val="both"/>
              <w:rPr>
                <w:rFonts w:cstheme="minorHAnsi"/>
                <w:color w:val="1C1A15"/>
                <w:lang w:val="nl-BE"/>
              </w:rPr>
            </w:pPr>
          </w:p>
        </w:tc>
      </w:tr>
      <w:tr w:rsidR="002D412D" w:rsidRPr="005364F7" w14:paraId="066388C9" w14:textId="77777777" w:rsidTr="00F4534E">
        <w:tc>
          <w:tcPr>
            <w:tcW w:w="6941" w:type="dxa"/>
          </w:tcPr>
          <w:p w14:paraId="04D74DC8" w14:textId="04497F5C"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Is er voor elke rekenformule in het MMP een duidelijk rekenvoorbeeld opgesteld (met zichtbare formules en duidelijke link naar de relevante secties in het MMP/baseline</w:t>
            </w:r>
            <w:r w:rsidR="00214222">
              <w:rPr>
                <w:rFonts w:cstheme="minorHAnsi"/>
                <w:color w:val="1C1A15"/>
                <w:lang w:val="nl-BE"/>
              </w:rPr>
              <w:t xml:space="preserve"> data</w:t>
            </w:r>
            <w:r w:rsidRPr="001E069C">
              <w:rPr>
                <w:rFonts w:cstheme="minorHAnsi"/>
                <w:color w:val="1C1A15"/>
                <w:lang w:val="nl-BE"/>
              </w:rPr>
              <w:t xml:space="preserve"> rapport)?</w:t>
            </w:r>
          </w:p>
        </w:tc>
        <w:tc>
          <w:tcPr>
            <w:tcW w:w="4111" w:type="dxa"/>
          </w:tcPr>
          <w:p w14:paraId="52CF9B64" w14:textId="12C9452B"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5.2.1</w:t>
            </w:r>
          </w:p>
        </w:tc>
        <w:tc>
          <w:tcPr>
            <w:tcW w:w="2896" w:type="dxa"/>
          </w:tcPr>
          <w:p w14:paraId="01892BD7" w14:textId="77777777" w:rsidR="002D412D" w:rsidRPr="001E069C" w:rsidRDefault="002D412D" w:rsidP="005364F7">
            <w:pPr>
              <w:autoSpaceDE w:val="0"/>
              <w:autoSpaceDN w:val="0"/>
              <w:adjustRightInd w:val="0"/>
              <w:jc w:val="both"/>
              <w:rPr>
                <w:rFonts w:cstheme="minorHAnsi"/>
                <w:color w:val="1C1A15"/>
                <w:lang w:val="nl-BE"/>
              </w:rPr>
            </w:pPr>
          </w:p>
        </w:tc>
      </w:tr>
      <w:tr w:rsidR="002D412D" w:rsidRPr="005364F7" w14:paraId="72B9C212" w14:textId="77777777" w:rsidTr="00F4534E">
        <w:tc>
          <w:tcPr>
            <w:tcW w:w="6941" w:type="dxa"/>
          </w:tcPr>
          <w:p w14:paraId="33834AE8" w14:textId="381D1934" w:rsidR="002D412D" w:rsidRPr="001E069C" w:rsidRDefault="00BE34A5" w:rsidP="005364F7">
            <w:pPr>
              <w:autoSpaceDE w:val="0"/>
              <w:autoSpaceDN w:val="0"/>
              <w:adjustRightInd w:val="0"/>
              <w:jc w:val="both"/>
              <w:rPr>
                <w:rFonts w:cstheme="minorHAnsi"/>
                <w:color w:val="1C1A15"/>
                <w:lang w:val="nl-BE"/>
              </w:rPr>
            </w:pPr>
            <w:r w:rsidRPr="001E069C">
              <w:rPr>
                <w:rFonts w:cstheme="minorHAnsi"/>
                <w:color w:val="1C1A15"/>
                <w:lang w:val="nl-BE"/>
              </w:rPr>
              <w:t>Zijn de procedures</w:t>
            </w:r>
            <w:r w:rsidR="002D412D" w:rsidRPr="001E069C">
              <w:rPr>
                <w:rFonts w:cstheme="minorHAnsi"/>
                <w:color w:val="1C1A15"/>
                <w:lang w:val="nl-BE"/>
              </w:rPr>
              <w:t xml:space="preserve"> </w:t>
            </w:r>
            <w:r w:rsidRPr="001E069C">
              <w:rPr>
                <w:rFonts w:cstheme="minorHAnsi"/>
                <w:color w:val="1C1A15"/>
                <w:lang w:val="nl-BE"/>
              </w:rPr>
              <w:t xml:space="preserve">in </w:t>
            </w:r>
            <w:r w:rsidR="002D412D" w:rsidRPr="001E069C">
              <w:rPr>
                <w:rFonts w:cstheme="minorHAnsi"/>
                <w:lang w:val="nl-BE"/>
              </w:rPr>
              <w:t xml:space="preserve">TAB_D </w:t>
            </w:r>
            <w:r w:rsidRPr="001E069C">
              <w:rPr>
                <w:rFonts w:cstheme="minorHAnsi"/>
                <w:lang w:val="nl-BE"/>
              </w:rPr>
              <w:t>voldoende duidelijk en uitgewerkt</w:t>
            </w:r>
            <w:r w:rsidR="002D412D" w:rsidRPr="001E069C">
              <w:rPr>
                <w:rFonts w:cstheme="minorHAnsi"/>
                <w:lang w:val="nl-BE"/>
              </w:rPr>
              <w:t xml:space="preserve">? </w:t>
            </w:r>
          </w:p>
        </w:tc>
        <w:tc>
          <w:tcPr>
            <w:tcW w:w="4111" w:type="dxa"/>
          </w:tcPr>
          <w:p w14:paraId="4EDD7AFB" w14:textId="70FE6CCF" w:rsidR="002D412D" w:rsidRPr="001E069C" w:rsidRDefault="002D412D" w:rsidP="005364F7">
            <w:pPr>
              <w:autoSpaceDE w:val="0"/>
              <w:autoSpaceDN w:val="0"/>
              <w:adjustRightInd w:val="0"/>
              <w:jc w:val="both"/>
              <w:rPr>
                <w:rFonts w:cstheme="minorHAnsi"/>
                <w:color w:val="1C1A15"/>
                <w:lang w:val="nl-BE"/>
              </w:rPr>
            </w:pPr>
            <w:r w:rsidRPr="001E069C">
              <w:rPr>
                <w:rFonts w:cstheme="minorHAnsi"/>
                <w:color w:val="1C1A15"/>
                <w:lang w:val="nl-BE"/>
              </w:rPr>
              <w:t>5.2.2</w:t>
            </w:r>
            <w:r w:rsidR="00BE34A5" w:rsidRPr="001E069C">
              <w:rPr>
                <w:rFonts w:cstheme="minorHAnsi"/>
                <w:color w:val="1C1A15"/>
                <w:lang w:val="nl-BE"/>
              </w:rPr>
              <w:t>, 5.2.4 en 5.2.6</w:t>
            </w:r>
          </w:p>
        </w:tc>
        <w:tc>
          <w:tcPr>
            <w:tcW w:w="2896" w:type="dxa"/>
          </w:tcPr>
          <w:p w14:paraId="21C3E1CA" w14:textId="77777777" w:rsidR="002D412D" w:rsidRPr="001E069C" w:rsidRDefault="002D412D" w:rsidP="005364F7">
            <w:pPr>
              <w:autoSpaceDE w:val="0"/>
              <w:autoSpaceDN w:val="0"/>
              <w:adjustRightInd w:val="0"/>
              <w:jc w:val="both"/>
              <w:rPr>
                <w:rFonts w:cstheme="minorHAnsi"/>
                <w:color w:val="1C1A15"/>
                <w:lang w:val="nl-BE"/>
              </w:rPr>
            </w:pPr>
          </w:p>
        </w:tc>
      </w:tr>
      <w:tr w:rsidR="002D412D" w:rsidRPr="005364F7" w14:paraId="724CD657" w14:textId="77777777" w:rsidTr="00F4534E">
        <w:tc>
          <w:tcPr>
            <w:tcW w:w="6941" w:type="dxa"/>
          </w:tcPr>
          <w:p w14:paraId="5B571583" w14:textId="22C55800" w:rsidR="002D412D" w:rsidRPr="001E069C" w:rsidRDefault="00517CA6" w:rsidP="005364F7">
            <w:pPr>
              <w:autoSpaceDE w:val="0"/>
              <w:autoSpaceDN w:val="0"/>
              <w:adjustRightInd w:val="0"/>
              <w:jc w:val="both"/>
              <w:rPr>
                <w:rFonts w:cstheme="minorHAnsi"/>
                <w:color w:val="1C1A15"/>
                <w:lang w:val="nl-BE"/>
              </w:rPr>
            </w:pPr>
            <w:r w:rsidRPr="001E069C">
              <w:rPr>
                <w:rFonts w:cstheme="minorHAnsi"/>
                <w:color w:val="1C1A15"/>
                <w:lang w:val="nl-BE"/>
              </w:rPr>
              <w:t xml:space="preserve">Is de methodiek voor de toewijzing van de emissies per </w:t>
            </w:r>
            <w:proofErr w:type="spellStart"/>
            <w:r w:rsidR="005E6A36">
              <w:rPr>
                <w:rFonts w:cstheme="minorHAnsi"/>
                <w:color w:val="1C1A15"/>
                <w:lang w:val="nl-BE"/>
              </w:rPr>
              <w:t>subinstallatie</w:t>
            </w:r>
            <w:proofErr w:type="spellEnd"/>
            <w:r w:rsidRPr="001E069C">
              <w:rPr>
                <w:rFonts w:cstheme="minorHAnsi"/>
                <w:color w:val="1C1A15"/>
                <w:lang w:val="nl-BE"/>
              </w:rPr>
              <w:t xml:space="preserve"> correct?</w:t>
            </w:r>
          </w:p>
        </w:tc>
        <w:tc>
          <w:tcPr>
            <w:tcW w:w="4111" w:type="dxa"/>
          </w:tcPr>
          <w:p w14:paraId="36E12EDD" w14:textId="6EDD2694" w:rsidR="002D412D" w:rsidRPr="001E069C" w:rsidRDefault="00517CA6" w:rsidP="005364F7">
            <w:pPr>
              <w:autoSpaceDE w:val="0"/>
              <w:autoSpaceDN w:val="0"/>
              <w:adjustRightInd w:val="0"/>
              <w:jc w:val="both"/>
              <w:rPr>
                <w:rFonts w:cstheme="minorHAnsi"/>
                <w:color w:val="1C1A15"/>
                <w:lang w:val="nl-BE"/>
              </w:rPr>
            </w:pPr>
            <w:r w:rsidRPr="001E069C">
              <w:rPr>
                <w:rFonts w:cstheme="minorHAnsi"/>
                <w:color w:val="1C1A15"/>
                <w:lang w:val="nl-BE"/>
              </w:rPr>
              <w:t>5.2.5</w:t>
            </w:r>
          </w:p>
        </w:tc>
        <w:tc>
          <w:tcPr>
            <w:tcW w:w="2896" w:type="dxa"/>
          </w:tcPr>
          <w:p w14:paraId="77CF99D1" w14:textId="77777777" w:rsidR="002D412D" w:rsidRPr="001E069C" w:rsidRDefault="002D412D" w:rsidP="005364F7">
            <w:pPr>
              <w:autoSpaceDE w:val="0"/>
              <w:autoSpaceDN w:val="0"/>
              <w:adjustRightInd w:val="0"/>
              <w:jc w:val="both"/>
              <w:rPr>
                <w:rFonts w:cstheme="minorHAnsi"/>
                <w:color w:val="1C1A15"/>
                <w:lang w:val="nl-BE"/>
              </w:rPr>
            </w:pPr>
          </w:p>
        </w:tc>
      </w:tr>
    </w:tbl>
    <w:p w14:paraId="3DF183FA" w14:textId="56AA6658" w:rsidR="002D412D" w:rsidRPr="001E069C" w:rsidRDefault="002D412D" w:rsidP="00F2332C">
      <w:pPr>
        <w:autoSpaceDE w:val="0"/>
        <w:autoSpaceDN w:val="0"/>
        <w:adjustRightInd w:val="0"/>
        <w:spacing w:after="0" w:line="240" w:lineRule="auto"/>
        <w:jc w:val="both"/>
        <w:rPr>
          <w:rFonts w:cstheme="minorHAnsi"/>
          <w:color w:val="1C1A15"/>
          <w:lang w:val="nl-BE"/>
        </w:rPr>
      </w:pPr>
    </w:p>
    <w:sectPr w:rsidR="002D412D" w:rsidRPr="001E069C" w:rsidSect="00E35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ABDF" w14:textId="77777777" w:rsidR="00E35D11" w:rsidRDefault="00E35D11" w:rsidP="008D1B84">
      <w:pPr>
        <w:spacing w:after="0" w:line="240" w:lineRule="auto"/>
      </w:pPr>
      <w:r>
        <w:separator/>
      </w:r>
    </w:p>
  </w:endnote>
  <w:endnote w:type="continuationSeparator" w:id="0">
    <w:p w14:paraId="322FF55D" w14:textId="77777777" w:rsidR="00E35D11" w:rsidRDefault="00E35D11" w:rsidP="008D1B84">
      <w:pPr>
        <w:spacing w:after="0" w:line="240" w:lineRule="auto"/>
      </w:pPr>
      <w:r>
        <w:continuationSeparator/>
      </w:r>
    </w:p>
  </w:endnote>
  <w:endnote w:type="continuationNotice" w:id="1">
    <w:p w14:paraId="07275A58" w14:textId="77777777" w:rsidR="00E35D11" w:rsidRDefault="00E35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80949"/>
      <w:docPartObj>
        <w:docPartGallery w:val="Page Numbers (Bottom of Page)"/>
        <w:docPartUnique/>
      </w:docPartObj>
    </w:sdtPr>
    <w:sdtEndPr>
      <w:rPr>
        <w:noProof/>
      </w:rPr>
    </w:sdtEndPr>
    <w:sdtContent>
      <w:p w14:paraId="72227785" w14:textId="2D4513E1" w:rsidR="002D412D" w:rsidRDefault="002D412D">
        <w:pPr>
          <w:pStyle w:val="Voettekst"/>
          <w:jc w:val="right"/>
        </w:pPr>
        <w:r>
          <w:fldChar w:fldCharType="begin"/>
        </w:r>
        <w:r>
          <w:instrText xml:space="preserve"> PAGE   \* MERGEFORMAT </w:instrText>
        </w:r>
        <w:r>
          <w:fldChar w:fldCharType="separate"/>
        </w:r>
        <w:r w:rsidR="00E82691">
          <w:rPr>
            <w:noProof/>
          </w:rPr>
          <w:t>8</w:t>
        </w:r>
        <w:r>
          <w:rPr>
            <w:noProof/>
          </w:rPr>
          <w:fldChar w:fldCharType="end"/>
        </w:r>
      </w:p>
    </w:sdtContent>
  </w:sdt>
  <w:p w14:paraId="504EC6C0" w14:textId="77777777" w:rsidR="002D412D" w:rsidRDefault="002D41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8764" w14:textId="77777777" w:rsidR="00E35D11" w:rsidRDefault="00E35D11" w:rsidP="008D1B84">
      <w:pPr>
        <w:spacing w:after="0" w:line="240" w:lineRule="auto"/>
      </w:pPr>
      <w:r>
        <w:separator/>
      </w:r>
    </w:p>
  </w:footnote>
  <w:footnote w:type="continuationSeparator" w:id="0">
    <w:p w14:paraId="7F9A64D1" w14:textId="77777777" w:rsidR="00E35D11" w:rsidRDefault="00E35D11" w:rsidP="008D1B84">
      <w:pPr>
        <w:spacing w:after="0" w:line="240" w:lineRule="auto"/>
      </w:pPr>
      <w:r>
        <w:continuationSeparator/>
      </w:r>
    </w:p>
  </w:footnote>
  <w:footnote w:type="continuationNotice" w:id="1">
    <w:p w14:paraId="54F1427E" w14:textId="77777777" w:rsidR="00E35D11" w:rsidRDefault="00E35D11">
      <w:pPr>
        <w:spacing w:after="0" w:line="240" w:lineRule="auto"/>
      </w:pPr>
    </w:p>
  </w:footnote>
  <w:footnote w:id="2">
    <w:p w14:paraId="564320EA" w14:textId="679EB696" w:rsidR="00C97729" w:rsidRPr="001E069C" w:rsidRDefault="00C97729">
      <w:pPr>
        <w:pStyle w:val="Voetnoottekst"/>
        <w:rPr>
          <w:lang w:val="nl-BE"/>
        </w:rPr>
      </w:pPr>
      <w:r>
        <w:rPr>
          <w:rStyle w:val="Voetnootmarkering"/>
        </w:rPr>
        <w:footnoteRef/>
      </w:r>
      <w:r>
        <w:t xml:space="preserve"> </w:t>
      </w:r>
      <w:r>
        <w:rPr>
          <w:lang w:val="nl-BE"/>
        </w:rPr>
        <w:t xml:space="preserve">Op </w:t>
      </w:r>
      <w:r w:rsidR="00E92609">
        <w:rPr>
          <w:lang w:val="nl-BE"/>
        </w:rPr>
        <w:t>het</w:t>
      </w:r>
      <w:r>
        <w:rPr>
          <w:lang w:val="nl-BE"/>
        </w:rPr>
        <w:t xml:space="preserve"> moment van opmaak van deze toelichting is de herziene versie van de FAR</w:t>
      </w:r>
      <w:r w:rsidR="00E02992">
        <w:rPr>
          <w:lang w:val="nl-BE"/>
        </w:rPr>
        <w:t xml:space="preserve"> nog niet gepubliceerd</w:t>
      </w:r>
      <w:r w:rsidR="00483FF9">
        <w:rPr>
          <w:lang w:val="nl-BE"/>
        </w:rPr>
        <w:t xml:space="preserve"> </w:t>
      </w:r>
      <w:r w:rsidR="00E92609">
        <w:rPr>
          <w:lang w:val="nl-BE"/>
        </w:rPr>
        <w:t xml:space="preserve">in het Publicatieblad van de Europese Unie </w:t>
      </w:r>
      <w:r w:rsidR="00483FF9">
        <w:rPr>
          <w:lang w:val="nl-BE"/>
        </w:rPr>
        <w:t xml:space="preserve">(Gedelegeerde verordening </w:t>
      </w:r>
      <w:r w:rsidR="00483FF9" w:rsidRPr="00483FF9">
        <w:rPr>
          <w:lang w:val="nl-BE"/>
        </w:rPr>
        <w:t>2019/331</w:t>
      </w:r>
      <w:r w:rsidR="00483FF9">
        <w:rPr>
          <w:lang w:val="nl-BE"/>
        </w:rPr>
        <w:t>/EU</w:t>
      </w:r>
      <w:r w:rsidR="00E02992">
        <w:rPr>
          <w:lang w:val="nl-BE"/>
        </w:rPr>
        <w:t xml:space="preserve">). De toelichting werd opgemaakt </w:t>
      </w:r>
      <w:r w:rsidR="00645786">
        <w:rPr>
          <w:lang w:val="nl-BE"/>
        </w:rPr>
        <w:t>op basis</w:t>
      </w:r>
      <w:r w:rsidR="00E02992">
        <w:rPr>
          <w:lang w:val="nl-BE"/>
        </w:rPr>
        <w:t xml:space="preserve"> van </w:t>
      </w:r>
      <w:r w:rsidR="000A324B">
        <w:rPr>
          <w:lang w:val="nl-BE"/>
        </w:rPr>
        <w:t>de versie die</w:t>
      </w:r>
      <w:r w:rsidR="00E02992">
        <w:rPr>
          <w:lang w:val="nl-BE"/>
        </w:rPr>
        <w:t xml:space="preserve"> door de Europese Commissie </w:t>
      </w:r>
      <w:r w:rsidR="000A324B">
        <w:rPr>
          <w:lang w:val="nl-BE"/>
        </w:rPr>
        <w:t>werd goedgekeurd (</w:t>
      </w:r>
      <w:hyperlink r:id="rId1" w:history="1">
        <w:r w:rsidR="000A324B" w:rsidRPr="002447B6">
          <w:rPr>
            <w:rStyle w:val="Hyperlink"/>
            <w:lang w:val="nl-BE"/>
          </w:rPr>
          <w:t>https://ec.europa.eu/info/law/better-regulation/have-your-say/initiatives/13861-EU-emissiehandelssysteem-ETS-update-van-de-regels-voor-kosteloze-toewijzing_nl</w:t>
        </w:r>
      </w:hyperlink>
      <w:r w:rsidR="000A324B">
        <w:rPr>
          <w:lang w:val="nl-BE"/>
        </w:rPr>
        <w:t xml:space="preserve">). </w:t>
      </w:r>
      <w:r w:rsidR="00A05074" w:rsidRPr="00A05074">
        <w:rPr>
          <w:lang w:val="nl-BE"/>
        </w:rPr>
        <w:t xml:space="preserve">De publicatie van de definitieve Europese verordening zal </w:t>
      </w:r>
      <w:r w:rsidR="00A05074">
        <w:rPr>
          <w:lang w:val="nl-BE"/>
        </w:rPr>
        <w:t xml:space="preserve">vermoedelijk </w:t>
      </w:r>
      <w:r w:rsidR="00A05074" w:rsidRPr="00A05074">
        <w:rPr>
          <w:lang w:val="nl-BE"/>
        </w:rPr>
        <w:t>in maart 2024 plaatsvinden</w:t>
      </w:r>
      <w:r w:rsidR="00A05074">
        <w:rPr>
          <w:lang w:val="nl-BE"/>
        </w:rPr>
        <w:t>, waarna de correcte verwijzing zal toegevoegd worden.</w:t>
      </w:r>
    </w:p>
  </w:footnote>
  <w:footnote w:id="3">
    <w:p w14:paraId="575A2FB2" w14:textId="397BF40B" w:rsidR="00304E2F" w:rsidRPr="001E069C" w:rsidRDefault="00304E2F">
      <w:pPr>
        <w:pStyle w:val="Voetnoottekst"/>
        <w:rPr>
          <w:lang w:val="nl-BE"/>
        </w:rPr>
      </w:pPr>
      <w:r>
        <w:rPr>
          <w:rStyle w:val="Voetnootmarkering"/>
        </w:rPr>
        <w:footnoteRef/>
      </w:r>
      <w:r>
        <w:t xml:space="preserve"> </w:t>
      </w:r>
      <w:r>
        <w:rPr>
          <w:lang w:val="nl-BE"/>
        </w:rPr>
        <w:t xml:space="preserve">Verwacht wordt dat dit beschikbaar zal zijn </w:t>
      </w:r>
      <w:r w:rsidR="00D94AF1">
        <w:rPr>
          <w:lang w:val="nl-BE"/>
        </w:rPr>
        <w:t>in de 3</w:t>
      </w:r>
      <w:r w:rsidR="00D94AF1" w:rsidRPr="001E069C">
        <w:rPr>
          <w:vertAlign w:val="superscript"/>
          <w:lang w:val="nl-BE"/>
        </w:rPr>
        <w:t>e</w:t>
      </w:r>
      <w:r w:rsidR="00D94AF1">
        <w:rPr>
          <w:lang w:val="nl-BE"/>
        </w:rPr>
        <w:t xml:space="preserve"> week van maart 2024.</w:t>
      </w:r>
      <w:r>
        <w:rPr>
          <w:lang w:val="nl-BE"/>
        </w:rPr>
        <w:t xml:space="preserve"> </w:t>
      </w:r>
    </w:p>
  </w:footnote>
  <w:footnote w:id="4">
    <w:p w14:paraId="503E03EE" w14:textId="69DC8F1F" w:rsidR="009D17D1" w:rsidRPr="001E069C" w:rsidRDefault="009D17D1">
      <w:pPr>
        <w:pStyle w:val="Voetnoottekst"/>
        <w:rPr>
          <w:lang w:val="nl-BE"/>
        </w:rPr>
      </w:pPr>
      <w:r>
        <w:rPr>
          <w:rStyle w:val="Voetnootmarkering"/>
        </w:rPr>
        <w:footnoteRef/>
      </w:r>
      <w:r>
        <w:t xml:space="preserve"> </w:t>
      </w:r>
      <w:r>
        <w:rPr>
          <w:lang w:val="nl-BE"/>
        </w:rPr>
        <w:t>Bestaande installatie in de toewijzingsperiode 2026-2030: Installatie</w:t>
      </w:r>
      <w:r w:rsidRPr="009D17D1">
        <w:rPr>
          <w:lang w:val="nl-BE"/>
        </w:rPr>
        <w:t xml:space="preserve"> waaraan voor het eerst een </w:t>
      </w:r>
      <w:proofErr w:type="spellStart"/>
      <w:r w:rsidRPr="009D17D1">
        <w:rPr>
          <w:lang w:val="nl-BE"/>
        </w:rPr>
        <w:t>omgevingsvergunning</w:t>
      </w:r>
      <w:proofErr w:type="spellEnd"/>
      <w:r w:rsidRPr="009D17D1">
        <w:rPr>
          <w:lang w:val="nl-BE"/>
        </w:rPr>
        <w:t xml:space="preserve"> is verleend voor de exploitatie van de ingedeelde inrichting of activiteit die betrekking heeft op de broeikasgasemissies van de BKG-installatie in de periode </w:t>
      </w:r>
      <w:r w:rsidR="00614F8C">
        <w:rPr>
          <w:lang w:val="nl-BE"/>
        </w:rPr>
        <w:t>voor</w:t>
      </w:r>
      <w:r w:rsidRPr="009D17D1">
        <w:rPr>
          <w:lang w:val="nl-BE"/>
        </w:rPr>
        <w:t xml:space="preserve"> 1 juli 2024</w:t>
      </w:r>
    </w:p>
  </w:footnote>
  <w:footnote w:id="5">
    <w:p w14:paraId="6370D418" w14:textId="6F1A712E" w:rsidR="00CC76A6" w:rsidRPr="001E069C" w:rsidRDefault="00CC76A6">
      <w:pPr>
        <w:pStyle w:val="Voetnoottekst"/>
        <w:rPr>
          <w:lang w:val="nl-BE"/>
        </w:rPr>
      </w:pPr>
      <w:r>
        <w:rPr>
          <w:rStyle w:val="Voetnootmarkering"/>
        </w:rPr>
        <w:footnoteRef/>
      </w:r>
      <w:r>
        <w:t xml:space="preserve"> </w:t>
      </w:r>
      <w:r w:rsidR="003D6E2D">
        <w:rPr>
          <w:lang w:val="nl-BE"/>
        </w:rPr>
        <w:t xml:space="preserve">CBAM Verordening via </w:t>
      </w:r>
      <w:proofErr w:type="spellStart"/>
      <w:r w:rsidR="003D6E2D">
        <w:rPr>
          <w:lang w:val="nl-BE"/>
        </w:rPr>
        <w:t>Eur</w:t>
      </w:r>
      <w:proofErr w:type="spellEnd"/>
      <w:r w:rsidR="003D6E2D">
        <w:rPr>
          <w:lang w:val="nl-BE"/>
        </w:rPr>
        <w:t xml:space="preserve">-Lex: </w:t>
      </w:r>
      <w:r w:rsidR="003D6E2D" w:rsidRPr="003D6E2D">
        <w:rPr>
          <w:lang w:val="nl-BE"/>
        </w:rPr>
        <w:t>https://eur-lex.europa.eu/legal-content/NL/TXT/HTML/?uri=CELEX:32023R0956#d1e32-90-1</w:t>
      </w:r>
    </w:p>
  </w:footnote>
  <w:footnote w:id="6">
    <w:p w14:paraId="5979E710" w14:textId="0441F302" w:rsidR="004A638A" w:rsidRPr="001E069C" w:rsidRDefault="004A638A">
      <w:pPr>
        <w:pStyle w:val="Voetnoottekst"/>
        <w:rPr>
          <w:lang w:val="nl-BE"/>
        </w:rPr>
      </w:pPr>
      <w:r>
        <w:rPr>
          <w:rStyle w:val="Voetnootmarkering"/>
        </w:rPr>
        <w:footnoteRef/>
      </w:r>
      <w:r>
        <w:t xml:space="preserve"> </w:t>
      </w:r>
      <w:r>
        <w:rPr>
          <w:lang w:val="nl-BE"/>
        </w:rPr>
        <w:t xml:space="preserve">Dit toelichtingsdocument is op moment van opmaak van deze toelichting nog in opmaak bij de Europese Commissie en wordt verwacht gepubliceerd te zijn in de loop van maart 2024. Een verwijzing naar deze Europese toelichting wordt </w:t>
      </w:r>
      <w:r w:rsidR="00383079">
        <w:rPr>
          <w:lang w:val="nl-BE"/>
        </w:rPr>
        <w:t>toegevoegd nadat deze gepubliceerd wordt door de Europese Commissie.</w:t>
      </w:r>
    </w:p>
  </w:footnote>
  <w:footnote w:id="7">
    <w:p w14:paraId="2807AE69" w14:textId="24630DD4" w:rsidR="00383079" w:rsidRPr="00E35D3B" w:rsidRDefault="00383079" w:rsidP="00383079">
      <w:pPr>
        <w:pStyle w:val="Voetnoottekst"/>
        <w:rPr>
          <w:lang w:val="nl-BE"/>
        </w:rPr>
      </w:pPr>
      <w:r>
        <w:rPr>
          <w:rStyle w:val="Voetnootmarkering"/>
        </w:rPr>
        <w:footnoteRef/>
      </w:r>
      <w:r>
        <w:t xml:space="preserve"> </w:t>
      </w:r>
      <w:r>
        <w:rPr>
          <w:lang w:val="nl-BE"/>
        </w:rPr>
        <w:t>Dit toelichtingsdocument is op moment van opmaak van deze toelichting nog in opmaak bij de Europese Commissie en wordt verwacht gepubliceerd te zijn in de loop van maart 2024. Een verwijzing naar deze Europese toelichting wordt toegevoegd nadat deze gepubliceerd wordt door de Europese Commissie.</w:t>
      </w:r>
    </w:p>
    <w:p w14:paraId="71094701" w14:textId="49BACB29" w:rsidR="00383079" w:rsidRPr="001E069C" w:rsidRDefault="00383079">
      <w:pPr>
        <w:pStyle w:val="Voetnoottekst"/>
        <w:rPr>
          <w:lang w:val="nl-BE"/>
        </w:rPr>
      </w:pPr>
    </w:p>
  </w:footnote>
  <w:footnote w:id="8">
    <w:p w14:paraId="7F326FB4" w14:textId="7631B68F" w:rsidR="00383079" w:rsidRPr="001E069C" w:rsidRDefault="00383079">
      <w:pPr>
        <w:pStyle w:val="Voetnoottekst"/>
        <w:rPr>
          <w:lang w:val="nl-BE"/>
        </w:rPr>
      </w:pPr>
      <w:r>
        <w:rPr>
          <w:rStyle w:val="Voetnootmarkering"/>
        </w:rPr>
        <w:footnoteRef/>
      </w:r>
      <w:r>
        <w:t xml:space="preserve"> </w:t>
      </w:r>
      <w:r>
        <w:rPr>
          <w:lang w:val="nl-BE"/>
        </w:rPr>
        <w:t>Dit toelichtingsdocument is op moment van opmaak van deze toelichting nog in opmaak bij de Europese Commissie en wordt verwacht gepubliceerd te zijn in de loop van maart 2024. Een verwijzing naar deze Europese toelichting wordt toegevoegd nadat deze gepubliceerd wordt door de Europese Commissie.</w:t>
      </w:r>
    </w:p>
  </w:footnote>
  <w:footnote w:id="9">
    <w:p w14:paraId="65DBB87C" w14:textId="533E097D" w:rsidR="00383079" w:rsidRPr="001E069C" w:rsidRDefault="00383079">
      <w:pPr>
        <w:pStyle w:val="Voetnoottekst"/>
        <w:rPr>
          <w:lang w:val="nl-BE"/>
        </w:rPr>
      </w:pPr>
      <w:r>
        <w:rPr>
          <w:rStyle w:val="Voetnootmarkering"/>
        </w:rPr>
        <w:footnoteRef/>
      </w:r>
      <w:r>
        <w:t xml:space="preserve"> </w:t>
      </w:r>
      <w:r>
        <w:rPr>
          <w:lang w:val="nl-BE"/>
        </w:rPr>
        <w:t>Dit toelichtingsdocument is op moment van opmaak van deze toelichting nog in opmaak bij de Europese Commissie en wordt verwacht gepubliceerd te zijn in de loop van maart 2024. Een verwijzing naar deze Europese toelichting wordt toegevoegd nadat deze gepubliceerd wordt door de Europese Commissie.</w:t>
      </w:r>
    </w:p>
  </w:footnote>
  <w:footnote w:id="10">
    <w:p w14:paraId="6C226199" w14:textId="1149D33C" w:rsidR="00383079" w:rsidRPr="001E069C" w:rsidRDefault="00383079">
      <w:pPr>
        <w:pStyle w:val="Voetnoottekst"/>
        <w:rPr>
          <w:lang w:val="nl-BE"/>
        </w:rPr>
      </w:pPr>
      <w:r>
        <w:rPr>
          <w:rStyle w:val="Voetnootmarkering"/>
        </w:rPr>
        <w:footnoteRef/>
      </w:r>
      <w:r>
        <w:t xml:space="preserve"> </w:t>
      </w:r>
      <w:r>
        <w:rPr>
          <w:lang w:val="nl-BE"/>
        </w:rPr>
        <w:t>Dit toelichtingsdocument is op moment van opmaak van deze toelichting nog in opmaak bij de Europese Commissie en wordt verwacht gepubliceerd te zijn in de loop van maart 2024. Een verwijzing naar deze Europese toelichting wordt toegevoegd nadat deze gepubliceerd wordt door de Europese Commissie.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051"/>
    <w:multiLevelType w:val="hybridMultilevel"/>
    <w:tmpl w:val="681460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120A71"/>
    <w:multiLevelType w:val="hybridMultilevel"/>
    <w:tmpl w:val="06E03ECC"/>
    <w:lvl w:ilvl="0" w:tplc="0C000001">
      <w:start w:val="1"/>
      <w:numFmt w:val="bullet"/>
      <w:lvlText w:val=""/>
      <w:lvlJc w:val="left"/>
      <w:pPr>
        <w:ind w:left="2771" w:hanging="360"/>
      </w:pPr>
      <w:rPr>
        <w:rFonts w:ascii="Symbol" w:hAnsi="Symbol" w:hint="default"/>
      </w:rPr>
    </w:lvl>
    <w:lvl w:ilvl="1" w:tplc="0C000001">
      <w:start w:val="1"/>
      <w:numFmt w:val="bullet"/>
      <w:lvlText w:val=""/>
      <w:lvlJc w:val="left"/>
      <w:pPr>
        <w:ind w:left="3491" w:hanging="360"/>
      </w:pPr>
      <w:rPr>
        <w:rFonts w:ascii="Symbol" w:hAnsi="Symbol" w:hint="default"/>
      </w:rPr>
    </w:lvl>
    <w:lvl w:ilvl="2" w:tplc="0C000005" w:tentative="1">
      <w:start w:val="1"/>
      <w:numFmt w:val="bullet"/>
      <w:lvlText w:val=""/>
      <w:lvlJc w:val="left"/>
      <w:pPr>
        <w:ind w:left="4211" w:hanging="360"/>
      </w:pPr>
      <w:rPr>
        <w:rFonts w:ascii="Wingdings" w:hAnsi="Wingdings" w:hint="default"/>
      </w:rPr>
    </w:lvl>
    <w:lvl w:ilvl="3" w:tplc="0C000001" w:tentative="1">
      <w:start w:val="1"/>
      <w:numFmt w:val="bullet"/>
      <w:lvlText w:val=""/>
      <w:lvlJc w:val="left"/>
      <w:pPr>
        <w:ind w:left="4931" w:hanging="360"/>
      </w:pPr>
      <w:rPr>
        <w:rFonts w:ascii="Symbol" w:hAnsi="Symbol" w:hint="default"/>
      </w:rPr>
    </w:lvl>
    <w:lvl w:ilvl="4" w:tplc="0C000003" w:tentative="1">
      <w:start w:val="1"/>
      <w:numFmt w:val="bullet"/>
      <w:lvlText w:val="o"/>
      <w:lvlJc w:val="left"/>
      <w:pPr>
        <w:ind w:left="5651" w:hanging="360"/>
      </w:pPr>
      <w:rPr>
        <w:rFonts w:ascii="Courier New" w:hAnsi="Courier New" w:cs="Courier New" w:hint="default"/>
      </w:rPr>
    </w:lvl>
    <w:lvl w:ilvl="5" w:tplc="0C000005" w:tentative="1">
      <w:start w:val="1"/>
      <w:numFmt w:val="bullet"/>
      <w:lvlText w:val=""/>
      <w:lvlJc w:val="left"/>
      <w:pPr>
        <w:ind w:left="6371" w:hanging="360"/>
      </w:pPr>
      <w:rPr>
        <w:rFonts w:ascii="Wingdings" w:hAnsi="Wingdings" w:hint="default"/>
      </w:rPr>
    </w:lvl>
    <w:lvl w:ilvl="6" w:tplc="0C000001" w:tentative="1">
      <w:start w:val="1"/>
      <w:numFmt w:val="bullet"/>
      <w:lvlText w:val=""/>
      <w:lvlJc w:val="left"/>
      <w:pPr>
        <w:ind w:left="7091" w:hanging="360"/>
      </w:pPr>
      <w:rPr>
        <w:rFonts w:ascii="Symbol" w:hAnsi="Symbol" w:hint="default"/>
      </w:rPr>
    </w:lvl>
    <w:lvl w:ilvl="7" w:tplc="0C000003" w:tentative="1">
      <w:start w:val="1"/>
      <w:numFmt w:val="bullet"/>
      <w:lvlText w:val="o"/>
      <w:lvlJc w:val="left"/>
      <w:pPr>
        <w:ind w:left="7811" w:hanging="360"/>
      </w:pPr>
      <w:rPr>
        <w:rFonts w:ascii="Courier New" w:hAnsi="Courier New" w:cs="Courier New" w:hint="default"/>
      </w:rPr>
    </w:lvl>
    <w:lvl w:ilvl="8" w:tplc="0C000005" w:tentative="1">
      <w:start w:val="1"/>
      <w:numFmt w:val="bullet"/>
      <w:lvlText w:val=""/>
      <w:lvlJc w:val="left"/>
      <w:pPr>
        <w:ind w:left="8531" w:hanging="360"/>
      </w:pPr>
      <w:rPr>
        <w:rFonts w:ascii="Wingdings" w:hAnsi="Wingdings" w:hint="default"/>
      </w:rPr>
    </w:lvl>
  </w:abstractNum>
  <w:abstractNum w:abstractNumId="2" w15:restartNumberingAfterBreak="0">
    <w:nsid w:val="11E70B03"/>
    <w:multiLevelType w:val="hybridMultilevel"/>
    <w:tmpl w:val="342E45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6086B3F"/>
    <w:multiLevelType w:val="multilevel"/>
    <w:tmpl w:val="1D6632AA"/>
    <w:lvl w:ilvl="0">
      <w:start w:val="1"/>
      <w:numFmt w:val="decimal"/>
      <w:lvlText w:val="%1."/>
      <w:lvlJc w:val="left"/>
      <w:pPr>
        <w:ind w:left="720" w:hanging="360"/>
      </w:pPr>
      <w:rPr>
        <w:rFonts w:asciiTheme="majorHAnsi" w:hAnsiTheme="majorHAnsi" w:cstheme="majorBidi" w:hint="default"/>
        <w:color w:val="2F5496" w:themeColor="accent1" w:themeShade="B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CC2F3E"/>
    <w:multiLevelType w:val="hybridMultilevel"/>
    <w:tmpl w:val="49B8772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17D86EB8"/>
    <w:multiLevelType w:val="hybridMultilevel"/>
    <w:tmpl w:val="C802A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8232BE"/>
    <w:multiLevelType w:val="hybridMultilevel"/>
    <w:tmpl w:val="AB462B8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26C3341"/>
    <w:multiLevelType w:val="multilevel"/>
    <w:tmpl w:val="0610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20B85"/>
    <w:multiLevelType w:val="hybridMultilevel"/>
    <w:tmpl w:val="1E422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EA0CFC"/>
    <w:multiLevelType w:val="hybridMultilevel"/>
    <w:tmpl w:val="94945DB6"/>
    <w:lvl w:ilvl="0" w:tplc="0C00000F">
      <w:start w:val="1"/>
      <w:numFmt w:val="decimal"/>
      <w:lvlText w:val="%1."/>
      <w:lvlJc w:val="left"/>
      <w:pPr>
        <w:ind w:left="1429" w:hanging="360"/>
      </w:p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0" w15:restartNumberingAfterBreak="0">
    <w:nsid w:val="2B0F1987"/>
    <w:multiLevelType w:val="multilevel"/>
    <w:tmpl w:val="0B70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6669F"/>
    <w:multiLevelType w:val="hybridMultilevel"/>
    <w:tmpl w:val="788ADF34"/>
    <w:lvl w:ilvl="0" w:tplc="91A85124">
      <w:start w:val="1"/>
      <w:numFmt w:val="decimal"/>
      <w:lvlText w:val="%1."/>
      <w:lvlJc w:val="left"/>
      <w:pPr>
        <w:ind w:left="720" w:hanging="360"/>
      </w:pPr>
    </w:lvl>
    <w:lvl w:ilvl="1" w:tplc="0C000001">
      <w:start w:val="1"/>
      <w:numFmt w:val="bullet"/>
      <w:lvlText w:val=""/>
      <w:lvlJc w:val="left"/>
      <w:pPr>
        <w:ind w:left="1440" w:hanging="360"/>
      </w:pPr>
      <w:rPr>
        <w:rFonts w:ascii="Symbol" w:hAnsi="Symbol" w:hint="default"/>
      </w:r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E2167C8"/>
    <w:multiLevelType w:val="hybridMultilevel"/>
    <w:tmpl w:val="3312918C"/>
    <w:lvl w:ilvl="0" w:tplc="EBD4D4A4">
      <w:start w:val="4"/>
      <w:numFmt w:val="bullet"/>
      <w:lvlText w:val=""/>
      <w:lvlJc w:val="left"/>
      <w:pPr>
        <w:ind w:left="360" w:hanging="360"/>
      </w:pPr>
      <w:rPr>
        <w:rFonts w:ascii="Wingdings" w:eastAsiaTheme="minorHAnsi" w:hAnsi="Wingdings"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EAD6A33"/>
    <w:multiLevelType w:val="multilevel"/>
    <w:tmpl w:val="38046E0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025C9B"/>
    <w:multiLevelType w:val="hybridMultilevel"/>
    <w:tmpl w:val="70644A8C"/>
    <w:lvl w:ilvl="0" w:tplc="38324D72">
      <w:start w:val="1"/>
      <w:numFmt w:val="decimal"/>
      <w:lvlText w:val="%1."/>
      <w:lvlJc w:val="left"/>
      <w:pPr>
        <w:ind w:left="720" w:hanging="360"/>
      </w:pPr>
      <w:rPr>
        <w:rFonts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CE975F6"/>
    <w:multiLevelType w:val="hybridMultilevel"/>
    <w:tmpl w:val="27BCB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A40650"/>
    <w:multiLevelType w:val="hybridMultilevel"/>
    <w:tmpl w:val="C4326B76"/>
    <w:lvl w:ilvl="0" w:tplc="7E46D8E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056AF5"/>
    <w:multiLevelType w:val="hybridMultilevel"/>
    <w:tmpl w:val="268080EE"/>
    <w:lvl w:ilvl="0" w:tplc="08130017">
      <w:start w:val="1"/>
      <w:numFmt w:val="lowerLetter"/>
      <w:lvlText w:val="%1)"/>
      <w:lvlJc w:val="left"/>
      <w:pPr>
        <w:ind w:left="784" w:hanging="360"/>
      </w:pPr>
    </w:lvl>
    <w:lvl w:ilvl="1" w:tplc="08130019" w:tentative="1">
      <w:start w:val="1"/>
      <w:numFmt w:val="lowerLetter"/>
      <w:lvlText w:val="%2."/>
      <w:lvlJc w:val="left"/>
      <w:pPr>
        <w:ind w:left="1504" w:hanging="360"/>
      </w:pPr>
    </w:lvl>
    <w:lvl w:ilvl="2" w:tplc="0813001B" w:tentative="1">
      <w:start w:val="1"/>
      <w:numFmt w:val="lowerRoman"/>
      <w:lvlText w:val="%3."/>
      <w:lvlJc w:val="right"/>
      <w:pPr>
        <w:ind w:left="2224" w:hanging="180"/>
      </w:pPr>
    </w:lvl>
    <w:lvl w:ilvl="3" w:tplc="0813000F" w:tentative="1">
      <w:start w:val="1"/>
      <w:numFmt w:val="decimal"/>
      <w:lvlText w:val="%4."/>
      <w:lvlJc w:val="left"/>
      <w:pPr>
        <w:ind w:left="2944" w:hanging="360"/>
      </w:pPr>
    </w:lvl>
    <w:lvl w:ilvl="4" w:tplc="08130019" w:tentative="1">
      <w:start w:val="1"/>
      <w:numFmt w:val="lowerLetter"/>
      <w:lvlText w:val="%5."/>
      <w:lvlJc w:val="left"/>
      <w:pPr>
        <w:ind w:left="3664" w:hanging="360"/>
      </w:pPr>
    </w:lvl>
    <w:lvl w:ilvl="5" w:tplc="0813001B" w:tentative="1">
      <w:start w:val="1"/>
      <w:numFmt w:val="lowerRoman"/>
      <w:lvlText w:val="%6."/>
      <w:lvlJc w:val="right"/>
      <w:pPr>
        <w:ind w:left="4384" w:hanging="180"/>
      </w:pPr>
    </w:lvl>
    <w:lvl w:ilvl="6" w:tplc="0813000F" w:tentative="1">
      <w:start w:val="1"/>
      <w:numFmt w:val="decimal"/>
      <w:lvlText w:val="%7."/>
      <w:lvlJc w:val="left"/>
      <w:pPr>
        <w:ind w:left="5104" w:hanging="360"/>
      </w:pPr>
    </w:lvl>
    <w:lvl w:ilvl="7" w:tplc="08130019" w:tentative="1">
      <w:start w:val="1"/>
      <w:numFmt w:val="lowerLetter"/>
      <w:lvlText w:val="%8."/>
      <w:lvlJc w:val="left"/>
      <w:pPr>
        <w:ind w:left="5824" w:hanging="360"/>
      </w:pPr>
    </w:lvl>
    <w:lvl w:ilvl="8" w:tplc="0813001B" w:tentative="1">
      <w:start w:val="1"/>
      <w:numFmt w:val="lowerRoman"/>
      <w:lvlText w:val="%9."/>
      <w:lvlJc w:val="right"/>
      <w:pPr>
        <w:ind w:left="6544" w:hanging="180"/>
      </w:pPr>
    </w:lvl>
  </w:abstractNum>
  <w:abstractNum w:abstractNumId="18" w15:restartNumberingAfterBreak="0">
    <w:nsid w:val="55A97694"/>
    <w:multiLevelType w:val="hybridMultilevel"/>
    <w:tmpl w:val="F3A0EC30"/>
    <w:lvl w:ilvl="0" w:tplc="0788378A">
      <w:start w:val="4"/>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965375D"/>
    <w:multiLevelType w:val="hybridMultilevel"/>
    <w:tmpl w:val="3A3A3392"/>
    <w:lvl w:ilvl="0" w:tplc="5B46FAB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9B81E5B"/>
    <w:multiLevelType w:val="hybridMultilevel"/>
    <w:tmpl w:val="A244A79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1" w15:restartNumberingAfterBreak="0">
    <w:nsid w:val="5C0D3049"/>
    <w:multiLevelType w:val="hybridMultilevel"/>
    <w:tmpl w:val="51CA268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2" w15:restartNumberingAfterBreak="0">
    <w:nsid w:val="5EAC2E32"/>
    <w:multiLevelType w:val="multilevel"/>
    <w:tmpl w:val="DFF0BD40"/>
    <w:lvl w:ilvl="0">
      <w:start w:val="2"/>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D67196"/>
    <w:multiLevelType w:val="hybridMultilevel"/>
    <w:tmpl w:val="AD868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427569"/>
    <w:multiLevelType w:val="hybridMultilevel"/>
    <w:tmpl w:val="BE1CC516"/>
    <w:lvl w:ilvl="0" w:tplc="0C000001">
      <w:start w:val="1"/>
      <w:numFmt w:val="bullet"/>
      <w:lvlText w:val=""/>
      <w:lvlJc w:val="left"/>
      <w:pPr>
        <w:ind w:left="1146" w:hanging="360"/>
      </w:pPr>
      <w:rPr>
        <w:rFonts w:ascii="Symbol" w:hAnsi="Symbol" w:hint="default"/>
      </w:rPr>
    </w:lvl>
    <w:lvl w:ilvl="1" w:tplc="78BE7C26">
      <w:start w:val="1"/>
      <w:numFmt w:val="bullet"/>
      <w:lvlText w:val="o"/>
      <w:lvlJc w:val="left"/>
      <w:pPr>
        <w:ind w:left="1866" w:hanging="360"/>
      </w:pPr>
      <w:rPr>
        <w:rFonts w:ascii="Courier New" w:hAnsi="Courier New" w:cs="Courier New" w:hint="default"/>
        <w:sz w:val="22"/>
        <w:szCs w:val="22"/>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25" w15:restartNumberingAfterBreak="0">
    <w:nsid w:val="619D1C69"/>
    <w:multiLevelType w:val="hybridMultilevel"/>
    <w:tmpl w:val="DCA06A5C"/>
    <w:lvl w:ilvl="0" w:tplc="91A85124">
      <w:start w:val="1"/>
      <w:numFmt w:val="decimal"/>
      <w:lvlText w:val="%1."/>
      <w:lvlJc w:val="left"/>
      <w:pPr>
        <w:ind w:left="720" w:hanging="360"/>
      </w:pPr>
    </w:lvl>
    <w:lvl w:ilvl="1" w:tplc="00000019">
      <w:start w:val="1"/>
      <w:numFmt w:val="lowerLetter"/>
      <w:lvlText w:val="%2."/>
      <w:lvlJc w:val="left"/>
      <w:pPr>
        <w:ind w:left="1440" w:hanging="360"/>
      </w:pPr>
      <w:rPr>
        <w:rFonts w:hint="default"/>
      </w:rPr>
    </w:lvl>
    <w:lvl w:ilvl="2" w:tplc="04130001">
      <w:start w:val="1"/>
      <w:numFmt w:val="bullet"/>
      <w:lvlText w:val=""/>
      <w:lvlJc w:val="left"/>
      <w:pPr>
        <w:ind w:left="2160" w:hanging="180"/>
      </w:pPr>
      <w:rPr>
        <w:rFonts w:ascii="Symbol" w:hAnsi="Symbol" w:hint="default"/>
      </w:r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6414218A"/>
    <w:multiLevelType w:val="hybridMultilevel"/>
    <w:tmpl w:val="BA0AC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334C19"/>
    <w:multiLevelType w:val="multilevel"/>
    <w:tmpl w:val="879E361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D90089"/>
    <w:multiLevelType w:val="hybridMultilevel"/>
    <w:tmpl w:val="8B3ABCE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9" w15:restartNumberingAfterBreak="0">
    <w:nsid w:val="66EF3857"/>
    <w:multiLevelType w:val="hybridMultilevel"/>
    <w:tmpl w:val="629EC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77700B"/>
    <w:multiLevelType w:val="hybridMultilevel"/>
    <w:tmpl w:val="B9AEF6A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B2D6BF4"/>
    <w:multiLevelType w:val="multilevel"/>
    <w:tmpl w:val="7FAEB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B5D1F42"/>
    <w:multiLevelType w:val="hybridMultilevel"/>
    <w:tmpl w:val="AE4C0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DF0847"/>
    <w:multiLevelType w:val="multilevel"/>
    <w:tmpl w:val="BE24F1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5826F0"/>
    <w:multiLevelType w:val="hybridMultilevel"/>
    <w:tmpl w:val="D146E358"/>
    <w:lvl w:ilvl="0" w:tplc="0C000001">
      <w:start w:val="1"/>
      <w:numFmt w:val="bullet"/>
      <w:lvlText w:val=""/>
      <w:lvlJc w:val="left"/>
      <w:pPr>
        <w:ind w:left="1080" w:hanging="360"/>
      </w:pPr>
      <w:rPr>
        <w:rFonts w:ascii="Symbol" w:hAnsi="Symbol" w:hint="default"/>
        <w:sz w:val="22"/>
        <w:szCs w:val="22"/>
      </w:rPr>
    </w:lvl>
    <w:lvl w:ilvl="1" w:tplc="22BC0F8A">
      <w:numFmt w:val="bullet"/>
      <w:lvlText w:val=""/>
      <w:lvlJc w:val="left"/>
      <w:pPr>
        <w:ind w:left="654" w:hanging="360"/>
      </w:pPr>
      <w:rPr>
        <w:rFonts w:ascii="Symbol" w:eastAsiaTheme="minorHAnsi" w:hAnsi="Symbol" w:cs="Arial" w:hint="default"/>
      </w:rPr>
    </w:lvl>
    <w:lvl w:ilvl="2" w:tplc="0C000005" w:tentative="1">
      <w:start w:val="1"/>
      <w:numFmt w:val="bullet"/>
      <w:lvlText w:val=""/>
      <w:lvlJc w:val="left"/>
      <w:pPr>
        <w:ind w:left="1374" w:hanging="360"/>
      </w:pPr>
      <w:rPr>
        <w:rFonts w:ascii="Wingdings" w:hAnsi="Wingdings" w:hint="default"/>
      </w:rPr>
    </w:lvl>
    <w:lvl w:ilvl="3" w:tplc="0C000001" w:tentative="1">
      <w:start w:val="1"/>
      <w:numFmt w:val="bullet"/>
      <w:lvlText w:val=""/>
      <w:lvlJc w:val="left"/>
      <w:pPr>
        <w:ind w:left="2094" w:hanging="360"/>
      </w:pPr>
      <w:rPr>
        <w:rFonts w:ascii="Symbol" w:hAnsi="Symbol" w:hint="default"/>
      </w:rPr>
    </w:lvl>
    <w:lvl w:ilvl="4" w:tplc="0C000003" w:tentative="1">
      <w:start w:val="1"/>
      <w:numFmt w:val="bullet"/>
      <w:lvlText w:val="o"/>
      <w:lvlJc w:val="left"/>
      <w:pPr>
        <w:ind w:left="2814" w:hanging="360"/>
      </w:pPr>
      <w:rPr>
        <w:rFonts w:ascii="Courier New" w:hAnsi="Courier New" w:cs="Courier New" w:hint="default"/>
      </w:rPr>
    </w:lvl>
    <w:lvl w:ilvl="5" w:tplc="0C000005" w:tentative="1">
      <w:start w:val="1"/>
      <w:numFmt w:val="bullet"/>
      <w:lvlText w:val=""/>
      <w:lvlJc w:val="left"/>
      <w:pPr>
        <w:ind w:left="3534" w:hanging="360"/>
      </w:pPr>
      <w:rPr>
        <w:rFonts w:ascii="Wingdings" w:hAnsi="Wingdings" w:hint="default"/>
      </w:rPr>
    </w:lvl>
    <w:lvl w:ilvl="6" w:tplc="0C000001" w:tentative="1">
      <w:start w:val="1"/>
      <w:numFmt w:val="bullet"/>
      <w:lvlText w:val=""/>
      <w:lvlJc w:val="left"/>
      <w:pPr>
        <w:ind w:left="4254" w:hanging="360"/>
      </w:pPr>
      <w:rPr>
        <w:rFonts w:ascii="Symbol" w:hAnsi="Symbol" w:hint="default"/>
      </w:rPr>
    </w:lvl>
    <w:lvl w:ilvl="7" w:tplc="0C000003" w:tentative="1">
      <w:start w:val="1"/>
      <w:numFmt w:val="bullet"/>
      <w:lvlText w:val="o"/>
      <w:lvlJc w:val="left"/>
      <w:pPr>
        <w:ind w:left="4974" w:hanging="360"/>
      </w:pPr>
      <w:rPr>
        <w:rFonts w:ascii="Courier New" w:hAnsi="Courier New" w:cs="Courier New" w:hint="default"/>
      </w:rPr>
    </w:lvl>
    <w:lvl w:ilvl="8" w:tplc="0C000005" w:tentative="1">
      <w:start w:val="1"/>
      <w:numFmt w:val="bullet"/>
      <w:lvlText w:val=""/>
      <w:lvlJc w:val="left"/>
      <w:pPr>
        <w:ind w:left="5694" w:hanging="360"/>
      </w:pPr>
      <w:rPr>
        <w:rFonts w:ascii="Wingdings" w:hAnsi="Wingdings" w:hint="default"/>
      </w:rPr>
    </w:lvl>
  </w:abstractNum>
  <w:abstractNum w:abstractNumId="35" w15:restartNumberingAfterBreak="0">
    <w:nsid w:val="6F997DC2"/>
    <w:multiLevelType w:val="hybridMultilevel"/>
    <w:tmpl w:val="C5BC2FF4"/>
    <w:lvl w:ilvl="0" w:tplc="988CD20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741E7F8A"/>
    <w:multiLevelType w:val="hybridMultilevel"/>
    <w:tmpl w:val="2D5ED642"/>
    <w:lvl w:ilvl="0" w:tplc="0000000B">
      <w:start w:val="1"/>
      <w:numFmt w:val="bullet"/>
      <w:lvlText w:val=""/>
      <w:lvlJc w:val="left"/>
      <w:pPr>
        <w:ind w:left="2340" w:hanging="360"/>
      </w:pPr>
      <w:rPr>
        <w:rFonts w:ascii="Wingdings" w:hAnsi="Wingdings" w:hint="default"/>
      </w:rPr>
    </w:lvl>
    <w:lvl w:ilvl="1" w:tplc="0C000003" w:tentative="1">
      <w:start w:val="1"/>
      <w:numFmt w:val="bullet"/>
      <w:lvlText w:val="o"/>
      <w:lvlJc w:val="left"/>
      <w:pPr>
        <w:ind w:left="3060" w:hanging="360"/>
      </w:pPr>
      <w:rPr>
        <w:rFonts w:ascii="Courier New" w:hAnsi="Courier New" w:cs="Courier New" w:hint="default"/>
      </w:rPr>
    </w:lvl>
    <w:lvl w:ilvl="2" w:tplc="0C000005" w:tentative="1">
      <w:start w:val="1"/>
      <w:numFmt w:val="bullet"/>
      <w:lvlText w:val=""/>
      <w:lvlJc w:val="left"/>
      <w:pPr>
        <w:ind w:left="3780" w:hanging="360"/>
      </w:pPr>
      <w:rPr>
        <w:rFonts w:ascii="Wingdings" w:hAnsi="Wingdings" w:hint="default"/>
      </w:rPr>
    </w:lvl>
    <w:lvl w:ilvl="3" w:tplc="0C000001" w:tentative="1">
      <w:start w:val="1"/>
      <w:numFmt w:val="bullet"/>
      <w:lvlText w:val=""/>
      <w:lvlJc w:val="left"/>
      <w:pPr>
        <w:ind w:left="4500" w:hanging="360"/>
      </w:pPr>
      <w:rPr>
        <w:rFonts w:ascii="Symbol" w:hAnsi="Symbol" w:hint="default"/>
      </w:rPr>
    </w:lvl>
    <w:lvl w:ilvl="4" w:tplc="0C000003" w:tentative="1">
      <w:start w:val="1"/>
      <w:numFmt w:val="bullet"/>
      <w:lvlText w:val="o"/>
      <w:lvlJc w:val="left"/>
      <w:pPr>
        <w:ind w:left="5220" w:hanging="360"/>
      </w:pPr>
      <w:rPr>
        <w:rFonts w:ascii="Courier New" w:hAnsi="Courier New" w:cs="Courier New" w:hint="default"/>
      </w:rPr>
    </w:lvl>
    <w:lvl w:ilvl="5" w:tplc="0C000005" w:tentative="1">
      <w:start w:val="1"/>
      <w:numFmt w:val="bullet"/>
      <w:lvlText w:val=""/>
      <w:lvlJc w:val="left"/>
      <w:pPr>
        <w:ind w:left="5940" w:hanging="360"/>
      </w:pPr>
      <w:rPr>
        <w:rFonts w:ascii="Wingdings" w:hAnsi="Wingdings" w:hint="default"/>
      </w:rPr>
    </w:lvl>
    <w:lvl w:ilvl="6" w:tplc="0C000001" w:tentative="1">
      <w:start w:val="1"/>
      <w:numFmt w:val="bullet"/>
      <w:lvlText w:val=""/>
      <w:lvlJc w:val="left"/>
      <w:pPr>
        <w:ind w:left="6660" w:hanging="360"/>
      </w:pPr>
      <w:rPr>
        <w:rFonts w:ascii="Symbol" w:hAnsi="Symbol" w:hint="default"/>
      </w:rPr>
    </w:lvl>
    <w:lvl w:ilvl="7" w:tplc="0C000003" w:tentative="1">
      <w:start w:val="1"/>
      <w:numFmt w:val="bullet"/>
      <w:lvlText w:val="o"/>
      <w:lvlJc w:val="left"/>
      <w:pPr>
        <w:ind w:left="7380" w:hanging="360"/>
      </w:pPr>
      <w:rPr>
        <w:rFonts w:ascii="Courier New" w:hAnsi="Courier New" w:cs="Courier New" w:hint="default"/>
      </w:rPr>
    </w:lvl>
    <w:lvl w:ilvl="8" w:tplc="0C000005" w:tentative="1">
      <w:start w:val="1"/>
      <w:numFmt w:val="bullet"/>
      <w:lvlText w:val=""/>
      <w:lvlJc w:val="left"/>
      <w:pPr>
        <w:ind w:left="8100" w:hanging="360"/>
      </w:pPr>
      <w:rPr>
        <w:rFonts w:ascii="Wingdings" w:hAnsi="Wingdings" w:hint="default"/>
      </w:rPr>
    </w:lvl>
  </w:abstractNum>
  <w:abstractNum w:abstractNumId="37" w15:restartNumberingAfterBreak="0">
    <w:nsid w:val="772349FD"/>
    <w:multiLevelType w:val="hybridMultilevel"/>
    <w:tmpl w:val="27BCB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D2843B0"/>
    <w:multiLevelType w:val="hybridMultilevel"/>
    <w:tmpl w:val="64D260B6"/>
    <w:lvl w:ilvl="0" w:tplc="91A85124">
      <w:start w:val="1"/>
      <w:numFmt w:val="decimal"/>
      <w:lvlText w:val="%1."/>
      <w:lvlJc w:val="left"/>
      <w:pPr>
        <w:ind w:left="720" w:hanging="360"/>
      </w:pPr>
    </w:lvl>
    <w:lvl w:ilvl="1" w:tplc="00000019">
      <w:start w:val="1"/>
      <w:numFmt w:val="lowerLetter"/>
      <w:lvlText w:val="%2."/>
      <w:lvlJc w:val="left"/>
      <w:pPr>
        <w:ind w:left="1440" w:hanging="360"/>
      </w:pPr>
      <w:rPr>
        <w:rFonts w:hint="default"/>
      </w:rPr>
    </w:lvl>
    <w:lvl w:ilvl="2" w:tplc="0C000001">
      <w:start w:val="1"/>
      <w:numFmt w:val="bullet"/>
      <w:lvlText w:val=""/>
      <w:lvlJc w:val="left"/>
      <w:pPr>
        <w:ind w:left="2160" w:hanging="180"/>
      </w:pPr>
      <w:rPr>
        <w:rFonts w:ascii="Symbol" w:hAnsi="Symbol" w:hint="default"/>
      </w:rPr>
    </w:lvl>
    <w:lvl w:ilvl="3" w:tplc="00000003">
      <w:start w:val="1"/>
      <w:numFmt w:val="bullet"/>
      <w:lvlText w:val="o"/>
      <w:lvlJc w:val="left"/>
      <w:pPr>
        <w:ind w:left="2880" w:hanging="360"/>
      </w:pPr>
      <w:rPr>
        <w:rFonts w:ascii="Courier New" w:hAnsi="Courier New" w:cs="Courier New" w:hint="default"/>
      </w:r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9" w15:restartNumberingAfterBreak="0">
    <w:nsid w:val="7F1E0309"/>
    <w:multiLevelType w:val="multilevel"/>
    <w:tmpl w:val="38046E0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00454283">
    <w:abstractNumId w:val="24"/>
  </w:num>
  <w:num w:numId="2" w16cid:durableId="417872632">
    <w:abstractNumId w:val="34"/>
  </w:num>
  <w:num w:numId="3" w16cid:durableId="1645893516">
    <w:abstractNumId w:val="1"/>
  </w:num>
  <w:num w:numId="4" w16cid:durableId="1971859854">
    <w:abstractNumId w:val="11"/>
  </w:num>
  <w:num w:numId="5" w16cid:durableId="967859149">
    <w:abstractNumId w:val="6"/>
  </w:num>
  <w:num w:numId="6" w16cid:durableId="1255627448">
    <w:abstractNumId w:val="36"/>
  </w:num>
  <w:num w:numId="7" w16cid:durableId="232785329">
    <w:abstractNumId w:val="27"/>
  </w:num>
  <w:num w:numId="8" w16cid:durableId="1129981124">
    <w:abstractNumId w:val="2"/>
  </w:num>
  <w:num w:numId="9" w16cid:durableId="2116095770">
    <w:abstractNumId w:val="14"/>
  </w:num>
  <w:num w:numId="10" w16cid:durableId="1969428935">
    <w:abstractNumId w:val="30"/>
  </w:num>
  <w:num w:numId="11" w16cid:durableId="758597329">
    <w:abstractNumId w:val="28"/>
  </w:num>
  <w:num w:numId="12" w16cid:durableId="1872107278">
    <w:abstractNumId w:val="4"/>
  </w:num>
  <w:num w:numId="13" w16cid:durableId="217864779">
    <w:abstractNumId w:val="20"/>
  </w:num>
  <w:num w:numId="14" w16cid:durableId="1615166601">
    <w:abstractNumId w:val="21"/>
  </w:num>
  <w:num w:numId="15" w16cid:durableId="2001957972">
    <w:abstractNumId w:val="17"/>
  </w:num>
  <w:num w:numId="16" w16cid:durableId="1737125750">
    <w:abstractNumId w:val="5"/>
  </w:num>
  <w:num w:numId="17" w16cid:durableId="1917546339">
    <w:abstractNumId w:val="26"/>
  </w:num>
  <w:num w:numId="18" w16cid:durableId="1501190990">
    <w:abstractNumId w:val="22"/>
  </w:num>
  <w:num w:numId="19" w16cid:durableId="418448710">
    <w:abstractNumId w:val="9"/>
  </w:num>
  <w:num w:numId="20" w16cid:durableId="1040979211">
    <w:abstractNumId w:val="25"/>
  </w:num>
  <w:num w:numId="21" w16cid:durableId="1907568505">
    <w:abstractNumId w:val="38"/>
  </w:num>
  <w:num w:numId="22" w16cid:durableId="285545838">
    <w:abstractNumId w:val="19"/>
  </w:num>
  <w:num w:numId="23" w16cid:durableId="1550192111">
    <w:abstractNumId w:val="31"/>
  </w:num>
  <w:num w:numId="24" w16cid:durableId="1643579702">
    <w:abstractNumId w:val="29"/>
  </w:num>
  <w:num w:numId="25" w16cid:durableId="1014301254">
    <w:abstractNumId w:val="3"/>
  </w:num>
  <w:num w:numId="26" w16cid:durableId="1718166620">
    <w:abstractNumId w:val="15"/>
  </w:num>
  <w:num w:numId="27" w16cid:durableId="1676952811">
    <w:abstractNumId w:val="37"/>
  </w:num>
  <w:num w:numId="28" w16cid:durableId="316687477">
    <w:abstractNumId w:val="18"/>
  </w:num>
  <w:num w:numId="29" w16cid:durableId="653754317">
    <w:abstractNumId w:val="16"/>
  </w:num>
  <w:num w:numId="30" w16cid:durableId="1478109575">
    <w:abstractNumId w:val="32"/>
  </w:num>
  <w:num w:numId="31" w16cid:durableId="384841040">
    <w:abstractNumId w:val="39"/>
  </w:num>
  <w:num w:numId="32" w16cid:durableId="101416418">
    <w:abstractNumId w:val="12"/>
  </w:num>
  <w:num w:numId="33" w16cid:durableId="1762220928">
    <w:abstractNumId w:val="23"/>
  </w:num>
  <w:num w:numId="34" w16cid:durableId="1990667426">
    <w:abstractNumId w:val="13"/>
  </w:num>
  <w:num w:numId="35" w16cid:durableId="958099997">
    <w:abstractNumId w:val="33"/>
  </w:num>
  <w:num w:numId="36" w16cid:durableId="1485272514">
    <w:abstractNumId w:val="7"/>
  </w:num>
  <w:num w:numId="37" w16cid:durableId="1375273437">
    <w:abstractNumId w:val="0"/>
  </w:num>
  <w:num w:numId="38" w16cid:durableId="1058475256">
    <w:abstractNumId w:val="8"/>
  </w:num>
  <w:num w:numId="39" w16cid:durableId="1221866214">
    <w:abstractNumId w:val="35"/>
  </w:num>
  <w:num w:numId="40" w16cid:durableId="366637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CC"/>
    <w:rsid w:val="00002C1E"/>
    <w:rsid w:val="00003835"/>
    <w:rsid w:val="00004CEA"/>
    <w:rsid w:val="00007A09"/>
    <w:rsid w:val="0001003C"/>
    <w:rsid w:val="00011ACE"/>
    <w:rsid w:val="00011D73"/>
    <w:rsid w:val="0001307D"/>
    <w:rsid w:val="000132E6"/>
    <w:rsid w:val="0001342F"/>
    <w:rsid w:val="000138A2"/>
    <w:rsid w:val="00015916"/>
    <w:rsid w:val="00016868"/>
    <w:rsid w:val="00020CD0"/>
    <w:rsid w:val="000210AB"/>
    <w:rsid w:val="000219AC"/>
    <w:rsid w:val="00021ABB"/>
    <w:rsid w:val="00021CF9"/>
    <w:rsid w:val="00022D74"/>
    <w:rsid w:val="00023FDD"/>
    <w:rsid w:val="00027EF9"/>
    <w:rsid w:val="00030A00"/>
    <w:rsid w:val="0003159B"/>
    <w:rsid w:val="00034664"/>
    <w:rsid w:val="00036B4D"/>
    <w:rsid w:val="00037B2F"/>
    <w:rsid w:val="000406F7"/>
    <w:rsid w:val="00041816"/>
    <w:rsid w:val="000439A9"/>
    <w:rsid w:val="000456AB"/>
    <w:rsid w:val="00051CA8"/>
    <w:rsid w:val="00052C10"/>
    <w:rsid w:val="000546CE"/>
    <w:rsid w:val="00054F0D"/>
    <w:rsid w:val="0005601D"/>
    <w:rsid w:val="00061655"/>
    <w:rsid w:val="00063914"/>
    <w:rsid w:val="00065138"/>
    <w:rsid w:val="00065231"/>
    <w:rsid w:val="00065D50"/>
    <w:rsid w:val="00066848"/>
    <w:rsid w:val="000668C7"/>
    <w:rsid w:val="00070A1A"/>
    <w:rsid w:val="000737E1"/>
    <w:rsid w:val="00073D47"/>
    <w:rsid w:val="00074F68"/>
    <w:rsid w:val="00077E10"/>
    <w:rsid w:val="00081C18"/>
    <w:rsid w:val="00081EAE"/>
    <w:rsid w:val="00081ED4"/>
    <w:rsid w:val="000836D1"/>
    <w:rsid w:val="00084C61"/>
    <w:rsid w:val="00085E85"/>
    <w:rsid w:val="00086DA5"/>
    <w:rsid w:val="00091A72"/>
    <w:rsid w:val="00093161"/>
    <w:rsid w:val="0009347B"/>
    <w:rsid w:val="00096EDD"/>
    <w:rsid w:val="00097D4C"/>
    <w:rsid w:val="000A1071"/>
    <w:rsid w:val="000A324B"/>
    <w:rsid w:val="000A4577"/>
    <w:rsid w:val="000B004B"/>
    <w:rsid w:val="000B1A4E"/>
    <w:rsid w:val="000B2555"/>
    <w:rsid w:val="000B2642"/>
    <w:rsid w:val="000B2850"/>
    <w:rsid w:val="000B3182"/>
    <w:rsid w:val="000B3B9A"/>
    <w:rsid w:val="000B4B6B"/>
    <w:rsid w:val="000B53F9"/>
    <w:rsid w:val="000B625D"/>
    <w:rsid w:val="000C057B"/>
    <w:rsid w:val="000C3D26"/>
    <w:rsid w:val="000C47BB"/>
    <w:rsid w:val="000C47C5"/>
    <w:rsid w:val="000C6235"/>
    <w:rsid w:val="000C70E2"/>
    <w:rsid w:val="000C774E"/>
    <w:rsid w:val="000D21D4"/>
    <w:rsid w:val="000D3CDF"/>
    <w:rsid w:val="000E0162"/>
    <w:rsid w:val="000E0C9F"/>
    <w:rsid w:val="000E11BB"/>
    <w:rsid w:val="000E47D1"/>
    <w:rsid w:val="000E5521"/>
    <w:rsid w:val="000E56AA"/>
    <w:rsid w:val="000E5E67"/>
    <w:rsid w:val="000E5F16"/>
    <w:rsid w:val="000F0759"/>
    <w:rsid w:val="000F0CFC"/>
    <w:rsid w:val="000F0FD7"/>
    <w:rsid w:val="000F11F1"/>
    <w:rsid w:val="000F597B"/>
    <w:rsid w:val="000F7347"/>
    <w:rsid w:val="00100F54"/>
    <w:rsid w:val="00101183"/>
    <w:rsid w:val="00103078"/>
    <w:rsid w:val="001052E5"/>
    <w:rsid w:val="0010674C"/>
    <w:rsid w:val="001070E8"/>
    <w:rsid w:val="00107593"/>
    <w:rsid w:val="00111D22"/>
    <w:rsid w:val="00111EE7"/>
    <w:rsid w:val="00113184"/>
    <w:rsid w:val="00113594"/>
    <w:rsid w:val="001144FE"/>
    <w:rsid w:val="00114C62"/>
    <w:rsid w:val="00115CF4"/>
    <w:rsid w:val="00115EAA"/>
    <w:rsid w:val="0012114A"/>
    <w:rsid w:val="001218BB"/>
    <w:rsid w:val="00121AC5"/>
    <w:rsid w:val="00123E4D"/>
    <w:rsid w:val="00123E7A"/>
    <w:rsid w:val="00125972"/>
    <w:rsid w:val="0012770C"/>
    <w:rsid w:val="00130963"/>
    <w:rsid w:val="00130B91"/>
    <w:rsid w:val="00134A67"/>
    <w:rsid w:val="00134BF1"/>
    <w:rsid w:val="00137010"/>
    <w:rsid w:val="00141C96"/>
    <w:rsid w:val="0014201D"/>
    <w:rsid w:val="0014316E"/>
    <w:rsid w:val="0014377A"/>
    <w:rsid w:val="00143C1A"/>
    <w:rsid w:val="001460FE"/>
    <w:rsid w:val="00146EE4"/>
    <w:rsid w:val="00150527"/>
    <w:rsid w:val="001512B9"/>
    <w:rsid w:val="001528B1"/>
    <w:rsid w:val="00154BBB"/>
    <w:rsid w:val="0015639D"/>
    <w:rsid w:val="00156536"/>
    <w:rsid w:val="001615E1"/>
    <w:rsid w:val="00161664"/>
    <w:rsid w:val="001626AB"/>
    <w:rsid w:val="00162A7E"/>
    <w:rsid w:val="00164856"/>
    <w:rsid w:val="00164F9B"/>
    <w:rsid w:val="00166B13"/>
    <w:rsid w:val="00170A0D"/>
    <w:rsid w:val="001728F4"/>
    <w:rsid w:val="00173529"/>
    <w:rsid w:val="00173F64"/>
    <w:rsid w:val="0017470B"/>
    <w:rsid w:val="001757B9"/>
    <w:rsid w:val="00180DDF"/>
    <w:rsid w:val="0018149A"/>
    <w:rsid w:val="00183945"/>
    <w:rsid w:val="001845C4"/>
    <w:rsid w:val="00184A91"/>
    <w:rsid w:val="0018655A"/>
    <w:rsid w:val="00187B42"/>
    <w:rsid w:val="00190080"/>
    <w:rsid w:val="00190EB4"/>
    <w:rsid w:val="00192352"/>
    <w:rsid w:val="00192CA6"/>
    <w:rsid w:val="001931D5"/>
    <w:rsid w:val="00193A91"/>
    <w:rsid w:val="00194A06"/>
    <w:rsid w:val="001958F9"/>
    <w:rsid w:val="001963B3"/>
    <w:rsid w:val="0019642D"/>
    <w:rsid w:val="00196494"/>
    <w:rsid w:val="00197331"/>
    <w:rsid w:val="00197C01"/>
    <w:rsid w:val="00197CF1"/>
    <w:rsid w:val="00197D82"/>
    <w:rsid w:val="001A10DB"/>
    <w:rsid w:val="001A155F"/>
    <w:rsid w:val="001A2BA5"/>
    <w:rsid w:val="001A2CD3"/>
    <w:rsid w:val="001A2E0F"/>
    <w:rsid w:val="001A2E24"/>
    <w:rsid w:val="001A3BA5"/>
    <w:rsid w:val="001A5B04"/>
    <w:rsid w:val="001A658D"/>
    <w:rsid w:val="001A67D8"/>
    <w:rsid w:val="001A6E80"/>
    <w:rsid w:val="001B19E0"/>
    <w:rsid w:val="001B2FE7"/>
    <w:rsid w:val="001B6F1D"/>
    <w:rsid w:val="001C02B9"/>
    <w:rsid w:val="001C1298"/>
    <w:rsid w:val="001C2101"/>
    <w:rsid w:val="001C2D7B"/>
    <w:rsid w:val="001C30B3"/>
    <w:rsid w:val="001C339A"/>
    <w:rsid w:val="001C539B"/>
    <w:rsid w:val="001C617D"/>
    <w:rsid w:val="001C61C5"/>
    <w:rsid w:val="001C6E4B"/>
    <w:rsid w:val="001C6F00"/>
    <w:rsid w:val="001D609D"/>
    <w:rsid w:val="001D6118"/>
    <w:rsid w:val="001D683E"/>
    <w:rsid w:val="001E069C"/>
    <w:rsid w:val="001E436F"/>
    <w:rsid w:val="001E44AA"/>
    <w:rsid w:val="001E5099"/>
    <w:rsid w:val="001E6F6D"/>
    <w:rsid w:val="001E7393"/>
    <w:rsid w:val="001E764F"/>
    <w:rsid w:val="001F17E3"/>
    <w:rsid w:val="001F1AB5"/>
    <w:rsid w:val="001F4733"/>
    <w:rsid w:val="001F487C"/>
    <w:rsid w:val="001F5920"/>
    <w:rsid w:val="001F5CF4"/>
    <w:rsid w:val="001F6F6F"/>
    <w:rsid w:val="001F7083"/>
    <w:rsid w:val="001F7DED"/>
    <w:rsid w:val="0020102D"/>
    <w:rsid w:val="002013D0"/>
    <w:rsid w:val="0020324F"/>
    <w:rsid w:val="002039E6"/>
    <w:rsid w:val="00204B49"/>
    <w:rsid w:val="00206356"/>
    <w:rsid w:val="002065FD"/>
    <w:rsid w:val="00206CE6"/>
    <w:rsid w:val="00214222"/>
    <w:rsid w:val="00215D27"/>
    <w:rsid w:val="002160FF"/>
    <w:rsid w:val="002163F7"/>
    <w:rsid w:val="002167A8"/>
    <w:rsid w:val="00221410"/>
    <w:rsid w:val="00222457"/>
    <w:rsid w:val="00222680"/>
    <w:rsid w:val="00223205"/>
    <w:rsid w:val="00223BBF"/>
    <w:rsid w:val="00224B9B"/>
    <w:rsid w:val="00227F97"/>
    <w:rsid w:val="002311AC"/>
    <w:rsid w:val="0023494E"/>
    <w:rsid w:val="00234F6C"/>
    <w:rsid w:val="00235159"/>
    <w:rsid w:val="00236DDA"/>
    <w:rsid w:val="00237380"/>
    <w:rsid w:val="002375F8"/>
    <w:rsid w:val="002415DF"/>
    <w:rsid w:val="00241971"/>
    <w:rsid w:val="00243413"/>
    <w:rsid w:val="00245BE8"/>
    <w:rsid w:val="00246503"/>
    <w:rsid w:val="00246D1A"/>
    <w:rsid w:val="0024742D"/>
    <w:rsid w:val="00247494"/>
    <w:rsid w:val="00250E84"/>
    <w:rsid w:val="00251202"/>
    <w:rsid w:val="00255C70"/>
    <w:rsid w:val="00257428"/>
    <w:rsid w:val="002574B9"/>
    <w:rsid w:val="00257B38"/>
    <w:rsid w:val="002618AE"/>
    <w:rsid w:val="002621E1"/>
    <w:rsid w:val="002623A6"/>
    <w:rsid w:val="0026540B"/>
    <w:rsid w:val="00266662"/>
    <w:rsid w:val="00267D76"/>
    <w:rsid w:val="0027130D"/>
    <w:rsid w:val="002746C7"/>
    <w:rsid w:val="00274890"/>
    <w:rsid w:val="00276089"/>
    <w:rsid w:val="002765C4"/>
    <w:rsid w:val="00277025"/>
    <w:rsid w:val="0028049A"/>
    <w:rsid w:val="00280631"/>
    <w:rsid w:val="00281F07"/>
    <w:rsid w:val="002820D9"/>
    <w:rsid w:val="00282647"/>
    <w:rsid w:val="0028337F"/>
    <w:rsid w:val="00284466"/>
    <w:rsid w:val="002874CC"/>
    <w:rsid w:val="0029050B"/>
    <w:rsid w:val="00292FAD"/>
    <w:rsid w:val="0029427C"/>
    <w:rsid w:val="0029458C"/>
    <w:rsid w:val="002947EC"/>
    <w:rsid w:val="00294D84"/>
    <w:rsid w:val="00296B8F"/>
    <w:rsid w:val="002979A6"/>
    <w:rsid w:val="002A147C"/>
    <w:rsid w:val="002A4A18"/>
    <w:rsid w:val="002A545D"/>
    <w:rsid w:val="002A5807"/>
    <w:rsid w:val="002A7BF5"/>
    <w:rsid w:val="002B2A26"/>
    <w:rsid w:val="002B3BD6"/>
    <w:rsid w:val="002B65B3"/>
    <w:rsid w:val="002B7C61"/>
    <w:rsid w:val="002C09E2"/>
    <w:rsid w:val="002C1BAF"/>
    <w:rsid w:val="002C5745"/>
    <w:rsid w:val="002C5E6C"/>
    <w:rsid w:val="002C658A"/>
    <w:rsid w:val="002D05F6"/>
    <w:rsid w:val="002D17E9"/>
    <w:rsid w:val="002D3F18"/>
    <w:rsid w:val="002D40BE"/>
    <w:rsid w:val="002D412D"/>
    <w:rsid w:val="002D5DF9"/>
    <w:rsid w:val="002D748E"/>
    <w:rsid w:val="002E0071"/>
    <w:rsid w:val="002E15A8"/>
    <w:rsid w:val="002E25A1"/>
    <w:rsid w:val="002E3795"/>
    <w:rsid w:val="002E3C6B"/>
    <w:rsid w:val="002E4DFE"/>
    <w:rsid w:val="002E5296"/>
    <w:rsid w:val="002E73BA"/>
    <w:rsid w:val="002E74CC"/>
    <w:rsid w:val="002F313E"/>
    <w:rsid w:val="002F32AA"/>
    <w:rsid w:val="002F5B28"/>
    <w:rsid w:val="002F7838"/>
    <w:rsid w:val="00300DBE"/>
    <w:rsid w:val="003025DC"/>
    <w:rsid w:val="00302C05"/>
    <w:rsid w:val="0030311D"/>
    <w:rsid w:val="003036F4"/>
    <w:rsid w:val="00303A5E"/>
    <w:rsid w:val="00303E4D"/>
    <w:rsid w:val="00304E2F"/>
    <w:rsid w:val="00307A8A"/>
    <w:rsid w:val="00310470"/>
    <w:rsid w:val="00311D63"/>
    <w:rsid w:val="00312D9B"/>
    <w:rsid w:val="00314A3F"/>
    <w:rsid w:val="003153B1"/>
    <w:rsid w:val="0031581A"/>
    <w:rsid w:val="00317173"/>
    <w:rsid w:val="003171AA"/>
    <w:rsid w:val="00317746"/>
    <w:rsid w:val="00320313"/>
    <w:rsid w:val="0032231F"/>
    <w:rsid w:val="0032270E"/>
    <w:rsid w:val="00322AC9"/>
    <w:rsid w:val="00323E3E"/>
    <w:rsid w:val="003246BC"/>
    <w:rsid w:val="00326AC8"/>
    <w:rsid w:val="00326BF1"/>
    <w:rsid w:val="00326DDB"/>
    <w:rsid w:val="00330402"/>
    <w:rsid w:val="003319D3"/>
    <w:rsid w:val="00335CA8"/>
    <w:rsid w:val="00335EDF"/>
    <w:rsid w:val="003370A7"/>
    <w:rsid w:val="00337FD7"/>
    <w:rsid w:val="00340913"/>
    <w:rsid w:val="00341241"/>
    <w:rsid w:val="00344959"/>
    <w:rsid w:val="00345038"/>
    <w:rsid w:val="00346D60"/>
    <w:rsid w:val="00347B39"/>
    <w:rsid w:val="0035012C"/>
    <w:rsid w:val="00351217"/>
    <w:rsid w:val="003518C2"/>
    <w:rsid w:val="00351C2D"/>
    <w:rsid w:val="003521FB"/>
    <w:rsid w:val="00353402"/>
    <w:rsid w:val="003537E0"/>
    <w:rsid w:val="00354A8A"/>
    <w:rsid w:val="00355C77"/>
    <w:rsid w:val="00357989"/>
    <w:rsid w:val="003604D7"/>
    <w:rsid w:val="00363B9A"/>
    <w:rsid w:val="00364835"/>
    <w:rsid w:val="00364C86"/>
    <w:rsid w:val="003650F0"/>
    <w:rsid w:val="00370120"/>
    <w:rsid w:val="0037211E"/>
    <w:rsid w:val="00376D9F"/>
    <w:rsid w:val="00377EAD"/>
    <w:rsid w:val="003814D8"/>
    <w:rsid w:val="00381AB1"/>
    <w:rsid w:val="00383079"/>
    <w:rsid w:val="00383E1D"/>
    <w:rsid w:val="00384378"/>
    <w:rsid w:val="003850EC"/>
    <w:rsid w:val="00385224"/>
    <w:rsid w:val="0038576F"/>
    <w:rsid w:val="00386CB3"/>
    <w:rsid w:val="00386F6C"/>
    <w:rsid w:val="0039061C"/>
    <w:rsid w:val="00391DB6"/>
    <w:rsid w:val="00392224"/>
    <w:rsid w:val="0039396C"/>
    <w:rsid w:val="00394B78"/>
    <w:rsid w:val="00395247"/>
    <w:rsid w:val="00396101"/>
    <w:rsid w:val="0039678C"/>
    <w:rsid w:val="00397D5C"/>
    <w:rsid w:val="003A09CB"/>
    <w:rsid w:val="003A4F13"/>
    <w:rsid w:val="003A600A"/>
    <w:rsid w:val="003A6137"/>
    <w:rsid w:val="003A7EFA"/>
    <w:rsid w:val="003B0023"/>
    <w:rsid w:val="003B24F5"/>
    <w:rsid w:val="003B3194"/>
    <w:rsid w:val="003B4B59"/>
    <w:rsid w:val="003B5BF7"/>
    <w:rsid w:val="003B5F40"/>
    <w:rsid w:val="003B615D"/>
    <w:rsid w:val="003B6762"/>
    <w:rsid w:val="003B678E"/>
    <w:rsid w:val="003B6E21"/>
    <w:rsid w:val="003B77A2"/>
    <w:rsid w:val="003B7C3D"/>
    <w:rsid w:val="003C0016"/>
    <w:rsid w:val="003C0757"/>
    <w:rsid w:val="003C1D0C"/>
    <w:rsid w:val="003C204C"/>
    <w:rsid w:val="003C23A7"/>
    <w:rsid w:val="003C33FE"/>
    <w:rsid w:val="003C6B07"/>
    <w:rsid w:val="003C77A5"/>
    <w:rsid w:val="003D0403"/>
    <w:rsid w:val="003D061F"/>
    <w:rsid w:val="003D10A3"/>
    <w:rsid w:val="003D2408"/>
    <w:rsid w:val="003D3FC9"/>
    <w:rsid w:val="003D3FD8"/>
    <w:rsid w:val="003D48EE"/>
    <w:rsid w:val="003D52D9"/>
    <w:rsid w:val="003D6E2D"/>
    <w:rsid w:val="003D7377"/>
    <w:rsid w:val="003D7537"/>
    <w:rsid w:val="003E18FB"/>
    <w:rsid w:val="003E197E"/>
    <w:rsid w:val="003E2D6D"/>
    <w:rsid w:val="003E4CDF"/>
    <w:rsid w:val="003E4F6C"/>
    <w:rsid w:val="003E53C2"/>
    <w:rsid w:val="003E54B5"/>
    <w:rsid w:val="003E58FD"/>
    <w:rsid w:val="003E5AE2"/>
    <w:rsid w:val="003E63C0"/>
    <w:rsid w:val="003F0492"/>
    <w:rsid w:val="003F0CE1"/>
    <w:rsid w:val="003F308E"/>
    <w:rsid w:val="003F3481"/>
    <w:rsid w:val="003F429D"/>
    <w:rsid w:val="003F53C7"/>
    <w:rsid w:val="003F5741"/>
    <w:rsid w:val="003F5AC7"/>
    <w:rsid w:val="003F6456"/>
    <w:rsid w:val="003F6D1C"/>
    <w:rsid w:val="003F7E2B"/>
    <w:rsid w:val="004011B4"/>
    <w:rsid w:val="004015C7"/>
    <w:rsid w:val="00401AFC"/>
    <w:rsid w:val="0040221B"/>
    <w:rsid w:val="0040243A"/>
    <w:rsid w:val="0040284C"/>
    <w:rsid w:val="00403177"/>
    <w:rsid w:val="00403FC3"/>
    <w:rsid w:val="00404A1E"/>
    <w:rsid w:val="00405023"/>
    <w:rsid w:val="0040527E"/>
    <w:rsid w:val="00406F06"/>
    <w:rsid w:val="00407BEC"/>
    <w:rsid w:val="004135AE"/>
    <w:rsid w:val="00415012"/>
    <w:rsid w:val="004162A7"/>
    <w:rsid w:val="00417846"/>
    <w:rsid w:val="00420B81"/>
    <w:rsid w:val="0042292B"/>
    <w:rsid w:val="0042347D"/>
    <w:rsid w:val="00424628"/>
    <w:rsid w:val="004254AC"/>
    <w:rsid w:val="004263EB"/>
    <w:rsid w:val="0043165D"/>
    <w:rsid w:val="00431A1D"/>
    <w:rsid w:val="0043237D"/>
    <w:rsid w:val="00432E18"/>
    <w:rsid w:val="0043344C"/>
    <w:rsid w:val="00436949"/>
    <w:rsid w:val="00436BD5"/>
    <w:rsid w:val="0043700D"/>
    <w:rsid w:val="00437176"/>
    <w:rsid w:val="00440D7C"/>
    <w:rsid w:val="00441355"/>
    <w:rsid w:val="00441B6A"/>
    <w:rsid w:val="00441FE0"/>
    <w:rsid w:val="00442443"/>
    <w:rsid w:val="00442870"/>
    <w:rsid w:val="004434E0"/>
    <w:rsid w:val="00443A11"/>
    <w:rsid w:val="0044440D"/>
    <w:rsid w:val="0044502B"/>
    <w:rsid w:val="00445A48"/>
    <w:rsid w:val="00446416"/>
    <w:rsid w:val="00447AD2"/>
    <w:rsid w:val="00450631"/>
    <w:rsid w:val="00451A28"/>
    <w:rsid w:val="004526A0"/>
    <w:rsid w:val="0045312B"/>
    <w:rsid w:val="00453A98"/>
    <w:rsid w:val="00453ABC"/>
    <w:rsid w:val="004545C5"/>
    <w:rsid w:val="004567AE"/>
    <w:rsid w:val="0045782B"/>
    <w:rsid w:val="00457B55"/>
    <w:rsid w:val="00460085"/>
    <w:rsid w:val="00460F88"/>
    <w:rsid w:val="004615AB"/>
    <w:rsid w:val="00461A39"/>
    <w:rsid w:val="004634DB"/>
    <w:rsid w:val="00464490"/>
    <w:rsid w:val="00474709"/>
    <w:rsid w:val="004761D7"/>
    <w:rsid w:val="00476467"/>
    <w:rsid w:val="00477D47"/>
    <w:rsid w:val="00483416"/>
    <w:rsid w:val="00483FF9"/>
    <w:rsid w:val="0048467C"/>
    <w:rsid w:val="004849AB"/>
    <w:rsid w:val="00486810"/>
    <w:rsid w:val="0049076F"/>
    <w:rsid w:val="00490F20"/>
    <w:rsid w:val="00492FC4"/>
    <w:rsid w:val="0049314B"/>
    <w:rsid w:val="004946E3"/>
    <w:rsid w:val="00494DB5"/>
    <w:rsid w:val="00495181"/>
    <w:rsid w:val="00495BF9"/>
    <w:rsid w:val="004A58E0"/>
    <w:rsid w:val="004A638A"/>
    <w:rsid w:val="004A76BD"/>
    <w:rsid w:val="004B07B9"/>
    <w:rsid w:val="004B1034"/>
    <w:rsid w:val="004B1C07"/>
    <w:rsid w:val="004B2669"/>
    <w:rsid w:val="004B3A5D"/>
    <w:rsid w:val="004B417D"/>
    <w:rsid w:val="004B44FE"/>
    <w:rsid w:val="004B5F56"/>
    <w:rsid w:val="004C0146"/>
    <w:rsid w:val="004C0A5B"/>
    <w:rsid w:val="004C1A0B"/>
    <w:rsid w:val="004C3981"/>
    <w:rsid w:val="004C54F3"/>
    <w:rsid w:val="004C5757"/>
    <w:rsid w:val="004C57B6"/>
    <w:rsid w:val="004C5B12"/>
    <w:rsid w:val="004C7FDE"/>
    <w:rsid w:val="004D07EE"/>
    <w:rsid w:val="004D1BD3"/>
    <w:rsid w:val="004D225E"/>
    <w:rsid w:val="004D3FAD"/>
    <w:rsid w:val="004D44B5"/>
    <w:rsid w:val="004D63E7"/>
    <w:rsid w:val="004E037D"/>
    <w:rsid w:val="004E08A4"/>
    <w:rsid w:val="004E15F6"/>
    <w:rsid w:val="004E3703"/>
    <w:rsid w:val="004E4349"/>
    <w:rsid w:val="004E56A7"/>
    <w:rsid w:val="004E5BCC"/>
    <w:rsid w:val="004E5D37"/>
    <w:rsid w:val="004E702B"/>
    <w:rsid w:val="004E7642"/>
    <w:rsid w:val="004F0DE5"/>
    <w:rsid w:val="004F4FB4"/>
    <w:rsid w:val="004F5C31"/>
    <w:rsid w:val="004F6A0A"/>
    <w:rsid w:val="004F7C48"/>
    <w:rsid w:val="0050011C"/>
    <w:rsid w:val="00500158"/>
    <w:rsid w:val="00503984"/>
    <w:rsid w:val="00503986"/>
    <w:rsid w:val="00503A76"/>
    <w:rsid w:val="00507984"/>
    <w:rsid w:val="0051700B"/>
    <w:rsid w:val="00517CA6"/>
    <w:rsid w:val="00521F4E"/>
    <w:rsid w:val="00522159"/>
    <w:rsid w:val="0052231D"/>
    <w:rsid w:val="00523F29"/>
    <w:rsid w:val="00532A18"/>
    <w:rsid w:val="00532E4F"/>
    <w:rsid w:val="00533C7F"/>
    <w:rsid w:val="00535010"/>
    <w:rsid w:val="0053526B"/>
    <w:rsid w:val="00535873"/>
    <w:rsid w:val="005364F7"/>
    <w:rsid w:val="00537827"/>
    <w:rsid w:val="00541066"/>
    <w:rsid w:val="005415D4"/>
    <w:rsid w:val="00546C97"/>
    <w:rsid w:val="0055041C"/>
    <w:rsid w:val="00550703"/>
    <w:rsid w:val="0055079E"/>
    <w:rsid w:val="00550E78"/>
    <w:rsid w:val="005543DC"/>
    <w:rsid w:val="005555A1"/>
    <w:rsid w:val="00556AA6"/>
    <w:rsid w:val="00557C91"/>
    <w:rsid w:val="00557E87"/>
    <w:rsid w:val="00561E02"/>
    <w:rsid w:val="00563017"/>
    <w:rsid w:val="005633A7"/>
    <w:rsid w:val="005637C0"/>
    <w:rsid w:val="00565333"/>
    <w:rsid w:val="0056646A"/>
    <w:rsid w:val="0056666F"/>
    <w:rsid w:val="005702E2"/>
    <w:rsid w:val="00570440"/>
    <w:rsid w:val="00570D36"/>
    <w:rsid w:val="00571C79"/>
    <w:rsid w:val="00572359"/>
    <w:rsid w:val="00572E5E"/>
    <w:rsid w:val="005769B6"/>
    <w:rsid w:val="0058178B"/>
    <w:rsid w:val="00582633"/>
    <w:rsid w:val="0058386F"/>
    <w:rsid w:val="00583A55"/>
    <w:rsid w:val="00586DBB"/>
    <w:rsid w:val="00586DDF"/>
    <w:rsid w:val="00587BE3"/>
    <w:rsid w:val="0059015F"/>
    <w:rsid w:val="00590372"/>
    <w:rsid w:val="00591991"/>
    <w:rsid w:val="00591A15"/>
    <w:rsid w:val="00591DA7"/>
    <w:rsid w:val="00591DBC"/>
    <w:rsid w:val="00593458"/>
    <w:rsid w:val="00594D5C"/>
    <w:rsid w:val="0059505B"/>
    <w:rsid w:val="00597035"/>
    <w:rsid w:val="005970F3"/>
    <w:rsid w:val="005A2670"/>
    <w:rsid w:val="005A6B2D"/>
    <w:rsid w:val="005A6DCE"/>
    <w:rsid w:val="005A72C2"/>
    <w:rsid w:val="005B01BE"/>
    <w:rsid w:val="005B0381"/>
    <w:rsid w:val="005B3007"/>
    <w:rsid w:val="005B4C95"/>
    <w:rsid w:val="005B738B"/>
    <w:rsid w:val="005C0514"/>
    <w:rsid w:val="005C11F7"/>
    <w:rsid w:val="005C38AF"/>
    <w:rsid w:val="005D17DB"/>
    <w:rsid w:val="005D19D5"/>
    <w:rsid w:val="005D1C04"/>
    <w:rsid w:val="005D4641"/>
    <w:rsid w:val="005D5794"/>
    <w:rsid w:val="005D5946"/>
    <w:rsid w:val="005D60D1"/>
    <w:rsid w:val="005D78CC"/>
    <w:rsid w:val="005E0732"/>
    <w:rsid w:val="005E283F"/>
    <w:rsid w:val="005E3EC2"/>
    <w:rsid w:val="005E53FD"/>
    <w:rsid w:val="005E5A28"/>
    <w:rsid w:val="005E66C3"/>
    <w:rsid w:val="005E6A36"/>
    <w:rsid w:val="005E76C1"/>
    <w:rsid w:val="005F0D2A"/>
    <w:rsid w:val="005F1F84"/>
    <w:rsid w:val="005F34BE"/>
    <w:rsid w:val="005F3D38"/>
    <w:rsid w:val="005F5CB3"/>
    <w:rsid w:val="005F6D9F"/>
    <w:rsid w:val="005F7F4C"/>
    <w:rsid w:val="00602885"/>
    <w:rsid w:val="00602951"/>
    <w:rsid w:val="006031D5"/>
    <w:rsid w:val="00604506"/>
    <w:rsid w:val="00610350"/>
    <w:rsid w:val="00612F7F"/>
    <w:rsid w:val="00613B3A"/>
    <w:rsid w:val="00614F8C"/>
    <w:rsid w:val="0061508F"/>
    <w:rsid w:val="006159DD"/>
    <w:rsid w:val="00615B5B"/>
    <w:rsid w:val="006174D3"/>
    <w:rsid w:val="00621E0A"/>
    <w:rsid w:val="00622FDC"/>
    <w:rsid w:val="0062560F"/>
    <w:rsid w:val="00626C98"/>
    <w:rsid w:val="00630E36"/>
    <w:rsid w:val="00631626"/>
    <w:rsid w:val="00631E86"/>
    <w:rsid w:val="00632526"/>
    <w:rsid w:val="006325FB"/>
    <w:rsid w:val="00633969"/>
    <w:rsid w:val="00633D7A"/>
    <w:rsid w:val="00634A30"/>
    <w:rsid w:val="00634CDC"/>
    <w:rsid w:val="006358A3"/>
    <w:rsid w:val="006373CD"/>
    <w:rsid w:val="00637790"/>
    <w:rsid w:val="006378F7"/>
    <w:rsid w:val="0064054A"/>
    <w:rsid w:val="006406FD"/>
    <w:rsid w:val="00642190"/>
    <w:rsid w:val="00643A74"/>
    <w:rsid w:val="00643EA0"/>
    <w:rsid w:val="006440EF"/>
    <w:rsid w:val="00644A3B"/>
    <w:rsid w:val="00645786"/>
    <w:rsid w:val="00646E1A"/>
    <w:rsid w:val="0064729E"/>
    <w:rsid w:val="006503B8"/>
    <w:rsid w:val="00650C82"/>
    <w:rsid w:val="00656BAF"/>
    <w:rsid w:val="00656D0E"/>
    <w:rsid w:val="00657FB0"/>
    <w:rsid w:val="006612F0"/>
    <w:rsid w:val="00661EB5"/>
    <w:rsid w:val="0066246D"/>
    <w:rsid w:val="00662DF8"/>
    <w:rsid w:val="00664E1F"/>
    <w:rsid w:val="006656AD"/>
    <w:rsid w:val="00667313"/>
    <w:rsid w:val="0067016B"/>
    <w:rsid w:val="00672823"/>
    <w:rsid w:val="00672B72"/>
    <w:rsid w:val="00672D8F"/>
    <w:rsid w:val="00672F5C"/>
    <w:rsid w:val="0067345A"/>
    <w:rsid w:val="006762D5"/>
    <w:rsid w:val="00677038"/>
    <w:rsid w:val="00677358"/>
    <w:rsid w:val="00680BF5"/>
    <w:rsid w:val="006813E3"/>
    <w:rsid w:val="00682CC0"/>
    <w:rsid w:val="006835F1"/>
    <w:rsid w:val="00684C18"/>
    <w:rsid w:val="00684DF5"/>
    <w:rsid w:val="006865B0"/>
    <w:rsid w:val="0068732E"/>
    <w:rsid w:val="00690D53"/>
    <w:rsid w:val="006911AB"/>
    <w:rsid w:val="00691843"/>
    <w:rsid w:val="0069238F"/>
    <w:rsid w:val="00692697"/>
    <w:rsid w:val="00693A07"/>
    <w:rsid w:val="00693D84"/>
    <w:rsid w:val="006940ED"/>
    <w:rsid w:val="00694991"/>
    <w:rsid w:val="00695C15"/>
    <w:rsid w:val="0069682E"/>
    <w:rsid w:val="006A40E5"/>
    <w:rsid w:val="006A42A8"/>
    <w:rsid w:val="006A4A57"/>
    <w:rsid w:val="006A60E1"/>
    <w:rsid w:val="006A64BE"/>
    <w:rsid w:val="006A68FD"/>
    <w:rsid w:val="006A6F1C"/>
    <w:rsid w:val="006A708F"/>
    <w:rsid w:val="006B06D6"/>
    <w:rsid w:val="006B5F90"/>
    <w:rsid w:val="006B7375"/>
    <w:rsid w:val="006B7399"/>
    <w:rsid w:val="006C0034"/>
    <w:rsid w:val="006C01DB"/>
    <w:rsid w:val="006C1B85"/>
    <w:rsid w:val="006C5251"/>
    <w:rsid w:val="006C65CD"/>
    <w:rsid w:val="006C6BCA"/>
    <w:rsid w:val="006C721D"/>
    <w:rsid w:val="006D1607"/>
    <w:rsid w:val="006D1EDC"/>
    <w:rsid w:val="006D2B1C"/>
    <w:rsid w:val="006D46BD"/>
    <w:rsid w:val="006D4C91"/>
    <w:rsid w:val="006D54BF"/>
    <w:rsid w:val="006D5A64"/>
    <w:rsid w:val="006D6EF4"/>
    <w:rsid w:val="006D7BEE"/>
    <w:rsid w:val="006E2683"/>
    <w:rsid w:val="006E33FF"/>
    <w:rsid w:val="006E34B6"/>
    <w:rsid w:val="006E3C49"/>
    <w:rsid w:val="006E4C21"/>
    <w:rsid w:val="006E6834"/>
    <w:rsid w:val="006E7EAC"/>
    <w:rsid w:val="006E7FB5"/>
    <w:rsid w:val="006F1519"/>
    <w:rsid w:val="006F36D5"/>
    <w:rsid w:val="006F48FD"/>
    <w:rsid w:val="00700A65"/>
    <w:rsid w:val="00701936"/>
    <w:rsid w:val="00701F31"/>
    <w:rsid w:val="0070575A"/>
    <w:rsid w:val="007124EF"/>
    <w:rsid w:val="00712530"/>
    <w:rsid w:val="007159C0"/>
    <w:rsid w:val="007164E4"/>
    <w:rsid w:val="00716BFD"/>
    <w:rsid w:val="00717348"/>
    <w:rsid w:val="00717B80"/>
    <w:rsid w:val="00720598"/>
    <w:rsid w:val="00721771"/>
    <w:rsid w:val="00721913"/>
    <w:rsid w:val="007229D5"/>
    <w:rsid w:val="007237D6"/>
    <w:rsid w:val="00724C7C"/>
    <w:rsid w:val="00725921"/>
    <w:rsid w:val="00726A35"/>
    <w:rsid w:val="007306B2"/>
    <w:rsid w:val="0073226E"/>
    <w:rsid w:val="007358FA"/>
    <w:rsid w:val="00743380"/>
    <w:rsid w:val="00744387"/>
    <w:rsid w:val="007445E8"/>
    <w:rsid w:val="00744748"/>
    <w:rsid w:val="00745B45"/>
    <w:rsid w:val="00745EF0"/>
    <w:rsid w:val="00746E35"/>
    <w:rsid w:val="007476CC"/>
    <w:rsid w:val="007500DA"/>
    <w:rsid w:val="00753077"/>
    <w:rsid w:val="00756306"/>
    <w:rsid w:val="00756FBB"/>
    <w:rsid w:val="0076114B"/>
    <w:rsid w:val="0076153E"/>
    <w:rsid w:val="007616F5"/>
    <w:rsid w:val="00761A8D"/>
    <w:rsid w:val="00761E8C"/>
    <w:rsid w:val="00762BD7"/>
    <w:rsid w:val="007645C2"/>
    <w:rsid w:val="00764698"/>
    <w:rsid w:val="00766610"/>
    <w:rsid w:val="00767337"/>
    <w:rsid w:val="00767D02"/>
    <w:rsid w:val="00772B47"/>
    <w:rsid w:val="007730E5"/>
    <w:rsid w:val="007733D8"/>
    <w:rsid w:val="00773EA5"/>
    <w:rsid w:val="00774233"/>
    <w:rsid w:val="007765C2"/>
    <w:rsid w:val="00777CE2"/>
    <w:rsid w:val="007819E2"/>
    <w:rsid w:val="00781C27"/>
    <w:rsid w:val="00781F44"/>
    <w:rsid w:val="00782557"/>
    <w:rsid w:val="00786071"/>
    <w:rsid w:val="00786B20"/>
    <w:rsid w:val="00787312"/>
    <w:rsid w:val="007901BF"/>
    <w:rsid w:val="00791A8A"/>
    <w:rsid w:val="0079227C"/>
    <w:rsid w:val="00793D77"/>
    <w:rsid w:val="00794B5C"/>
    <w:rsid w:val="00795E44"/>
    <w:rsid w:val="0079610E"/>
    <w:rsid w:val="007961E0"/>
    <w:rsid w:val="007967CE"/>
    <w:rsid w:val="00796834"/>
    <w:rsid w:val="00796D36"/>
    <w:rsid w:val="00797D37"/>
    <w:rsid w:val="007A2760"/>
    <w:rsid w:val="007A2EDB"/>
    <w:rsid w:val="007A3B9E"/>
    <w:rsid w:val="007A3D45"/>
    <w:rsid w:val="007A5E55"/>
    <w:rsid w:val="007A5F8B"/>
    <w:rsid w:val="007A6938"/>
    <w:rsid w:val="007A7063"/>
    <w:rsid w:val="007B0C43"/>
    <w:rsid w:val="007B0DC4"/>
    <w:rsid w:val="007B0F4B"/>
    <w:rsid w:val="007B2B4D"/>
    <w:rsid w:val="007B3030"/>
    <w:rsid w:val="007B4E1F"/>
    <w:rsid w:val="007B7116"/>
    <w:rsid w:val="007C01D2"/>
    <w:rsid w:val="007C05B9"/>
    <w:rsid w:val="007C1463"/>
    <w:rsid w:val="007C3E56"/>
    <w:rsid w:val="007C43A0"/>
    <w:rsid w:val="007C44E5"/>
    <w:rsid w:val="007C5040"/>
    <w:rsid w:val="007C6BDC"/>
    <w:rsid w:val="007D13A0"/>
    <w:rsid w:val="007D1A4B"/>
    <w:rsid w:val="007D2D99"/>
    <w:rsid w:val="007D2E54"/>
    <w:rsid w:val="007D50B6"/>
    <w:rsid w:val="007D5D6A"/>
    <w:rsid w:val="007D65B6"/>
    <w:rsid w:val="007D67D4"/>
    <w:rsid w:val="007D6D80"/>
    <w:rsid w:val="007E0B94"/>
    <w:rsid w:val="007E1589"/>
    <w:rsid w:val="007E2340"/>
    <w:rsid w:val="007E553A"/>
    <w:rsid w:val="007E70B5"/>
    <w:rsid w:val="007F0F6B"/>
    <w:rsid w:val="007F10C6"/>
    <w:rsid w:val="007F18B1"/>
    <w:rsid w:val="007F1AE6"/>
    <w:rsid w:val="007F27D4"/>
    <w:rsid w:val="007F28E9"/>
    <w:rsid w:val="007F2D23"/>
    <w:rsid w:val="007F4DD8"/>
    <w:rsid w:val="007F64C9"/>
    <w:rsid w:val="00800753"/>
    <w:rsid w:val="00802946"/>
    <w:rsid w:val="00806934"/>
    <w:rsid w:val="00810392"/>
    <w:rsid w:val="0081135D"/>
    <w:rsid w:val="0081355D"/>
    <w:rsid w:val="008144A6"/>
    <w:rsid w:val="008160DC"/>
    <w:rsid w:val="0081649E"/>
    <w:rsid w:val="008171DB"/>
    <w:rsid w:val="00820316"/>
    <w:rsid w:val="008206D2"/>
    <w:rsid w:val="00821075"/>
    <w:rsid w:val="008216D9"/>
    <w:rsid w:val="00821CEF"/>
    <w:rsid w:val="0082318F"/>
    <w:rsid w:val="00823B2D"/>
    <w:rsid w:val="00825EBA"/>
    <w:rsid w:val="0083127B"/>
    <w:rsid w:val="0083269C"/>
    <w:rsid w:val="00833356"/>
    <w:rsid w:val="0083485F"/>
    <w:rsid w:val="00834C9A"/>
    <w:rsid w:val="008355CE"/>
    <w:rsid w:val="0083685D"/>
    <w:rsid w:val="00837A72"/>
    <w:rsid w:val="0084038C"/>
    <w:rsid w:val="00841809"/>
    <w:rsid w:val="00841B6D"/>
    <w:rsid w:val="00844E4C"/>
    <w:rsid w:val="008458CE"/>
    <w:rsid w:val="00847005"/>
    <w:rsid w:val="008476F1"/>
    <w:rsid w:val="00850CD0"/>
    <w:rsid w:val="00850EB2"/>
    <w:rsid w:val="00851324"/>
    <w:rsid w:val="008525CE"/>
    <w:rsid w:val="00852AC6"/>
    <w:rsid w:val="00854840"/>
    <w:rsid w:val="0085647D"/>
    <w:rsid w:val="00856661"/>
    <w:rsid w:val="0086034B"/>
    <w:rsid w:val="008603BC"/>
    <w:rsid w:val="0086073E"/>
    <w:rsid w:val="00861205"/>
    <w:rsid w:val="00861925"/>
    <w:rsid w:val="008638E1"/>
    <w:rsid w:val="00864210"/>
    <w:rsid w:val="00864CB2"/>
    <w:rsid w:val="00865B89"/>
    <w:rsid w:val="008671BA"/>
    <w:rsid w:val="00871ADE"/>
    <w:rsid w:val="008756FD"/>
    <w:rsid w:val="008778A9"/>
    <w:rsid w:val="00877E15"/>
    <w:rsid w:val="008825D2"/>
    <w:rsid w:val="00882C9C"/>
    <w:rsid w:val="00883556"/>
    <w:rsid w:val="00883762"/>
    <w:rsid w:val="00883905"/>
    <w:rsid w:val="00886750"/>
    <w:rsid w:val="00887EAA"/>
    <w:rsid w:val="008915B3"/>
    <w:rsid w:val="00892B0C"/>
    <w:rsid w:val="00892DFA"/>
    <w:rsid w:val="00894565"/>
    <w:rsid w:val="00894845"/>
    <w:rsid w:val="008964AE"/>
    <w:rsid w:val="00897797"/>
    <w:rsid w:val="008A05AA"/>
    <w:rsid w:val="008A16A4"/>
    <w:rsid w:val="008A373D"/>
    <w:rsid w:val="008A3FEB"/>
    <w:rsid w:val="008A49E9"/>
    <w:rsid w:val="008A54DD"/>
    <w:rsid w:val="008A5541"/>
    <w:rsid w:val="008A5CA0"/>
    <w:rsid w:val="008A6C0E"/>
    <w:rsid w:val="008A761E"/>
    <w:rsid w:val="008B0585"/>
    <w:rsid w:val="008B0B31"/>
    <w:rsid w:val="008B1397"/>
    <w:rsid w:val="008B37D4"/>
    <w:rsid w:val="008B4A33"/>
    <w:rsid w:val="008B4BF6"/>
    <w:rsid w:val="008B5394"/>
    <w:rsid w:val="008C04A7"/>
    <w:rsid w:val="008C09DA"/>
    <w:rsid w:val="008C213A"/>
    <w:rsid w:val="008C2818"/>
    <w:rsid w:val="008C3AD1"/>
    <w:rsid w:val="008C3F1D"/>
    <w:rsid w:val="008C4B2E"/>
    <w:rsid w:val="008C4B66"/>
    <w:rsid w:val="008C7AE8"/>
    <w:rsid w:val="008D02AA"/>
    <w:rsid w:val="008D04CC"/>
    <w:rsid w:val="008D1B84"/>
    <w:rsid w:val="008D1D0F"/>
    <w:rsid w:val="008D38FA"/>
    <w:rsid w:val="008D5FD9"/>
    <w:rsid w:val="008D60CE"/>
    <w:rsid w:val="008D7642"/>
    <w:rsid w:val="008D79C9"/>
    <w:rsid w:val="008E1654"/>
    <w:rsid w:val="008E1A29"/>
    <w:rsid w:val="008E4A70"/>
    <w:rsid w:val="008E61C8"/>
    <w:rsid w:val="008E6B62"/>
    <w:rsid w:val="008F0F70"/>
    <w:rsid w:val="008F10F2"/>
    <w:rsid w:val="008F1490"/>
    <w:rsid w:val="008F2339"/>
    <w:rsid w:val="008F2E3B"/>
    <w:rsid w:val="008F367F"/>
    <w:rsid w:val="008F3D7B"/>
    <w:rsid w:val="008F6362"/>
    <w:rsid w:val="008F7D87"/>
    <w:rsid w:val="00901C8E"/>
    <w:rsid w:val="00902080"/>
    <w:rsid w:val="00902CDD"/>
    <w:rsid w:val="00903B57"/>
    <w:rsid w:val="009042C7"/>
    <w:rsid w:val="0090438E"/>
    <w:rsid w:val="009062CE"/>
    <w:rsid w:val="00906B65"/>
    <w:rsid w:val="00910380"/>
    <w:rsid w:val="00912C31"/>
    <w:rsid w:val="0091535B"/>
    <w:rsid w:val="0091570F"/>
    <w:rsid w:val="00915720"/>
    <w:rsid w:val="00916F21"/>
    <w:rsid w:val="00917E43"/>
    <w:rsid w:val="00920CFA"/>
    <w:rsid w:val="00921E50"/>
    <w:rsid w:val="00922A22"/>
    <w:rsid w:val="00922FBA"/>
    <w:rsid w:val="00923D24"/>
    <w:rsid w:val="00924590"/>
    <w:rsid w:val="009250A2"/>
    <w:rsid w:val="00930070"/>
    <w:rsid w:val="009302A8"/>
    <w:rsid w:val="00930530"/>
    <w:rsid w:val="00931217"/>
    <w:rsid w:val="00931BA9"/>
    <w:rsid w:val="0093272E"/>
    <w:rsid w:val="00932C2D"/>
    <w:rsid w:val="00932E13"/>
    <w:rsid w:val="00932E65"/>
    <w:rsid w:val="009341BC"/>
    <w:rsid w:val="0093492C"/>
    <w:rsid w:val="009350F4"/>
    <w:rsid w:val="009352F8"/>
    <w:rsid w:val="00935D90"/>
    <w:rsid w:val="00936B70"/>
    <w:rsid w:val="0093769D"/>
    <w:rsid w:val="0094098E"/>
    <w:rsid w:val="00941BF0"/>
    <w:rsid w:val="00941CD7"/>
    <w:rsid w:val="00943245"/>
    <w:rsid w:val="0094533A"/>
    <w:rsid w:val="00945D01"/>
    <w:rsid w:val="009509C3"/>
    <w:rsid w:val="00955751"/>
    <w:rsid w:val="0095576B"/>
    <w:rsid w:val="00956E6F"/>
    <w:rsid w:val="00960D7E"/>
    <w:rsid w:val="009650C8"/>
    <w:rsid w:val="009650EC"/>
    <w:rsid w:val="00965D7C"/>
    <w:rsid w:val="00971DDB"/>
    <w:rsid w:val="00972EB5"/>
    <w:rsid w:val="00973C28"/>
    <w:rsid w:val="00974A87"/>
    <w:rsid w:val="009763B1"/>
    <w:rsid w:val="00977226"/>
    <w:rsid w:val="00977471"/>
    <w:rsid w:val="00980F99"/>
    <w:rsid w:val="0098181A"/>
    <w:rsid w:val="00982148"/>
    <w:rsid w:val="00983028"/>
    <w:rsid w:val="0098339B"/>
    <w:rsid w:val="009850F8"/>
    <w:rsid w:val="00985147"/>
    <w:rsid w:val="00985DEE"/>
    <w:rsid w:val="0098686E"/>
    <w:rsid w:val="00991853"/>
    <w:rsid w:val="00991A22"/>
    <w:rsid w:val="009920DC"/>
    <w:rsid w:val="00993C4B"/>
    <w:rsid w:val="00994BE2"/>
    <w:rsid w:val="00995B38"/>
    <w:rsid w:val="00996B15"/>
    <w:rsid w:val="009977AE"/>
    <w:rsid w:val="009A06CD"/>
    <w:rsid w:val="009A1824"/>
    <w:rsid w:val="009A1FE9"/>
    <w:rsid w:val="009A2E53"/>
    <w:rsid w:val="009A329D"/>
    <w:rsid w:val="009A4BAE"/>
    <w:rsid w:val="009A6471"/>
    <w:rsid w:val="009A6BDD"/>
    <w:rsid w:val="009A75AA"/>
    <w:rsid w:val="009A75D8"/>
    <w:rsid w:val="009B3C7A"/>
    <w:rsid w:val="009B3D4E"/>
    <w:rsid w:val="009B55EE"/>
    <w:rsid w:val="009C405B"/>
    <w:rsid w:val="009C6374"/>
    <w:rsid w:val="009C7067"/>
    <w:rsid w:val="009C7C45"/>
    <w:rsid w:val="009D0879"/>
    <w:rsid w:val="009D0EE0"/>
    <w:rsid w:val="009D17D1"/>
    <w:rsid w:val="009D32C8"/>
    <w:rsid w:val="009D45F7"/>
    <w:rsid w:val="009D6BE5"/>
    <w:rsid w:val="009D6C4E"/>
    <w:rsid w:val="009D6E59"/>
    <w:rsid w:val="009D7F65"/>
    <w:rsid w:val="009E02DF"/>
    <w:rsid w:val="009E0B0B"/>
    <w:rsid w:val="009E1B74"/>
    <w:rsid w:val="009E333C"/>
    <w:rsid w:val="009E376E"/>
    <w:rsid w:val="009E5896"/>
    <w:rsid w:val="009E5C4C"/>
    <w:rsid w:val="009F067B"/>
    <w:rsid w:val="009F0FB2"/>
    <w:rsid w:val="009F137F"/>
    <w:rsid w:val="009F1946"/>
    <w:rsid w:val="009F1B5F"/>
    <w:rsid w:val="009F295A"/>
    <w:rsid w:val="009F3241"/>
    <w:rsid w:val="009F46F5"/>
    <w:rsid w:val="009F56FD"/>
    <w:rsid w:val="009F5CDC"/>
    <w:rsid w:val="009F6B7C"/>
    <w:rsid w:val="009F6DDF"/>
    <w:rsid w:val="00A0024D"/>
    <w:rsid w:val="00A02FB7"/>
    <w:rsid w:val="00A030FF"/>
    <w:rsid w:val="00A0415A"/>
    <w:rsid w:val="00A04D9D"/>
    <w:rsid w:val="00A05074"/>
    <w:rsid w:val="00A075AD"/>
    <w:rsid w:val="00A12336"/>
    <w:rsid w:val="00A14707"/>
    <w:rsid w:val="00A158E0"/>
    <w:rsid w:val="00A15A72"/>
    <w:rsid w:val="00A160D0"/>
    <w:rsid w:val="00A16894"/>
    <w:rsid w:val="00A2113C"/>
    <w:rsid w:val="00A245F9"/>
    <w:rsid w:val="00A2661B"/>
    <w:rsid w:val="00A273AE"/>
    <w:rsid w:val="00A276B1"/>
    <w:rsid w:val="00A30302"/>
    <w:rsid w:val="00A31322"/>
    <w:rsid w:val="00A31616"/>
    <w:rsid w:val="00A3167A"/>
    <w:rsid w:val="00A321F2"/>
    <w:rsid w:val="00A34365"/>
    <w:rsid w:val="00A346FF"/>
    <w:rsid w:val="00A371C9"/>
    <w:rsid w:val="00A3790C"/>
    <w:rsid w:val="00A40CB5"/>
    <w:rsid w:val="00A41F03"/>
    <w:rsid w:val="00A442AE"/>
    <w:rsid w:val="00A46A94"/>
    <w:rsid w:val="00A47659"/>
    <w:rsid w:val="00A539FD"/>
    <w:rsid w:val="00A550C2"/>
    <w:rsid w:val="00A558FD"/>
    <w:rsid w:val="00A6023C"/>
    <w:rsid w:val="00A620AB"/>
    <w:rsid w:val="00A631AF"/>
    <w:rsid w:val="00A63202"/>
    <w:rsid w:val="00A63E47"/>
    <w:rsid w:val="00A654AB"/>
    <w:rsid w:val="00A657A4"/>
    <w:rsid w:val="00A65E2A"/>
    <w:rsid w:val="00A6604B"/>
    <w:rsid w:val="00A66164"/>
    <w:rsid w:val="00A66B0E"/>
    <w:rsid w:val="00A66DA1"/>
    <w:rsid w:val="00A6796B"/>
    <w:rsid w:val="00A701FC"/>
    <w:rsid w:val="00A751C7"/>
    <w:rsid w:val="00A802B6"/>
    <w:rsid w:val="00A80729"/>
    <w:rsid w:val="00A81954"/>
    <w:rsid w:val="00A823FE"/>
    <w:rsid w:val="00A83448"/>
    <w:rsid w:val="00A83ECE"/>
    <w:rsid w:val="00A85380"/>
    <w:rsid w:val="00A85650"/>
    <w:rsid w:val="00A86416"/>
    <w:rsid w:val="00A866EE"/>
    <w:rsid w:val="00A87B4C"/>
    <w:rsid w:val="00A9080A"/>
    <w:rsid w:val="00A91F9A"/>
    <w:rsid w:val="00A91FD0"/>
    <w:rsid w:val="00A9245A"/>
    <w:rsid w:val="00A93CA0"/>
    <w:rsid w:val="00A96DA0"/>
    <w:rsid w:val="00A970BD"/>
    <w:rsid w:val="00A97A61"/>
    <w:rsid w:val="00AA13AE"/>
    <w:rsid w:val="00AA4068"/>
    <w:rsid w:val="00AA5EB7"/>
    <w:rsid w:val="00AA71E7"/>
    <w:rsid w:val="00AA759C"/>
    <w:rsid w:val="00AA7846"/>
    <w:rsid w:val="00AB1B6C"/>
    <w:rsid w:val="00AB267E"/>
    <w:rsid w:val="00AB36DE"/>
    <w:rsid w:val="00AB49D7"/>
    <w:rsid w:val="00AB74E4"/>
    <w:rsid w:val="00AC1625"/>
    <w:rsid w:val="00AC176F"/>
    <w:rsid w:val="00AC18C0"/>
    <w:rsid w:val="00AC20BB"/>
    <w:rsid w:val="00AC2185"/>
    <w:rsid w:val="00AC473A"/>
    <w:rsid w:val="00AC5FA3"/>
    <w:rsid w:val="00AD2C44"/>
    <w:rsid w:val="00AD3892"/>
    <w:rsid w:val="00AD5086"/>
    <w:rsid w:val="00AD5191"/>
    <w:rsid w:val="00AD5D91"/>
    <w:rsid w:val="00AD60C9"/>
    <w:rsid w:val="00AE0115"/>
    <w:rsid w:val="00AE17C1"/>
    <w:rsid w:val="00AE40CF"/>
    <w:rsid w:val="00AE537A"/>
    <w:rsid w:val="00AF246A"/>
    <w:rsid w:val="00AF47E2"/>
    <w:rsid w:val="00AF5772"/>
    <w:rsid w:val="00AF62E1"/>
    <w:rsid w:val="00AF6327"/>
    <w:rsid w:val="00AF64D4"/>
    <w:rsid w:val="00AF703F"/>
    <w:rsid w:val="00AF789E"/>
    <w:rsid w:val="00B02075"/>
    <w:rsid w:val="00B0208D"/>
    <w:rsid w:val="00B05033"/>
    <w:rsid w:val="00B05124"/>
    <w:rsid w:val="00B07B3E"/>
    <w:rsid w:val="00B109B7"/>
    <w:rsid w:val="00B10C10"/>
    <w:rsid w:val="00B10C55"/>
    <w:rsid w:val="00B113E6"/>
    <w:rsid w:val="00B1207E"/>
    <w:rsid w:val="00B12784"/>
    <w:rsid w:val="00B13113"/>
    <w:rsid w:val="00B145D2"/>
    <w:rsid w:val="00B14863"/>
    <w:rsid w:val="00B172BC"/>
    <w:rsid w:val="00B17436"/>
    <w:rsid w:val="00B17532"/>
    <w:rsid w:val="00B2662F"/>
    <w:rsid w:val="00B272AB"/>
    <w:rsid w:val="00B272D9"/>
    <w:rsid w:val="00B27ABC"/>
    <w:rsid w:val="00B34372"/>
    <w:rsid w:val="00B34AC7"/>
    <w:rsid w:val="00B34C62"/>
    <w:rsid w:val="00B37521"/>
    <w:rsid w:val="00B40538"/>
    <w:rsid w:val="00B413F1"/>
    <w:rsid w:val="00B41C80"/>
    <w:rsid w:val="00B41D09"/>
    <w:rsid w:val="00B4324F"/>
    <w:rsid w:val="00B46DA0"/>
    <w:rsid w:val="00B51BB1"/>
    <w:rsid w:val="00B51C34"/>
    <w:rsid w:val="00B5276C"/>
    <w:rsid w:val="00B53355"/>
    <w:rsid w:val="00B54F4C"/>
    <w:rsid w:val="00B555B5"/>
    <w:rsid w:val="00B614CC"/>
    <w:rsid w:val="00B630EA"/>
    <w:rsid w:val="00B643B3"/>
    <w:rsid w:val="00B6445A"/>
    <w:rsid w:val="00B658E5"/>
    <w:rsid w:val="00B66BFF"/>
    <w:rsid w:val="00B67144"/>
    <w:rsid w:val="00B70030"/>
    <w:rsid w:val="00B756DC"/>
    <w:rsid w:val="00B7582B"/>
    <w:rsid w:val="00B76BDB"/>
    <w:rsid w:val="00B811E1"/>
    <w:rsid w:val="00B813F1"/>
    <w:rsid w:val="00B82556"/>
    <w:rsid w:val="00B83C37"/>
    <w:rsid w:val="00B849F6"/>
    <w:rsid w:val="00B85B88"/>
    <w:rsid w:val="00B870F1"/>
    <w:rsid w:val="00B91171"/>
    <w:rsid w:val="00B911E1"/>
    <w:rsid w:val="00B91D55"/>
    <w:rsid w:val="00B923C2"/>
    <w:rsid w:val="00B92439"/>
    <w:rsid w:val="00B95879"/>
    <w:rsid w:val="00B96CF5"/>
    <w:rsid w:val="00B9791E"/>
    <w:rsid w:val="00B97978"/>
    <w:rsid w:val="00B97CE4"/>
    <w:rsid w:val="00BA08DA"/>
    <w:rsid w:val="00BA0CCF"/>
    <w:rsid w:val="00BA15D3"/>
    <w:rsid w:val="00BA17BB"/>
    <w:rsid w:val="00BA33D3"/>
    <w:rsid w:val="00BA3AE3"/>
    <w:rsid w:val="00BA5615"/>
    <w:rsid w:val="00BB05F0"/>
    <w:rsid w:val="00BB31FC"/>
    <w:rsid w:val="00BB34A8"/>
    <w:rsid w:val="00BB3D55"/>
    <w:rsid w:val="00BB56D3"/>
    <w:rsid w:val="00BC0C13"/>
    <w:rsid w:val="00BC578E"/>
    <w:rsid w:val="00BC6341"/>
    <w:rsid w:val="00BC6802"/>
    <w:rsid w:val="00BC7DF5"/>
    <w:rsid w:val="00BD21F3"/>
    <w:rsid w:val="00BE0BF5"/>
    <w:rsid w:val="00BE11CA"/>
    <w:rsid w:val="00BE34A5"/>
    <w:rsid w:val="00BE4447"/>
    <w:rsid w:val="00BE5850"/>
    <w:rsid w:val="00BE650F"/>
    <w:rsid w:val="00BE7E80"/>
    <w:rsid w:val="00BF0957"/>
    <w:rsid w:val="00BF0D38"/>
    <w:rsid w:val="00BF35B8"/>
    <w:rsid w:val="00BF4E07"/>
    <w:rsid w:val="00BF5D4C"/>
    <w:rsid w:val="00C01F61"/>
    <w:rsid w:val="00C03DC5"/>
    <w:rsid w:val="00C03EAE"/>
    <w:rsid w:val="00C0447B"/>
    <w:rsid w:val="00C079C6"/>
    <w:rsid w:val="00C07B17"/>
    <w:rsid w:val="00C113A1"/>
    <w:rsid w:val="00C11721"/>
    <w:rsid w:val="00C1336E"/>
    <w:rsid w:val="00C135D5"/>
    <w:rsid w:val="00C13F2B"/>
    <w:rsid w:val="00C15C10"/>
    <w:rsid w:val="00C169FE"/>
    <w:rsid w:val="00C17935"/>
    <w:rsid w:val="00C2039D"/>
    <w:rsid w:val="00C203D5"/>
    <w:rsid w:val="00C20690"/>
    <w:rsid w:val="00C22294"/>
    <w:rsid w:val="00C24C64"/>
    <w:rsid w:val="00C27986"/>
    <w:rsid w:val="00C309DB"/>
    <w:rsid w:val="00C30AD2"/>
    <w:rsid w:val="00C310B5"/>
    <w:rsid w:val="00C31847"/>
    <w:rsid w:val="00C34409"/>
    <w:rsid w:val="00C36F73"/>
    <w:rsid w:val="00C40870"/>
    <w:rsid w:val="00C421D1"/>
    <w:rsid w:val="00C4395D"/>
    <w:rsid w:val="00C4501B"/>
    <w:rsid w:val="00C450CC"/>
    <w:rsid w:val="00C50697"/>
    <w:rsid w:val="00C506D5"/>
    <w:rsid w:val="00C547C5"/>
    <w:rsid w:val="00C55792"/>
    <w:rsid w:val="00C61943"/>
    <w:rsid w:val="00C64AD0"/>
    <w:rsid w:val="00C64C29"/>
    <w:rsid w:val="00C64FAB"/>
    <w:rsid w:val="00C661D7"/>
    <w:rsid w:val="00C66392"/>
    <w:rsid w:val="00C71CD9"/>
    <w:rsid w:val="00C72A13"/>
    <w:rsid w:val="00C74954"/>
    <w:rsid w:val="00C749E3"/>
    <w:rsid w:val="00C74B01"/>
    <w:rsid w:val="00C74F13"/>
    <w:rsid w:val="00C81AF7"/>
    <w:rsid w:val="00C86414"/>
    <w:rsid w:val="00C87B5F"/>
    <w:rsid w:val="00C9040C"/>
    <w:rsid w:val="00C9074D"/>
    <w:rsid w:val="00C90C3A"/>
    <w:rsid w:val="00C93442"/>
    <w:rsid w:val="00C9638A"/>
    <w:rsid w:val="00C972AC"/>
    <w:rsid w:val="00C97729"/>
    <w:rsid w:val="00CA3415"/>
    <w:rsid w:val="00CA3598"/>
    <w:rsid w:val="00CA676F"/>
    <w:rsid w:val="00CA6D3F"/>
    <w:rsid w:val="00CA6E99"/>
    <w:rsid w:val="00CA7D36"/>
    <w:rsid w:val="00CB25BD"/>
    <w:rsid w:val="00CC43F4"/>
    <w:rsid w:val="00CC76A6"/>
    <w:rsid w:val="00CC7EF7"/>
    <w:rsid w:val="00CD5FAB"/>
    <w:rsid w:val="00CD6E99"/>
    <w:rsid w:val="00CD799E"/>
    <w:rsid w:val="00CE105C"/>
    <w:rsid w:val="00CE24FA"/>
    <w:rsid w:val="00CE31C4"/>
    <w:rsid w:val="00CE3907"/>
    <w:rsid w:val="00CE4C8B"/>
    <w:rsid w:val="00CE7069"/>
    <w:rsid w:val="00CF181C"/>
    <w:rsid w:val="00CF2649"/>
    <w:rsid w:val="00CF321D"/>
    <w:rsid w:val="00CF326D"/>
    <w:rsid w:val="00CF3A1E"/>
    <w:rsid w:val="00CF52AF"/>
    <w:rsid w:val="00CF5BF4"/>
    <w:rsid w:val="00CF6BB8"/>
    <w:rsid w:val="00D0209F"/>
    <w:rsid w:val="00D02D66"/>
    <w:rsid w:val="00D03659"/>
    <w:rsid w:val="00D0635F"/>
    <w:rsid w:val="00D0667C"/>
    <w:rsid w:val="00D104B5"/>
    <w:rsid w:val="00D1181A"/>
    <w:rsid w:val="00D1193C"/>
    <w:rsid w:val="00D12F50"/>
    <w:rsid w:val="00D13CCB"/>
    <w:rsid w:val="00D156C2"/>
    <w:rsid w:val="00D1605D"/>
    <w:rsid w:val="00D16F4C"/>
    <w:rsid w:val="00D2098A"/>
    <w:rsid w:val="00D211EA"/>
    <w:rsid w:val="00D2170B"/>
    <w:rsid w:val="00D2236C"/>
    <w:rsid w:val="00D22D9C"/>
    <w:rsid w:val="00D252D4"/>
    <w:rsid w:val="00D26F2E"/>
    <w:rsid w:val="00D31B1C"/>
    <w:rsid w:val="00D34B9D"/>
    <w:rsid w:val="00D362AD"/>
    <w:rsid w:val="00D36599"/>
    <w:rsid w:val="00D434E9"/>
    <w:rsid w:val="00D43A59"/>
    <w:rsid w:val="00D4461F"/>
    <w:rsid w:val="00D44B43"/>
    <w:rsid w:val="00D45606"/>
    <w:rsid w:val="00D45B87"/>
    <w:rsid w:val="00D45E11"/>
    <w:rsid w:val="00D4606F"/>
    <w:rsid w:val="00D47301"/>
    <w:rsid w:val="00D5046C"/>
    <w:rsid w:val="00D5165C"/>
    <w:rsid w:val="00D52872"/>
    <w:rsid w:val="00D528BD"/>
    <w:rsid w:val="00D5314A"/>
    <w:rsid w:val="00D60593"/>
    <w:rsid w:val="00D622E4"/>
    <w:rsid w:val="00D62665"/>
    <w:rsid w:val="00D65447"/>
    <w:rsid w:val="00D6608F"/>
    <w:rsid w:val="00D67365"/>
    <w:rsid w:val="00D67670"/>
    <w:rsid w:val="00D717CE"/>
    <w:rsid w:val="00D72330"/>
    <w:rsid w:val="00D738ED"/>
    <w:rsid w:val="00D74E2B"/>
    <w:rsid w:val="00D75655"/>
    <w:rsid w:val="00D76499"/>
    <w:rsid w:val="00D76965"/>
    <w:rsid w:val="00D76979"/>
    <w:rsid w:val="00D80E34"/>
    <w:rsid w:val="00D81AB6"/>
    <w:rsid w:val="00D82C4A"/>
    <w:rsid w:val="00D839D9"/>
    <w:rsid w:val="00D8676B"/>
    <w:rsid w:val="00D86FA6"/>
    <w:rsid w:val="00D87999"/>
    <w:rsid w:val="00D90095"/>
    <w:rsid w:val="00D90245"/>
    <w:rsid w:val="00D93F14"/>
    <w:rsid w:val="00D94AF1"/>
    <w:rsid w:val="00D97EB1"/>
    <w:rsid w:val="00DA0BD5"/>
    <w:rsid w:val="00DA2D28"/>
    <w:rsid w:val="00DA3805"/>
    <w:rsid w:val="00DA3A9F"/>
    <w:rsid w:val="00DA57B4"/>
    <w:rsid w:val="00DA5AC3"/>
    <w:rsid w:val="00DA5F82"/>
    <w:rsid w:val="00DA6396"/>
    <w:rsid w:val="00DA715C"/>
    <w:rsid w:val="00DB0696"/>
    <w:rsid w:val="00DB1D34"/>
    <w:rsid w:val="00DB27B3"/>
    <w:rsid w:val="00DB2D5E"/>
    <w:rsid w:val="00DB4022"/>
    <w:rsid w:val="00DB4B76"/>
    <w:rsid w:val="00DB5E04"/>
    <w:rsid w:val="00DB68BF"/>
    <w:rsid w:val="00DB6C9B"/>
    <w:rsid w:val="00DB6F4C"/>
    <w:rsid w:val="00DB70BE"/>
    <w:rsid w:val="00DB74D6"/>
    <w:rsid w:val="00DC0F97"/>
    <w:rsid w:val="00DC3DC1"/>
    <w:rsid w:val="00DC4008"/>
    <w:rsid w:val="00DC5D6F"/>
    <w:rsid w:val="00DC7CA4"/>
    <w:rsid w:val="00DD1EB5"/>
    <w:rsid w:val="00DD2125"/>
    <w:rsid w:val="00DD34D5"/>
    <w:rsid w:val="00DD3CED"/>
    <w:rsid w:val="00DD4703"/>
    <w:rsid w:val="00DD4B0B"/>
    <w:rsid w:val="00DD4F5E"/>
    <w:rsid w:val="00DD502F"/>
    <w:rsid w:val="00DD55F7"/>
    <w:rsid w:val="00DD58CE"/>
    <w:rsid w:val="00DD5DE8"/>
    <w:rsid w:val="00DE16D1"/>
    <w:rsid w:val="00DE209D"/>
    <w:rsid w:val="00DE2342"/>
    <w:rsid w:val="00DE2447"/>
    <w:rsid w:val="00DE3EFB"/>
    <w:rsid w:val="00DE52E1"/>
    <w:rsid w:val="00DE58F3"/>
    <w:rsid w:val="00DE5A68"/>
    <w:rsid w:val="00DE625E"/>
    <w:rsid w:val="00DF3259"/>
    <w:rsid w:val="00DF4F6E"/>
    <w:rsid w:val="00DF5701"/>
    <w:rsid w:val="00DF63F9"/>
    <w:rsid w:val="00DF7D17"/>
    <w:rsid w:val="00E0108B"/>
    <w:rsid w:val="00E01B83"/>
    <w:rsid w:val="00E02992"/>
    <w:rsid w:val="00E037E9"/>
    <w:rsid w:val="00E04020"/>
    <w:rsid w:val="00E1008E"/>
    <w:rsid w:val="00E1044C"/>
    <w:rsid w:val="00E10AE3"/>
    <w:rsid w:val="00E12CC5"/>
    <w:rsid w:val="00E14978"/>
    <w:rsid w:val="00E160A3"/>
    <w:rsid w:val="00E163C7"/>
    <w:rsid w:val="00E17FD8"/>
    <w:rsid w:val="00E201A0"/>
    <w:rsid w:val="00E20225"/>
    <w:rsid w:val="00E20786"/>
    <w:rsid w:val="00E209DF"/>
    <w:rsid w:val="00E210B2"/>
    <w:rsid w:val="00E211C6"/>
    <w:rsid w:val="00E21C51"/>
    <w:rsid w:val="00E251EC"/>
    <w:rsid w:val="00E31745"/>
    <w:rsid w:val="00E33F25"/>
    <w:rsid w:val="00E344C1"/>
    <w:rsid w:val="00E34880"/>
    <w:rsid w:val="00E35631"/>
    <w:rsid w:val="00E35D11"/>
    <w:rsid w:val="00E40CE6"/>
    <w:rsid w:val="00E40FB8"/>
    <w:rsid w:val="00E43D59"/>
    <w:rsid w:val="00E44787"/>
    <w:rsid w:val="00E45C44"/>
    <w:rsid w:val="00E4616A"/>
    <w:rsid w:val="00E47BC6"/>
    <w:rsid w:val="00E50591"/>
    <w:rsid w:val="00E5277D"/>
    <w:rsid w:val="00E52C44"/>
    <w:rsid w:val="00E52D22"/>
    <w:rsid w:val="00E5503D"/>
    <w:rsid w:val="00E57671"/>
    <w:rsid w:val="00E60C0F"/>
    <w:rsid w:val="00E61272"/>
    <w:rsid w:val="00E64586"/>
    <w:rsid w:val="00E65563"/>
    <w:rsid w:val="00E71F6C"/>
    <w:rsid w:val="00E74168"/>
    <w:rsid w:val="00E7452B"/>
    <w:rsid w:val="00E770A3"/>
    <w:rsid w:val="00E77DAE"/>
    <w:rsid w:val="00E80E5D"/>
    <w:rsid w:val="00E812BD"/>
    <w:rsid w:val="00E82691"/>
    <w:rsid w:val="00E82E7E"/>
    <w:rsid w:val="00E8331E"/>
    <w:rsid w:val="00E8402C"/>
    <w:rsid w:val="00E84E7A"/>
    <w:rsid w:val="00E85C06"/>
    <w:rsid w:val="00E869BF"/>
    <w:rsid w:val="00E92609"/>
    <w:rsid w:val="00E94981"/>
    <w:rsid w:val="00E97BEB"/>
    <w:rsid w:val="00EA05B8"/>
    <w:rsid w:val="00EA0B5D"/>
    <w:rsid w:val="00EA1186"/>
    <w:rsid w:val="00EA1E60"/>
    <w:rsid w:val="00EA2350"/>
    <w:rsid w:val="00EA514C"/>
    <w:rsid w:val="00EA5910"/>
    <w:rsid w:val="00EA6D3C"/>
    <w:rsid w:val="00EA7BDA"/>
    <w:rsid w:val="00EB05E5"/>
    <w:rsid w:val="00EB0AB3"/>
    <w:rsid w:val="00EB1778"/>
    <w:rsid w:val="00EB199D"/>
    <w:rsid w:val="00EB19B6"/>
    <w:rsid w:val="00EB3B6B"/>
    <w:rsid w:val="00EB3F77"/>
    <w:rsid w:val="00EB5AC1"/>
    <w:rsid w:val="00EB77F3"/>
    <w:rsid w:val="00EB7DCD"/>
    <w:rsid w:val="00EB7EEF"/>
    <w:rsid w:val="00EC1569"/>
    <w:rsid w:val="00EC1F5D"/>
    <w:rsid w:val="00EC3A33"/>
    <w:rsid w:val="00EC42C6"/>
    <w:rsid w:val="00EC484C"/>
    <w:rsid w:val="00EC4E60"/>
    <w:rsid w:val="00EC5181"/>
    <w:rsid w:val="00EC6458"/>
    <w:rsid w:val="00EC7B01"/>
    <w:rsid w:val="00ED0027"/>
    <w:rsid w:val="00ED1764"/>
    <w:rsid w:val="00ED2D9E"/>
    <w:rsid w:val="00ED3060"/>
    <w:rsid w:val="00ED5A0F"/>
    <w:rsid w:val="00ED5B19"/>
    <w:rsid w:val="00ED63BA"/>
    <w:rsid w:val="00ED6400"/>
    <w:rsid w:val="00ED6B60"/>
    <w:rsid w:val="00EE17C2"/>
    <w:rsid w:val="00EE33EC"/>
    <w:rsid w:val="00EE3A4C"/>
    <w:rsid w:val="00EE3C6E"/>
    <w:rsid w:val="00EE501E"/>
    <w:rsid w:val="00EE6386"/>
    <w:rsid w:val="00EE64E4"/>
    <w:rsid w:val="00EE679A"/>
    <w:rsid w:val="00EE7CD4"/>
    <w:rsid w:val="00EF0598"/>
    <w:rsid w:val="00EF3BDE"/>
    <w:rsid w:val="00EF42FE"/>
    <w:rsid w:val="00EF5AC2"/>
    <w:rsid w:val="00EF6FB6"/>
    <w:rsid w:val="00EF7333"/>
    <w:rsid w:val="00EF7F20"/>
    <w:rsid w:val="00F00DFA"/>
    <w:rsid w:val="00F012B3"/>
    <w:rsid w:val="00F02780"/>
    <w:rsid w:val="00F03A34"/>
    <w:rsid w:val="00F0472C"/>
    <w:rsid w:val="00F06484"/>
    <w:rsid w:val="00F06EEC"/>
    <w:rsid w:val="00F107BE"/>
    <w:rsid w:val="00F1197A"/>
    <w:rsid w:val="00F13044"/>
    <w:rsid w:val="00F1631B"/>
    <w:rsid w:val="00F17D1E"/>
    <w:rsid w:val="00F17D78"/>
    <w:rsid w:val="00F219A4"/>
    <w:rsid w:val="00F21BBF"/>
    <w:rsid w:val="00F2332C"/>
    <w:rsid w:val="00F26A94"/>
    <w:rsid w:val="00F26E45"/>
    <w:rsid w:val="00F31801"/>
    <w:rsid w:val="00F32C68"/>
    <w:rsid w:val="00F332E1"/>
    <w:rsid w:val="00F33CF7"/>
    <w:rsid w:val="00F3402F"/>
    <w:rsid w:val="00F34230"/>
    <w:rsid w:val="00F342D1"/>
    <w:rsid w:val="00F35C0E"/>
    <w:rsid w:val="00F35DF1"/>
    <w:rsid w:val="00F40246"/>
    <w:rsid w:val="00F41BE1"/>
    <w:rsid w:val="00F4534E"/>
    <w:rsid w:val="00F45B2A"/>
    <w:rsid w:val="00F514DE"/>
    <w:rsid w:val="00F531AE"/>
    <w:rsid w:val="00F54715"/>
    <w:rsid w:val="00F54B8B"/>
    <w:rsid w:val="00F57684"/>
    <w:rsid w:val="00F605BE"/>
    <w:rsid w:val="00F60ADF"/>
    <w:rsid w:val="00F61484"/>
    <w:rsid w:val="00F615E4"/>
    <w:rsid w:val="00F654AA"/>
    <w:rsid w:val="00F658F9"/>
    <w:rsid w:val="00F67F91"/>
    <w:rsid w:val="00F701FF"/>
    <w:rsid w:val="00F712A5"/>
    <w:rsid w:val="00F770B9"/>
    <w:rsid w:val="00F805B3"/>
    <w:rsid w:val="00F83841"/>
    <w:rsid w:val="00F85357"/>
    <w:rsid w:val="00F91143"/>
    <w:rsid w:val="00F93926"/>
    <w:rsid w:val="00F94C0C"/>
    <w:rsid w:val="00FA0D92"/>
    <w:rsid w:val="00FA2052"/>
    <w:rsid w:val="00FA5467"/>
    <w:rsid w:val="00FA6228"/>
    <w:rsid w:val="00FB1AD3"/>
    <w:rsid w:val="00FB1B80"/>
    <w:rsid w:val="00FB2B47"/>
    <w:rsid w:val="00FB2D86"/>
    <w:rsid w:val="00FB35E2"/>
    <w:rsid w:val="00FB715C"/>
    <w:rsid w:val="00FC0643"/>
    <w:rsid w:val="00FC0A05"/>
    <w:rsid w:val="00FC2632"/>
    <w:rsid w:val="00FC3A11"/>
    <w:rsid w:val="00FC7685"/>
    <w:rsid w:val="00FD0975"/>
    <w:rsid w:val="00FD0ACB"/>
    <w:rsid w:val="00FD318D"/>
    <w:rsid w:val="00FD326C"/>
    <w:rsid w:val="00FD38B8"/>
    <w:rsid w:val="00FD3A2D"/>
    <w:rsid w:val="00FD3AAE"/>
    <w:rsid w:val="00FD546C"/>
    <w:rsid w:val="00FD68AB"/>
    <w:rsid w:val="00FD6B29"/>
    <w:rsid w:val="00FD6BA3"/>
    <w:rsid w:val="00FE094C"/>
    <w:rsid w:val="00FE10E7"/>
    <w:rsid w:val="00FE2606"/>
    <w:rsid w:val="00FE2EED"/>
    <w:rsid w:val="00FE3E9E"/>
    <w:rsid w:val="00FE41A9"/>
    <w:rsid w:val="00FE4D6F"/>
    <w:rsid w:val="00FE68E2"/>
    <w:rsid w:val="00FE793A"/>
    <w:rsid w:val="00FF10F9"/>
    <w:rsid w:val="00FF14C6"/>
    <w:rsid w:val="00FF27F7"/>
    <w:rsid w:val="00FF2AB2"/>
    <w:rsid w:val="00FF2D46"/>
    <w:rsid w:val="00FF509C"/>
    <w:rsid w:val="00FF5826"/>
    <w:rsid w:val="00FF6919"/>
    <w:rsid w:val="00FF6B00"/>
    <w:rsid w:val="00FF7F59"/>
    <w:rsid w:val="01907AA8"/>
    <w:rsid w:val="02658FE1"/>
    <w:rsid w:val="02E786EB"/>
    <w:rsid w:val="0305735B"/>
    <w:rsid w:val="035B0EF3"/>
    <w:rsid w:val="03F0F208"/>
    <w:rsid w:val="05A47C68"/>
    <w:rsid w:val="05CB52CC"/>
    <w:rsid w:val="093FFDF2"/>
    <w:rsid w:val="09F09B5A"/>
    <w:rsid w:val="0F23A6BF"/>
    <w:rsid w:val="0F253B1E"/>
    <w:rsid w:val="10C7C91A"/>
    <w:rsid w:val="110EE080"/>
    <w:rsid w:val="138D273E"/>
    <w:rsid w:val="1857E288"/>
    <w:rsid w:val="18F5D949"/>
    <w:rsid w:val="1B3C20A8"/>
    <w:rsid w:val="1EE76EAB"/>
    <w:rsid w:val="22337C0A"/>
    <w:rsid w:val="22A4A72D"/>
    <w:rsid w:val="22CC7961"/>
    <w:rsid w:val="260D36E8"/>
    <w:rsid w:val="2969502E"/>
    <w:rsid w:val="2A4712ED"/>
    <w:rsid w:val="2B47BA99"/>
    <w:rsid w:val="2C0DD3D3"/>
    <w:rsid w:val="2EB73AC0"/>
    <w:rsid w:val="34CB6509"/>
    <w:rsid w:val="3611C7D1"/>
    <w:rsid w:val="3766CE3E"/>
    <w:rsid w:val="3768F9B8"/>
    <w:rsid w:val="38A249AC"/>
    <w:rsid w:val="390134A7"/>
    <w:rsid w:val="3B339586"/>
    <w:rsid w:val="3CE08667"/>
    <w:rsid w:val="3D34F2C0"/>
    <w:rsid w:val="3EA8EFA3"/>
    <w:rsid w:val="3FDE44EE"/>
    <w:rsid w:val="4161B73B"/>
    <w:rsid w:val="420DA163"/>
    <w:rsid w:val="423726D2"/>
    <w:rsid w:val="4561198D"/>
    <w:rsid w:val="46F17093"/>
    <w:rsid w:val="4931207D"/>
    <w:rsid w:val="49801C7A"/>
    <w:rsid w:val="4AC3E52C"/>
    <w:rsid w:val="50A3CC34"/>
    <w:rsid w:val="515F7CF1"/>
    <w:rsid w:val="532C2A5B"/>
    <w:rsid w:val="5374264D"/>
    <w:rsid w:val="5491C0DE"/>
    <w:rsid w:val="56526F65"/>
    <w:rsid w:val="572064B0"/>
    <w:rsid w:val="5814B183"/>
    <w:rsid w:val="58515645"/>
    <w:rsid w:val="58ABE8C1"/>
    <w:rsid w:val="59371603"/>
    <w:rsid w:val="5A8D7A5A"/>
    <w:rsid w:val="5D15B7A0"/>
    <w:rsid w:val="5DA7C4DA"/>
    <w:rsid w:val="5E14016C"/>
    <w:rsid w:val="5E929E28"/>
    <w:rsid w:val="5F2FC9B3"/>
    <w:rsid w:val="607203B7"/>
    <w:rsid w:val="66623B2E"/>
    <w:rsid w:val="6B1C5030"/>
    <w:rsid w:val="6CF05FE3"/>
    <w:rsid w:val="6DC76E8E"/>
    <w:rsid w:val="6ECD08A0"/>
    <w:rsid w:val="71742FBF"/>
    <w:rsid w:val="739EE62C"/>
    <w:rsid w:val="74029423"/>
    <w:rsid w:val="74FC4B63"/>
    <w:rsid w:val="774B3DE6"/>
    <w:rsid w:val="793F75B4"/>
    <w:rsid w:val="79C3E184"/>
    <w:rsid w:val="79D11E47"/>
    <w:rsid w:val="79DA9E69"/>
    <w:rsid w:val="7A574C84"/>
    <w:rsid w:val="7A6C290C"/>
    <w:rsid w:val="7A77981E"/>
    <w:rsid w:val="7AC940F5"/>
    <w:rsid w:val="7BBE977F"/>
    <w:rsid w:val="7C97C6B7"/>
    <w:rsid w:val="7DCA597B"/>
    <w:rsid w:val="7F503345"/>
    <w:rsid w:val="7F54BC34"/>
    <w:rsid w:val="7FA72F54"/>
    <w:rsid w:val="7FC5365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20DE"/>
  <w15:docId w15:val="{61A8EEE1-0465-4E0A-8C76-5AFEEC5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0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B5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B25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4CC"/>
    <w:pPr>
      <w:ind w:left="720"/>
      <w:contextualSpacing/>
    </w:pPr>
  </w:style>
  <w:style w:type="paragraph" w:customStyle="1" w:styleId="Default">
    <w:name w:val="Default"/>
    <w:rsid w:val="003C6B07"/>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AE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B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1B84"/>
  </w:style>
  <w:style w:type="paragraph" w:styleId="Voettekst">
    <w:name w:val="footer"/>
    <w:basedOn w:val="Standaard"/>
    <w:link w:val="VoettekstChar"/>
    <w:uiPriority w:val="99"/>
    <w:unhideWhenUsed/>
    <w:rsid w:val="008D1B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1B84"/>
  </w:style>
  <w:style w:type="paragraph" w:styleId="Ballontekst">
    <w:name w:val="Balloon Text"/>
    <w:basedOn w:val="Standaard"/>
    <w:link w:val="BallontekstChar"/>
    <w:uiPriority w:val="99"/>
    <w:semiHidden/>
    <w:unhideWhenUsed/>
    <w:rsid w:val="00A15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8E0"/>
    <w:rPr>
      <w:rFonts w:ascii="Segoe UI" w:hAnsi="Segoe UI" w:cs="Segoe UI"/>
      <w:sz w:val="18"/>
      <w:szCs w:val="18"/>
    </w:rPr>
  </w:style>
  <w:style w:type="paragraph" w:styleId="Revisie">
    <w:name w:val="Revision"/>
    <w:hidden/>
    <w:uiPriority w:val="99"/>
    <w:semiHidden/>
    <w:rsid w:val="007D6D80"/>
    <w:pPr>
      <w:spacing w:after="0" w:line="240" w:lineRule="auto"/>
    </w:pPr>
  </w:style>
  <w:style w:type="paragraph" w:styleId="Titel">
    <w:name w:val="Title"/>
    <w:basedOn w:val="Standaard"/>
    <w:next w:val="Standaard"/>
    <w:link w:val="TitelChar"/>
    <w:uiPriority w:val="10"/>
    <w:qFormat/>
    <w:rsid w:val="00B12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207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5046C"/>
    <w:rPr>
      <w:color w:val="0563C1" w:themeColor="hyperlink"/>
      <w:u w:val="single"/>
    </w:rPr>
  </w:style>
  <w:style w:type="character" w:customStyle="1" w:styleId="UnresolvedMention1">
    <w:name w:val="Unresolved Mention1"/>
    <w:basedOn w:val="Standaardalinea-lettertype"/>
    <w:uiPriority w:val="99"/>
    <w:semiHidden/>
    <w:unhideWhenUsed/>
    <w:rsid w:val="00D5046C"/>
    <w:rPr>
      <w:color w:val="605E5C"/>
      <w:shd w:val="clear" w:color="auto" w:fill="E1DFDD"/>
    </w:rPr>
  </w:style>
  <w:style w:type="character" w:customStyle="1" w:styleId="Kop1Char">
    <w:name w:val="Kop 1 Char"/>
    <w:basedOn w:val="Standaardalinea-lettertype"/>
    <w:link w:val="Kop1"/>
    <w:uiPriority w:val="9"/>
    <w:rsid w:val="00D5046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D46BD"/>
    <w:pPr>
      <w:outlineLvl w:val="9"/>
    </w:pPr>
    <w:rPr>
      <w:lang w:val="nl-BE" w:eastAsia="nl-BE"/>
    </w:rPr>
  </w:style>
  <w:style w:type="character" w:styleId="Verwijzingopmerking">
    <w:name w:val="annotation reference"/>
    <w:basedOn w:val="Standaardalinea-lettertype"/>
    <w:uiPriority w:val="99"/>
    <w:semiHidden/>
    <w:unhideWhenUsed/>
    <w:rsid w:val="00C4501B"/>
    <w:rPr>
      <w:sz w:val="16"/>
      <w:szCs w:val="16"/>
    </w:rPr>
  </w:style>
  <w:style w:type="paragraph" w:styleId="Tekstopmerking">
    <w:name w:val="annotation text"/>
    <w:basedOn w:val="Standaard"/>
    <w:link w:val="TekstopmerkingChar"/>
    <w:uiPriority w:val="99"/>
    <w:unhideWhenUsed/>
    <w:rsid w:val="00C4501B"/>
    <w:pPr>
      <w:spacing w:line="240" w:lineRule="auto"/>
    </w:pPr>
    <w:rPr>
      <w:sz w:val="20"/>
      <w:szCs w:val="20"/>
    </w:rPr>
  </w:style>
  <w:style w:type="character" w:customStyle="1" w:styleId="TekstopmerkingChar">
    <w:name w:val="Tekst opmerking Char"/>
    <w:basedOn w:val="Standaardalinea-lettertype"/>
    <w:link w:val="Tekstopmerking"/>
    <w:uiPriority w:val="99"/>
    <w:rsid w:val="00C4501B"/>
    <w:rPr>
      <w:sz w:val="20"/>
      <w:szCs w:val="20"/>
    </w:rPr>
  </w:style>
  <w:style w:type="paragraph" w:styleId="Onderwerpvanopmerking">
    <w:name w:val="annotation subject"/>
    <w:basedOn w:val="Tekstopmerking"/>
    <w:next w:val="Tekstopmerking"/>
    <w:link w:val="OnderwerpvanopmerkingChar"/>
    <w:uiPriority w:val="99"/>
    <w:semiHidden/>
    <w:unhideWhenUsed/>
    <w:rsid w:val="00C4501B"/>
    <w:rPr>
      <w:b/>
      <w:bCs/>
    </w:rPr>
  </w:style>
  <w:style w:type="character" w:customStyle="1" w:styleId="OnderwerpvanopmerkingChar">
    <w:name w:val="Onderwerp van opmerking Char"/>
    <w:basedOn w:val="TekstopmerkingChar"/>
    <w:link w:val="Onderwerpvanopmerking"/>
    <w:uiPriority w:val="99"/>
    <w:semiHidden/>
    <w:rsid w:val="00C4501B"/>
    <w:rPr>
      <w:b/>
      <w:bCs/>
      <w:sz w:val="20"/>
      <w:szCs w:val="20"/>
    </w:rPr>
  </w:style>
  <w:style w:type="character" w:styleId="Onopgelostemelding">
    <w:name w:val="Unresolved Mention"/>
    <w:basedOn w:val="Standaardalinea-lettertype"/>
    <w:uiPriority w:val="99"/>
    <w:semiHidden/>
    <w:unhideWhenUsed/>
    <w:rsid w:val="00096EDD"/>
    <w:rPr>
      <w:color w:val="605E5C"/>
      <w:shd w:val="clear" w:color="auto" w:fill="E1DFDD"/>
    </w:rPr>
  </w:style>
  <w:style w:type="paragraph" w:styleId="Normaalweb">
    <w:name w:val="Normal (Web)"/>
    <w:basedOn w:val="Standaard"/>
    <w:uiPriority w:val="99"/>
    <w:semiHidden/>
    <w:unhideWhenUsed/>
    <w:rsid w:val="006656A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Kop2Char">
    <w:name w:val="Kop 2 Char"/>
    <w:basedOn w:val="Standaardalinea-lettertype"/>
    <w:link w:val="Kop2"/>
    <w:uiPriority w:val="9"/>
    <w:rsid w:val="008B539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B255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1E069C"/>
    <w:pPr>
      <w:tabs>
        <w:tab w:val="left" w:pos="440"/>
        <w:tab w:val="right" w:leader="dot" w:pos="9016"/>
      </w:tabs>
      <w:spacing w:after="100"/>
    </w:pPr>
  </w:style>
  <w:style w:type="paragraph" w:styleId="Inhopg2">
    <w:name w:val="toc 2"/>
    <w:basedOn w:val="Standaard"/>
    <w:next w:val="Standaard"/>
    <w:autoRedefine/>
    <w:uiPriority w:val="39"/>
    <w:unhideWhenUsed/>
    <w:rsid w:val="007476CC"/>
    <w:pPr>
      <w:spacing w:after="100"/>
      <w:ind w:left="220"/>
    </w:pPr>
  </w:style>
  <w:style w:type="paragraph" w:styleId="Inhopg3">
    <w:name w:val="toc 3"/>
    <w:basedOn w:val="Standaard"/>
    <w:next w:val="Standaard"/>
    <w:autoRedefine/>
    <w:uiPriority w:val="39"/>
    <w:unhideWhenUsed/>
    <w:rsid w:val="007476CC"/>
    <w:pPr>
      <w:spacing w:after="100"/>
      <w:ind w:left="440"/>
    </w:pPr>
  </w:style>
  <w:style w:type="paragraph" w:styleId="Voetnoottekst">
    <w:name w:val="footnote text"/>
    <w:basedOn w:val="Standaard"/>
    <w:link w:val="VoetnoottekstChar"/>
    <w:uiPriority w:val="99"/>
    <w:semiHidden/>
    <w:unhideWhenUsed/>
    <w:rsid w:val="00C977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729"/>
    <w:rPr>
      <w:sz w:val="20"/>
      <w:szCs w:val="20"/>
    </w:rPr>
  </w:style>
  <w:style w:type="character" w:styleId="Voetnootmarkering">
    <w:name w:val="footnote reference"/>
    <w:basedOn w:val="Standaardalinea-lettertype"/>
    <w:uiPriority w:val="99"/>
    <w:semiHidden/>
    <w:unhideWhenUsed/>
    <w:rsid w:val="00C97729"/>
    <w:rPr>
      <w:vertAlign w:val="superscript"/>
    </w:rPr>
  </w:style>
  <w:style w:type="character" w:styleId="GevolgdeHyperlink">
    <w:name w:val="FollowedHyperlink"/>
    <w:basedOn w:val="Standaardalinea-lettertype"/>
    <w:uiPriority w:val="99"/>
    <w:semiHidden/>
    <w:unhideWhenUsed/>
    <w:rsid w:val="00781C27"/>
    <w:rPr>
      <w:color w:val="954F72" w:themeColor="followedHyperlink"/>
      <w:u w:val="single"/>
    </w:rPr>
  </w:style>
  <w:style w:type="character" w:styleId="Vermelding">
    <w:name w:val="Mention"/>
    <w:basedOn w:val="Standaardalinea-lettertype"/>
    <w:uiPriority w:val="99"/>
    <w:unhideWhenUsed/>
    <w:rsid w:val="00442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038">
      <w:bodyDiv w:val="1"/>
      <w:marLeft w:val="0"/>
      <w:marRight w:val="0"/>
      <w:marTop w:val="0"/>
      <w:marBottom w:val="0"/>
      <w:divBdr>
        <w:top w:val="none" w:sz="0" w:space="0" w:color="auto"/>
        <w:left w:val="none" w:sz="0" w:space="0" w:color="auto"/>
        <w:bottom w:val="none" w:sz="0" w:space="0" w:color="auto"/>
        <w:right w:val="none" w:sz="0" w:space="0" w:color="auto"/>
      </w:divBdr>
    </w:div>
    <w:div w:id="144976509">
      <w:bodyDiv w:val="1"/>
      <w:marLeft w:val="0"/>
      <w:marRight w:val="0"/>
      <w:marTop w:val="0"/>
      <w:marBottom w:val="0"/>
      <w:divBdr>
        <w:top w:val="none" w:sz="0" w:space="0" w:color="auto"/>
        <w:left w:val="none" w:sz="0" w:space="0" w:color="auto"/>
        <w:bottom w:val="none" w:sz="0" w:space="0" w:color="auto"/>
        <w:right w:val="none" w:sz="0" w:space="0" w:color="auto"/>
      </w:divBdr>
    </w:div>
    <w:div w:id="165705046">
      <w:bodyDiv w:val="1"/>
      <w:marLeft w:val="0"/>
      <w:marRight w:val="0"/>
      <w:marTop w:val="0"/>
      <w:marBottom w:val="0"/>
      <w:divBdr>
        <w:top w:val="none" w:sz="0" w:space="0" w:color="auto"/>
        <w:left w:val="none" w:sz="0" w:space="0" w:color="auto"/>
        <w:bottom w:val="none" w:sz="0" w:space="0" w:color="auto"/>
        <w:right w:val="none" w:sz="0" w:space="0" w:color="auto"/>
      </w:divBdr>
    </w:div>
    <w:div w:id="240993611">
      <w:bodyDiv w:val="1"/>
      <w:marLeft w:val="0"/>
      <w:marRight w:val="0"/>
      <w:marTop w:val="0"/>
      <w:marBottom w:val="0"/>
      <w:divBdr>
        <w:top w:val="none" w:sz="0" w:space="0" w:color="auto"/>
        <w:left w:val="none" w:sz="0" w:space="0" w:color="auto"/>
        <w:bottom w:val="none" w:sz="0" w:space="0" w:color="auto"/>
        <w:right w:val="none" w:sz="0" w:space="0" w:color="auto"/>
      </w:divBdr>
    </w:div>
    <w:div w:id="271665637">
      <w:bodyDiv w:val="1"/>
      <w:marLeft w:val="0"/>
      <w:marRight w:val="0"/>
      <w:marTop w:val="0"/>
      <w:marBottom w:val="0"/>
      <w:divBdr>
        <w:top w:val="none" w:sz="0" w:space="0" w:color="auto"/>
        <w:left w:val="none" w:sz="0" w:space="0" w:color="auto"/>
        <w:bottom w:val="none" w:sz="0" w:space="0" w:color="auto"/>
        <w:right w:val="none" w:sz="0" w:space="0" w:color="auto"/>
      </w:divBdr>
    </w:div>
    <w:div w:id="372775977">
      <w:bodyDiv w:val="1"/>
      <w:marLeft w:val="0"/>
      <w:marRight w:val="0"/>
      <w:marTop w:val="0"/>
      <w:marBottom w:val="0"/>
      <w:divBdr>
        <w:top w:val="none" w:sz="0" w:space="0" w:color="auto"/>
        <w:left w:val="none" w:sz="0" w:space="0" w:color="auto"/>
        <w:bottom w:val="none" w:sz="0" w:space="0" w:color="auto"/>
        <w:right w:val="none" w:sz="0" w:space="0" w:color="auto"/>
      </w:divBdr>
    </w:div>
    <w:div w:id="470441012">
      <w:bodyDiv w:val="1"/>
      <w:marLeft w:val="0"/>
      <w:marRight w:val="0"/>
      <w:marTop w:val="0"/>
      <w:marBottom w:val="0"/>
      <w:divBdr>
        <w:top w:val="none" w:sz="0" w:space="0" w:color="auto"/>
        <w:left w:val="none" w:sz="0" w:space="0" w:color="auto"/>
        <w:bottom w:val="none" w:sz="0" w:space="0" w:color="auto"/>
        <w:right w:val="none" w:sz="0" w:space="0" w:color="auto"/>
      </w:divBdr>
    </w:div>
    <w:div w:id="514275096">
      <w:bodyDiv w:val="1"/>
      <w:marLeft w:val="0"/>
      <w:marRight w:val="0"/>
      <w:marTop w:val="0"/>
      <w:marBottom w:val="0"/>
      <w:divBdr>
        <w:top w:val="none" w:sz="0" w:space="0" w:color="auto"/>
        <w:left w:val="none" w:sz="0" w:space="0" w:color="auto"/>
        <w:bottom w:val="none" w:sz="0" w:space="0" w:color="auto"/>
        <w:right w:val="none" w:sz="0" w:space="0" w:color="auto"/>
      </w:divBdr>
    </w:div>
    <w:div w:id="521558369">
      <w:bodyDiv w:val="1"/>
      <w:marLeft w:val="0"/>
      <w:marRight w:val="0"/>
      <w:marTop w:val="0"/>
      <w:marBottom w:val="0"/>
      <w:divBdr>
        <w:top w:val="none" w:sz="0" w:space="0" w:color="auto"/>
        <w:left w:val="none" w:sz="0" w:space="0" w:color="auto"/>
        <w:bottom w:val="none" w:sz="0" w:space="0" w:color="auto"/>
        <w:right w:val="none" w:sz="0" w:space="0" w:color="auto"/>
      </w:divBdr>
    </w:div>
    <w:div w:id="525755975">
      <w:bodyDiv w:val="1"/>
      <w:marLeft w:val="0"/>
      <w:marRight w:val="0"/>
      <w:marTop w:val="0"/>
      <w:marBottom w:val="0"/>
      <w:divBdr>
        <w:top w:val="none" w:sz="0" w:space="0" w:color="auto"/>
        <w:left w:val="none" w:sz="0" w:space="0" w:color="auto"/>
        <w:bottom w:val="none" w:sz="0" w:space="0" w:color="auto"/>
        <w:right w:val="none" w:sz="0" w:space="0" w:color="auto"/>
      </w:divBdr>
    </w:div>
    <w:div w:id="565841404">
      <w:bodyDiv w:val="1"/>
      <w:marLeft w:val="0"/>
      <w:marRight w:val="0"/>
      <w:marTop w:val="0"/>
      <w:marBottom w:val="0"/>
      <w:divBdr>
        <w:top w:val="none" w:sz="0" w:space="0" w:color="auto"/>
        <w:left w:val="none" w:sz="0" w:space="0" w:color="auto"/>
        <w:bottom w:val="none" w:sz="0" w:space="0" w:color="auto"/>
        <w:right w:val="none" w:sz="0" w:space="0" w:color="auto"/>
      </w:divBdr>
    </w:div>
    <w:div w:id="654995450">
      <w:bodyDiv w:val="1"/>
      <w:marLeft w:val="0"/>
      <w:marRight w:val="0"/>
      <w:marTop w:val="0"/>
      <w:marBottom w:val="0"/>
      <w:divBdr>
        <w:top w:val="none" w:sz="0" w:space="0" w:color="auto"/>
        <w:left w:val="none" w:sz="0" w:space="0" w:color="auto"/>
        <w:bottom w:val="none" w:sz="0" w:space="0" w:color="auto"/>
        <w:right w:val="none" w:sz="0" w:space="0" w:color="auto"/>
      </w:divBdr>
    </w:div>
    <w:div w:id="709846189">
      <w:bodyDiv w:val="1"/>
      <w:marLeft w:val="0"/>
      <w:marRight w:val="0"/>
      <w:marTop w:val="0"/>
      <w:marBottom w:val="0"/>
      <w:divBdr>
        <w:top w:val="none" w:sz="0" w:space="0" w:color="auto"/>
        <w:left w:val="none" w:sz="0" w:space="0" w:color="auto"/>
        <w:bottom w:val="none" w:sz="0" w:space="0" w:color="auto"/>
        <w:right w:val="none" w:sz="0" w:space="0" w:color="auto"/>
      </w:divBdr>
    </w:div>
    <w:div w:id="882980011">
      <w:bodyDiv w:val="1"/>
      <w:marLeft w:val="0"/>
      <w:marRight w:val="0"/>
      <w:marTop w:val="0"/>
      <w:marBottom w:val="0"/>
      <w:divBdr>
        <w:top w:val="none" w:sz="0" w:space="0" w:color="auto"/>
        <w:left w:val="none" w:sz="0" w:space="0" w:color="auto"/>
        <w:bottom w:val="none" w:sz="0" w:space="0" w:color="auto"/>
        <w:right w:val="none" w:sz="0" w:space="0" w:color="auto"/>
      </w:divBdr>
    </w:div>
    <w:div w:id="926160700">
      <w:bodyDiv w:val="1"/>
      <w:marLeft w:val="0"/>
      <w:marRight w:val="0"/>
      <w:marTop w:val="0"/>
      <w:marBottom w:val="0"/>
      <w:divBdr>
        <w:top w:val="none" w:sz="0" w:space="0" w:color="auto"/>
        <w:left w:val="none" w:sz="0" w:space="0" w:color="auto"/>
        <w:bottom w:val="none" w:sz="0" w:space="0" w:color="auto"/>
        <w:right w:val="none" w:sz="0" w:space="0" w:color="auto"/>
      </w:divBdr>
    </w:div>
    <w:div w:id="950162228">
      <w:bodyDiv w:val="1"/>
      <w:marLeft w:val="0"/>
      <w:marRight w:val="0"/>
      <w:marTop w:val="0"/>
      <w:marBottom w:val="0"/>
      <w:divBdr>
        <w:top w:val="none" w:sz="0" w:space="0" w:color="auto"/>
        <w:left w:val="none" w:sz="0" w:space="0" w:color="auto"/>
        <w:bottom w:val="none" w:sz="0" w:space="0" w:color="auto"/>
        <w:right w:val="none" w:sz="0" w:space="0" w:color="auto"/>
      </w:divBdr>
    </w:div>
    <w:div w:id="955135990">
      <w:bodyDiv w:val="1"/>
      <w:marLeft w:val="0"/>
      <w:marRight w:val="0"/>
      <w:marTop w:val="0"/>
      <w:marBottom w:val="0"/>
      <w:divBdr>
        <w:top w:val="none" w:sz="0" w:space="0" w:color="auto"/>
        <w:left w:val="none" w:sz="0" w:space="0" w:color="auto"/>
        <w:bottom w:val="none" w:sz="0" w:space="0" w:color="auto"/>
        <w:right w:val="none" w:sz="0" w:space="0" w:color="auto"/>
      </w:divBdr>
    </w:div>
    <w:div w:id="987855552">
      <w:bodyDiv w:val="1"/>
      <w:marLeft w:val="0"/>
      <w:marRight w:val="0"/>
      <w:marTop w:val="0"/>
      <w:marBottom w:val="0"/>
      <w:divBdr>
        <w:top w:val="none" w:sz="0" w:space="0" w:color="auto"/>
        <w:left w:val="none" w:sz="0" w:space="0" w:color="auto"/>
        <w:bottom w:val="none" w:sz="0" w:space="0" w:color="auto"/>
        <w:right w:val="none" w:sz="0" w:space="0" w:color="auto"/>
      </w:divBdr>
    </w:div>
    <w:div w:id="1102065669">
      <w:bodyDiv w:val="1"/>
      <w:marLeft w:val="0"/>
      <w:marRight w:val="0"/>
      <w:marTop w:val="0"/>
      <w:marBottom w:val="0"/>
      <w:divBdr>
        <w:top w:val="none" w:sz="0" w:space="0" w:color="auto"/>
        <w:left w:val="none" w:sz="0" w:space="0" w:color="auto"/>
        <w:bottom w:val="none" w:sz="0" w:space="0" w:color="auto"/>
        <w:right w:val="none" w:sz="0" w:space="0" w:color="auto"/>
      </w:divBdr>
      <w:divsChild>
        <w:div w:id="2111077390">
          <w:marLeft w:val="0"/>
          <w:marRight w:val="0"/>
          <w:marTop w:val="0"/>
          <w:marBottom w:val="0"/>
          <w:divBdr>
            <w:top w:val="none" w:sz="0" w:space="0" w:color="auto"/>
            <w:left w:val="none" w:sz="0" w:space="0" w:color="auto"/>
            <w:bottom w:val="none" w:sz="0" w:space="0" w:color="auto"/>
            <w:right w:val="none" w:sz="0" w:space="0" w:color="auto"/>
          </w:divBdr>
        </w:div>
      </w:divsChild>
    </w:div>
    <w:div w:id="1143346851">
      <w:bodyDiv w:val="1"/>
      <w:marLeft w:val="0"/>
      <w:marRight w:val="0"/>
      <w:marTop w:val="0"/>
      <w:marBottom w:val="0"/>
      <w:divBdr>
        <w:top w:val="none" w:sz="0" w:space="0" w:color="auto"/>
        <w:left w:val="none" w:sz="0" w:space="0" w:color="auto"/>
        <w:bottom w:val="none" w:sz="0" w:space="0" w:color="auto"/>
        <w:right w:val="none" w:sz="0" w:space="0" w:color="auto"/>
      </w:divBdr>
    </w:div>
    <w:div w:id="1176337943">
      <w:bodyDiv w:val="1"/>
      <w:marLeft w:val="0"/>
      <w:marRight w:val="0"/>
      <w:marTop w:val="0"/>
      <w:marBottom w:val="0"/>
      <w:divBdr>
        <w:top w:val="none" w:sz="0" w:space="0" w:color="auto"/>
        <w:left w:val="none" w:sz="0" w:space="0" w:color="auto"/>
        <w:bottom w:val="none" w:sz="0" w:space="0" w:color="auto"/>
        <w:right w:val="none" w:sz="0" w:space="0" w:color="auto"/>
      </w:divBdr>
    </w:div>
    <w:div w:id="1199049261">
      <w:bodyDiv w:val="1"/>
      <w:marLeft w:val="0"/>
      <w:marRight w:val="0"/>
      <w:marTop w:val="0"/>
      <w:marBottom w:val="0"/>
      <w:divBdr>
        <w:top w:val="none" w:sz="0" w:space="0" w:color="auto"/>
        <w:left w:val="none" w:sz="0" w:space="0" w:color="auto"/>
        <w:bottom w:val="none" w:sz="0" w:space="0" w:color="auto"/>
        <w:right w:val="none" w:sz="0" w:space="0" w:color="auto"/>
      </w:divBdr>
    </w:div>
    <w:div w:id="1229001251">
      <w:bodyDiv w:val="1"/>
      <w:marLeft w:val="0"/>
      <w:marRight w:val="0"/>
      <w:marTop w:val="0"/>
      <w:marBottom w:val="0"/>
      <w:divBdr>
        <w:top w:val="none" w:sz="0" w:space="0" w:color="auto"/>
        <w:left w:val="none" w:sz="0" w:space="0" w:color="auto"/>
        <w:bottom w:val="none" w:sz="0" w:space="0" w:color="auto"/>
        <w:right w:val="none" w:sz="0" w:space="0" w:color="auto"/>
      </w:divBdr>
    </w:div>
    <w:div w:id="1287659942">
      <w:bodyDiv w:val="1"/>
      <w:marLeft w:val="0"/>
      <w:marRight w:val="0"/>
      <w:marTop w:val="0"/>
      <w:marBottom w:val="0"/>
      <w:divBdr>
        <w:top w:val="none" w:sz="0" w:space="0" w:color="auto"/>
        <w:left w:val="none" w:sz="0" w:space="0" w:color="auto"/>
        <w:bottom w:val="none" w:sz="0" w:space="0" w:color="auto"/>
        <w:right w:val="none" w:sz="0" w:space="0" w:color="auto"/>
      </w:divBdr>
    </w:div>
    <w:div w:id="1340696649">
      <w:bodyDiv w:val="1"/>
      <w:marLeft w:val="0"/>
      <w:marRight w:val="0"/>
      <w:marTop w:val="0"/>
      <w:marBottom w:val="0"/>
      <w:divBdr>
        <w:top w:val="none" w:sz="0" w:space="0" w:color="auto"/>
        <w:left w:val="none" w:sz="0" w:space="0" w:color="auto"/>
        <w:bottom w:val="none" w:sz="0" w:space="0" w:color="auto"/>
        <w:right w:val="none" w:sz="0" w:space="0" w:color="auto"/>
      </w:divBdr>
    </w:div>
    <w:div w:id="1340742187">
      <w:bodyDiv w:val="1"/>
      <w:marLeft w:val="0"/>
      <w:marRight w:val="0"/>
      <w:marTop w:val="0"/>
      <w:marBottom w:val="0"/>
      <w:divBdr>
        <w:top w:val="none" w:sz="0" w:space="0" w:color="auto"/>
        <w:left w:val="none" w:sz="0" w:space="0" w:color="auto"/>
        <w:bottom w:val="none" w:sz="0" w:space="0" w:color="auto"/>
        <w:right w:val="none" w:sz="0" w:space="0" w:color="auto"/>
      </w:divBdr>
    </w:div>
    <w:div w:id="1370687663">
      <w:bodyDiv w:val="1"/>
      <w:marLeft w:val="0"/>
      <w:marRight w:val="0"/>
      <w:marTop w:val="0"/>
      <w:marBottom w:val="0"/>
      <w:divBdr>
        <w:top w:val="none" w:sz="0" w:space="0" w:color="auto"/>
        <w:left w:val="none" w:sz="0" w:space="0" w:color="auto"/>
        <w:bottom w:val="none" w:sz="0" w:space="0" w:color="auto"/>
        <w:right w:val="none" w:sz="0" w:space="0" w:color="auto"/>
      </w:divBdr>
    </w:div>
    <w:div w:id="1485203091">
      <w:bodyDiv w:val="1"/>
      <w:marLeft w:val="0"/>
      <w:marRight w:val="0"/>
      <w:marTop w:val="0"/>
      <w:marBottom w:val="0"/>
      <w:divBdr>
        <w:top w:val="none" w:sz="0" w:space="0" w:color="auto"/>
        <w:left w:val="none" w:sz="0" w:space="0" w:color="auto"/>
        <w:bottom w:val="none" w:sz="0" w:space="0" w:color="auto"/>
        <w:right w:val="none" w:sz="0" w:space="0" w:color="auto"/>
      </w:divBdr>
    </w:div>
    <w:div w:id="1506744151">
      <w:bodyDiv w:val="1"/>
      <w:marLeft w:val="0"/>
      <w:marRight w:val="0"/>
      <w:marTop w:val="0"/>
      <w:marBottom w:val="0"/>
      <w:divBdr>
        <w:top w:val="none" w:sz="0" w:space="0" w:color="auto"/>
        <w:left w:val="none" w:sz="0" w:space="0" w:color="auto"/>
        <w:bottom w:val="none" w:sz="0" w:space="0" w:color="auto"/>
        <w:right w:val="none" w:sz="0" w:space="0" w:color="auto"/>
      </w:divBdr>
    </w:div>
    <w:div w:id="1516378174">
      <w:bodyDiv w:val="1"/>
      <w:marLeft w:val="0"/>
      <w:marRight w:val="0"/>
      <w:marTop w:val="0"/>
      <w:marBottom w:val="0"/>
      <w:divBdr>
        <w:top w:val="none" w:sz="0" w:space="0" w:color="auto"/>
        <w:left w:val="none" w:sz="0" w:space="0" w:color="auto"/>
        <w:bottom w:val="none" w:sz="0" w:space="0" w:color="auto"/>
        <w:right w:val="none" w:sz="0" w:space="0" w:color="auto"/>
      </w:divBdr>
    </w:div>
    <w:div w:id="1560550347">
      <w:bodyDiv w:val="1"/>
      <w:marLeft w:val="0"/>
      <w:marRight w:val="0"/>
      <w:marTop w:val="0"/>
      <w:marBottom w:val="0"/>
      <w:divBdr>
        <w:top w:val="none" w:sz="0" w:space="0" w:color="auto"/>
        <w:left w:val="none" w:sz="0" w:space="0" w:color="auto"/>
        <w:bottom w:val="none" w:sz="0" w:space="0" w:color="auto"/>
        <w:right w:val="none" w:sz="0" w:space="0" w:color="auto"/>
      </w:divBdr>
    </w:div>
    <w:div w:id="1600525005">
      <w:bodyDiv w:val="1"/>
      <w:marLeft w:val="0"/>
      <w:marRight w:val="0"/>
      <w:marTop w:val="0"/>
      <w:marBottom w:val="0"/>
      <w:divBdr>
        <w:top w:val="none" w:sz="0" w:space="0" w:color="auto"/>
        <w:left w:val="none" w:sz="0" w:space="0" w:color="auto"/>
        <w:bottom w:val="none" w:sz="0" w:space="0" w:color="auto"/>
        <w:right w:val="none" w:sz="0" w:space="0" w:color="auto"/>
      </w:divBdr>
    </w:div>
    <w:div w:id="1723793939">
      <w:bodyDiv w:val="1"/>
      <w:marLeft w:val="0"/>
      <w:marRight w:val="0"/>
      <w:marTop w:val="0"/>
      <w:marBottom w:val="0"/>
      <w:divBdr>
        <w:top w:val="none" w:sz="0" w:space="0" w:color="auto"/>
        <w:left w:val="none" w:sz="0" w:space="0" w:color="auto"/>
        <w:bottom w:val="none" w:sz="0" w:space="0" w:color="auto"/>
        <w:right w:val="none" w:sz="0" w:space="0" w:color="auto"/>
      </w:divBdr>
    </w:div>
    <w:div w:id="1786074070">
      <w:bodyDiv w:val="1"/>
      <w:marLeft w:val="0"/>
      <w:marRight w:val="0"/>
      <w:marTop w:val="0"/>
      <w:marBottom w:val="0"/>
      <w:divBdr>
        <w:top w:val="none" w:sz="0" w:space="0" w:color="auto"/>
        <w:left w:val="none" w:sz="0" w:space="0" w:color="auto"/>
        <w:bottom w:val="none" w:sz="0" w:space="0" w:color="auto"/>
        <w:right w:val="none" w:sz="0" w:space="0" w:color="auto"/>
      </w:divBdr>
    </w:div>
    <w:div w:id="1953708723">
      <w:bodyDiv w:val="1"/>
      <w:marLeft w:val="0"/>
      <w:marRight w:val="0"/>
      <w:marTop w:val="0"/>
      <w:marBottom w:val="0"/>
      <w:divBdr>
        <w:top w:val="none" w:sz="0" w:space="0" w:color="auto"/>
        <w:left w:val="none" w:sz="0" w:space="0" w:color="auto"/>
        <w:bottom w:val="none" w:sz="0" w:space="0" w:color="auto"/>
        <w:right w:val="none" w:sz="0" w:space="0" w:color="auto"/>
      </w:divBdr>
    </w:div>
    <w:div w:id="2067726570">
      <w:bodyDiv w:val="1"/>
      <w:marLeft w:val="0"/>
      <w:marRight w:val="0"/>
      <w:marTop w:val="0"/>
      <w:marBottom w:val="0"/>
      <w:divBdr>
        <w:top w:val="none" w:sz="0" w:space="0" w:color="auto"/>
        <w:left w:val="none" w:sz="0" w:space="0" w:color="auto"/>
        <w:bottom w:val="none" w:sz="0" w:space="0" w:color="auto"/>
        <w:right w:val="none" w:sz="0" w:space="0" w:color="auto"/>
      </w:divBdr>
    </w:div>
    <w:div w:id="20706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veka/energie-en-klimaatbeleid/energie-en-klimaatbeleid-voor-ondernemingen/eu-emissiehandelssysteem-eu-ets/ets-verplichtingen-voor-vaste-installaties"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tyles" Target="styles.xml"/><Relationship Id="rId12" Type="http://schemas.openxmlformats.org/officeDocument/2006/relationships/hyperlink" Target="https://eur-lex.europa.eu/legal-content/NL/TXT/?uri=CELEX:32019R0331" TargetMode="External"/><Relationship Id="rId17" Type="http://schemas.openxmlformats.org/officeDocument/2006/relationships/image" Target="media/image1.emf"/><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hyperlink" Target="https://www.vlaanderen.be/veka/energie-en-klimaatbeleid/energie-en-klimaatbeleid-voor-ondernemingen/eu-emissiehandelssysteem-eu-ets/ets-verplichtingen-voor-vaste-installaties"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s://eur-lex.europa.eu/eli/reg_impl/2019/1842/2022-06-19" TargetMode="External"/><Relationship Id="rId23" Type="http://schemas.openxmlformats.org/officeDocument/2006/relationships/package" Target="embeddings/Microsoft_Excel_Worksheet1.xls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ur-lex.europa.eu/legal-content/EN/TXT/?uri=CELEX:02018R2066-202401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bbv@vbbv.be" TargetMode="External"/><Relationship Id="rId22" Type="http://schemas.openxmlformats.org/officeDocument/2006/relationships/image" Target="media/image4.emf"/><Relationship Id="rId27" Type="http://schemas.openxmlformats.org/officeDocument/2006/relationships/package" Target="embeddings/Microsoft_Word_Document.docx"/><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3861-EU-emissiehandelssysteem-ETS-update-van-de-regels-voor-kosteloze-toewijzing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9" ma:contentTypeDescription="" ma:contentTypeScope="" ma:versionID="f81d2138050b710eb6783ee5f93d199a">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0a64909e199f6e08cf741665b3c58924"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4e8441db-d1e3-4f4c-84e1-64813436a374</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Documentdatum xmlns="071eca32-85d3-4baf-8b57-b8706dd84d64">2019-10-23T07:57:00+00:00</Documentdatum>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MMP</TermName>
          <TermId xmlns="http://schemas.microsoft.com/office/infopath/2007/PartnerControls">4f6de85f-467f-46df-8a94-2bc7bdc6e736</TermId>
        </TermInfo>
      </Terms>
    </p59ef1a9c98a48cd9d43cdd8796a6a43>
    <TaxCatchAll xmlns="9a9ec0f0-7796-43d0-ac1f-4c8c46ee0bd1">
      <Value>219</Value>
      <Value>215</Value>
      <Value>3</Value>
      <Value>2</Value>
      <Value>1</Value>
      <Value>307</Value>
    </TaxCatchAll>
    <_dlc_DocId xmlns="071eca32-85d3-4baf-8b57-b8706dd84d64">SHF3VDE4SWFP-1949273808-187</_dlc_DocId>
    <_dlc_DocIdUrl xmlns="071eca32-85d3-4baf-8b57-b8706dd84d64">
      <Url>https://vlaamseoverheid.sharepoint.com/sites/veka-ets/_layouts/15/DocIdRedir.aspx?ID=SHF3VDE4SWFP-1949273808-187</Url>
      <Description>SHF3VDE4SWFP-1949273808-187</Description>
    </_dlc_DocIdUrl>
  </documentManagement>
</p:properties>
</file>

<file path=customXml/itemProps1.xml><?xml version="1.0" encoding="utf-8"?>
<ds:datastoreItem xmlns:ds="http://schemas.openxmlformats.org/officeDocument/2006/customXml" ds:itemID="{1A90E00F-8730-4585-85F3-EC9B9EBB85AE}">
  <ds:schemaRefs>
    <ds:schemaRef ds:uri="http://schemas.microsoft.com/sharepoint/events"/>
  </ds:schemaRefs>
</ds:datastoreItem>
</file>

<file path=customXml/itemProps2.xml><?xml version="1.0" encoding="utf-8"?>
<ds:datastoreItem xmlns:ds="http://schemas.openxmlformats.org/officeDocument/2006/customXml" ds:itemID="{21340D43-C82C-4365-A563-F2F3B3E56DC8}">
  <ds:schemaRefs>
    <ds:schemaRef ds:uri="http://schemas.microsoft.com/sharepoint/v3/contenttype/forms"/>
  </ds:schemaRefs>
</ds:datastoreItem>
</file>

<file path=customXml/itemProps3.xml><?xml version="1.0" encoding="utf-8"?>
<ds:datastoreItem xmlns:ds="http://schemas.openxmlformats.org/officeDocument/2006/customXml" ds:itemID="{DD2077B5-5F18-4F57-A77F-886D5921F447}">
  <ds:schemaRefs>
    <ds:schemaRef ds:uri="http://schemas.openxmlformats.org/officeDocument/2006/bibliography"/>
  </ds:schemaRefs>
</ds:datastoreItem>
</file>

<file path=customXml/itemProps4.xml><?xml version="1.0" encoding="utf-8"?>
<ds:datastoreItem xmlns:ds="http://schemas.openxmlformats.org/officeDocument/2006/customXml" ds:itemID="{3E15F2C9-EF23-44CC-BEDE-68F14CB89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46ADE3-4925-49BC-8309-195BA8E59F93}">
  <ds:schemaRefs>
    <ds:schemaRef ds:uri="http://schemas.microsoft.com/office/2006/metadata/properties"/>
    <ds:schemaRef ds:uri="http://schemas.microsoft.com/office/infopath/2007/PartnerControls"/>
    <ds:schemaRef ds:uri="071eca32-85d3-4baf-8b57-b8706dd84d64"/>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9148</Words>
  <Characters>50316</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VITO</Company>
  <LinksUpToDate>false</LinksUpToDate>
  <CharactersWithSpaces>59346</CharactersWithSpaces>
  <SharedDoc>false</SharedDoc>
  <HLinks>
    <vt:vector size="330" baseType="variant">
      <vt:variant>
        <vt:i4>1245270</vt:i4>
      </vt:variant>
      <vt:variant>
        <vt:i4>303</vt:i4>
      </vt:variant>
      <vt:variant>
        <vt:i4>0</vt:i4>
      </vt:variant>
      <vt:variant>
        <vt:i4>5</vt:i4>
      </vt:variant>
      <vt:variant>
        <vt:lpwstr>https://eur-lex.europa.eu/legal-content/EN/TXT/?uri=CELEX:02018R2066-20240101</vt:lpwstr>
      </vt:variant>
      <vt:variant>
        <vt:lpwstr/>
      </vt:variant>
      <vt:variant>
        <vt:i4>7536732</vt:i4>
      </vt:variant>
      <vt:variant>
        <vt:i4>300</vt:i4>
      </vt:variant>
      <vt:variant>
        <vt:i4>0</vt:i4>
      </vt:variant>
      <vt:variant>
        <vt:i4>5</vt:i4>
      </vt:variant>
      <vt:variant>
        <vt:lpwstr>https://climate.ec.europa.eu/document/download/a4c0cb40-35f9-4705-882d-b55382d03e9a_en?filename=2_gd2_allocation_methodologies_en.pdf</vt:lpwstr>
      </vt:variant>
      <vt:variant>
        <vt:lpwstr/>
      </vt:variant>
      <vt:variant>
        <vt:i4>7536732</vt:i4>
      </vt:variant>
      <vt:variant>
        <vt:i4>297</vt:i4>
      </vt:variant>
      <vt:variant>
        <vt:i4>0</vt:i4>
      </vt:variant>
      <vt:variant>
        <vt:i4>5</vt:i4>
      </vt:variant>
      <vt:variant>
        <vt:lpwstr>https://climate.ec.europa.eu/document/download/a4c0cb40-35f9-4705-882d-b55382d03e9a_en?filename=2_gd2_allocation_methodologies_en.pdf</vt:lpwstr>
      </vt:variant>
      <vt:variant>
        <vt:lpwstr/>
      </vt:variant>
      <vt:variant>
        <vt:i4>7536732</vt:i4>
      </vt:variant>
      <vt:variant>
        <vt:i4>294</vt:i4>
      </vt:variant>
      <vt:variant>
        <vt:i4>0</vt:i4>
      </vt:variant>
      <vt:variant>
        <vt:i4>5</vt:i4>
      </vt:variant>
      <vt:variant>
        <vt:lpwstr>https://climate.ec.europa.eu/document/download/a4c0cb40-35f9-4705-882d-b55382d03e9a_en?filename=2_gd2_allocation_methodologies_en.pdf</vt:lpwstr>
      </vt:variant>
      <vt:variant>
        <vt:lpwstr/>
      </vt:variant>
      <vt:variant>
        <vt:i4>7995449</vt:i4>
      </vt:variant>
      <vt:variant>
        <vt:i4>288</vt:i4>
      </vt:variant>
      <vt:variant>
        <vt:i4>0</vt:i4>
      </vt:variant>
      <vt:variant>
        <vt:i4>5</vt:i4>
      </vt:variant>
      <vt:variant>
        <vt:lpwstr>https://www.vlaanderen.be/veka/energie-en-klimaatbeleid/energie-en-klimaatbeleid-voor-ondernemingen/eu-emissiehandelssysteem-eu-ets/ets-verplichtingen-voor-vaste-installaties</vt:lpwstr>
      </vt:variant>
      <vt:variant>
        <vt:lpwstr/>
      </vt:variant>
      <vt:variant>
        <vt:i4>4653164</vt:i4>
      </vt:variant>
      <vt:variant>
        <vt:i4>285</vt:i4>
      </vt:variant>
      <vt:variant>
        <vt:i4>0</vt:i4>
      </vt:variant>
      <vt:variant>
        <vt:i4>5</vt:i4>
      </vt:variant>
      <vt:variant>
        <vt:lpwstr>https://eur-lex.europa.eu/eli/reg_impl/2019/1842/2022-06-19</vt:lpwstr>
      </vt:variant>
      <vt:variant>
        <vt:lpwstr/>
      </vt:variant>
      <vt:variant>
        <vt:i4>4194404</vt:i4>
      </vt:variant>
      <vt:variant>
        <vt:i4>282</vt:i4>
      </vt:variant>
      <vt:variant>
        <vt:i4>0</vt:i4>
      </vt:variant>
      <vt:variant>
        <vt:i4>5</vt:i4>
      </vt:variant>
      <vt:variant>
        <vt:lpwstr>mailto:vbbv@vbbv.be</vt:lpwstr>
      </vt:variant>
      <vt:variant>
        <vt:lpwstr/>
      </vt:variant>
      <vt:variant>
        <vt:i4>1245233</vt:i4>
      </vt:variant>
      <vt:variant>
        <vt:i4>275</vt:i4>
      </vt:variant>
      <vt:variant>
        <vt:i4>0</vt:i4>
      </vt:variant>
      <vt:variant>
        <vt:i4>5</vt:i4>
      </vt:variant>
      <vt:variant>
        <vt:lpwstr/>
      </vt:variant>
      <vt:variant>
        <vt:lpwstr>_Toc160465632</vt:lpwstr>
      </vt:variant>
      <vt:variant>
        <vt:i4>1245233</vt:i4>
      </vt:variant>
      <vt:variant>
        <vt:i4>269</vt:i4>
      </vt:variant>
      <vt:variant>
        <vt:i4>0</vt:i4>
      </vt:variant>
      <vt:variant>
        <vt:i4>5</vt:i4>
      </vt:variant>
      <vt:variant>
        <vt:lpwstr/>
      </vt:variant>
      <vt:variant>
        <vt:lpwstr>_Toc160465631</vt:lpwstr>
      </vt:variant>
      <vt:variant>
        <vt:i4>1245233</vt:i4>
      </vt:variant>
      <vt:variant>
        <vt:i4>263</vt:i4>
      </vt:variant>
      <vt:variant>
        <vt:i4>0</vt:i4>
      </vt:variant>
      <vt:variant>
        <vt:i4>5</vt:i4>
      </vt:variant>
      <vt:variant>
        <vt:lpwstr/>
      </vt:variant>
      <vt:variant>
        <vt:lpwstr>_Toc160465630</vt:lpwstr>
      </vt:variant>
      <vt:variant>
        <vt:i4>1179697</vt:i4>
      </vt:variant>
      <vt:variant>
        <vt:i4>257</vt:i4>
      </vt:variant>
      <vt:variant>
        <vt:i4>0</vt:i4>
      </vt:variant>
      <vt:variant>
        <vt:i4>5</vt:i4>
      </vt:variant>
      <vt:variant>
        <vt:lpwstr/>
      </vt:variant>
      <vt:variant>
        <vt:lpwstr>_Toc160465629</vt:lpwstr>
      </vt:variant>
      <vt:variant>
        <vt:i4>1179697</vt:i4>
      </vt:variant>
      <vt:variant>
        <vt:i4>251</vt:i4>
      </vt:variant>
      <vt:variant>
        <vt:i4>0</vt:i4>
      </vt:variant>
      <vt:variant>
        <vt:i4>5</vt:i4>
      </vt:variant>
      <vt:variant>
        <vt:lpwstr/>
      </vt:variant>
      <vt:variant>
        <vt:lpwstr>_Toc160465628</vt:lpwstr>
      </vt:variant>
      <vt:variant>
        <vt:i4>1179697</vt:i4>
      </vt:variant>
      <vt:variant>
        <vt:i4>245</vt:i4>
      </vt:variant>
      <vt:variant>
        <vt:i4>0</vt:i4>
      </vt:variant>
      <vt:variant>
        <vt:i4>5</vt:i4>
      </vt:variant>
      <vt:variant>
        <vt:lpwstr/>
      </vt:variant>
      <vt:variant>
        <vt:lpwstr>_Toc160465627</vt:lpwstr>
      </vt:variant>
      <vt:variant>
        <vt:i4>1179697</vt:i4>
      </vt:variant>
      <vt:variant>
        <vt:i4>239</vt:i4>
      </vt:variant>
      <vt:variant>
        <vt:i4>0</vt:i4>
      </vt:variant>
      <vt:variant>
        <vt:i4>5</vt:i4>
      </vt:variant>
      <vt:variant>
        <vt:lpwstr/>
      </vt:variant>
      <vt:variant>
        <vt:lpwstr>_Toc160465626</vt:lpwstr>
      </vt:variant>
      <vt:variant>
        <vt:i4>1179697</vt:i4>
      </vt:variant>
      <vt:variant>
        <vt:i4>233</vt:i4>
      </vt:variant>
      <vt:variant>
        <vt:i4>0</vt:i4>
      </vt:variant>
      <vt:variant>
        <vt:i4>5</vt:i4>
      </vt:variant>
      <vt:variant>
        <vt:lpwstr/>
      </vt:variant>
      <vt:variant>
        <vt:lpwstr>_Toc160465625</vt:lpwstr>
      </vt:variant>
      <vt:variant>
        <vt:i4>1179697</vt:i4>
      </vt:variant>
      <vt:variant>
        <vt:i4>227</vt:i4>
      </vt:variant>
      <vt:variant>
        <vt:i4>0</vt:i4>
      </vt:variant>
      <vt:variant>
        <vt:i4>5</vt:i4>
      </vt:variant>
      <vt:variant>
        <vt:lpwstr/>
      </vt:variant>
      <vt:variant>
        <vt:lpwstr>_Toc160465624</vt:lpwstr>
      </vt:variant>
      <vt:variant>
        <vt:i4>1179697</vt:i4>
      </vt:variant>
      <vt:variant>
        <vt:i4>221</vt:i4>
      </vt:variant>
      <vt:variant>
        <vt:i4>0</vt:i4>
      </vt:variant>
      <vt:variant>
        <vt:i4>5</vt:i4>
      </vt:variant>
      <vt:variant>
        <vt:lpwstr/>
      </vt:variant>
      <vt:variant>
        <vt:lpwstr>_Toc160465623</vt:lpwstr>
      </vt:variant>
      <vt:variant>
        <vt:i4>1179697</vt:i4>
      </vt:variant>
      <vt:variant>
        <vt:i4>215</vt:i4>
      </vt:variant>
      <vt:variant>
        <vt:i4>0</vt:i4>
      </vt:variant>
      <vt:variant>
        <vt:i4>5</vt:i4>
      </vt:variant>
      <vt:variant>
        <vt:lpwstr/>
      </vt:variant>
      <vt:variant>
        <vt:lpwstr>_Toc160465622</vt:lpwstr>
      </vt:variant>
      <vt:variant>
        <vt:i4>1179697</vt:i4>
      </vt:variant>
      <vt:variant>
        <vt:i4>209</vt:i4>
      </vt:variant>
      <vt:variant>
        <vt:i4>0</vt:i4>
      </vt:variant>
      <vt:variant>
        <vt:i4>5</vt:i4>
      </vt:variant>
      <vt:variant>
        <vt:lpwstr/>
      </vt:variant>
      <vt:variant>
        <vt:lpwstr>_Toc160465621</vt:lpwstr>
      </vt:variant>
      <vt:variant>
        <vt:i4>1179697</vt:i4>
      </vt:variant>
      <vt:variant>
        <vt:i4>203</vt:i4>
      </vt:variant>
      <vt:variant>
        <vt:i4>0</vt:i4>
      </vt:variant>
      <vt:variant>
        <vt:i4>5</vt:i4>
      </vt:variant>
      <vt:variant>
        <vt:lpwstr/>
      </vt:variant>
      <vt:variant>
        <vt:lpwstr>_Toc160465620</vt:lpwstr>
      </vt:variant>
      <vt:variant>
        <vt:i4>1114161</vt:i4>
      </vt:variant>
      <vt:variant>
        <vt:i4>197</vt:i4>
      </vt:variant>
      <vt:variant>
        <vt:i4>0</vt:i4>
      </vt:variant>
      <vt:variant>
        <vt:i4>5</vt:i4>
      </vt:variant>
      <vt:variant>
        <vt:lpwstr/>
      </vt:variant>
      <vt:variant>
        <vt:lpwstr>_Toc160465619</vt:lpwstr>
      </vt:variant>
      <vt:variant>
        <vt:i4>1114161</vt:i4>
      </vt:variant>
      <vt:variant>
        <vt:i4>191</vt:i4>
      </vt:variant>
      <vt:variant>
        <vt:i4>0</vt:i4>
      </vt:variant>
      <vt:variant>
        <vt:i4>5</vt:i4>
      </vt:variant>
      <vt:variant>
        <vt:lpwstr/>
      </vt:variant>
      <vt:variant>
        <vt:lpwstr>_Toc160465618</vt:lpwstr>
      </vt:variant>
      <vt:variant>
        <vt:i4>1114161</vt:i4>
      </vt:variant>
      <vt:variant>
        <vt:i4>185</vt:i4>
      </vt:variant>
      <vt:variant>
        <vt:i4>0</vt:i4>
      </vt:variant>
      <vt:variant>
        <vt:i4>5</vt:i4>
      </vt:variant>
      <vt:variant>
        <vt:lpwstr/>
      </vt:variant>
      <vt:variant>
        <vt:lpwstr>_Toc160465617</vt:lpwstr>
      </vt:variant>
      <vt:variant>
        <vt:i4>1114161</vt:i4>
      </vt:variant>
      <vt:variant>
        <vt:i4>179</vt:i4>
      </vt:variant>
      <vt:variant>
        <vt:i4>0</vt:i4>
      </vt:variant>
      <vt:variant>
        <vt:i4>5</vt:i4>
      </vt:variant>
      <vt:variant>
        <vt:lpwstr/>
      </vt:variant>
      <vt:variant>
        <vt:lpwstr>_Toc160465616</vt:lpwstr>
      </vt:variant>
      <vt:variant>
        <vt:i4>1114161</vt:i4>
      </vt:variant>
      <vt:variant>
        <vt:i4>173</vt:i4>
      </vt:variant>
      <vt:variant>
        <vt:i4>0</vt:i4>
      </vt:variant>
      <vt:variant>
        <vt:i4>5</vt:i4>
      </vt:variant>
      <vt:variant>
        <vt:lpwstr/>
      </vt:variant>
      <vt:variant>
        <vt:lpwstr>_Toc160465615</vt:lpwstr>
      </vt:variant>
      <vt:variant>
        <vt:i4>1114161</vt:i4>
      </vt:variant>
      <vt:variant>
        <vt:i4>167</vt:i4>
      </vt:variant>
      <vt:variant>
        <vt:i4>0</vt:i4>
      </vt:variant>
      <vt:variant>
        <vt:i4>5</vt:i4>
      </vt:variant>
      <vt:variant>
        <vt:lpwstr/>
      </vt:variant>
      <vt:variant>
        <vt:lpwstr>_Toc160465614</vt:lpwstr>
      </vt:variant>
      <vt:variant>
        <vt:i4>1114161</vt:i4>
      </vt:variant>
      <vt:variant>
        <vt:i4>161</vt:i4>
      </vt:variant>
      <vt:variant>
        <vt:i4>0</vt:i4>
      </vt:variant>
      <vt:variant>
        <vt:i4>5</vt:i4>
      </vt:variant>
      <vt:variant>
        <vt:lpwstr/>
      </vt:variant>
      <vt:variant>
        <vt:lpwstr>_Toc160465613</vt:lpwstr>
      </vt:variant>
      <vt:variant>
        <vt:i4>1114161</vt:i4>
      </vt:variant>
      <vt:variant>
        <vt:i4>155</vt:i4>
      </vt:variant>
      <vt:variant>
        <vt:i4>0</vt:i4>
      </vt:variant>
      <vt:variant>
        <vt:i4>5</vt:i4>
      </vt:variant>
      <vt:variant>
        <vt:lpwstr/>
      </vt:variant>
      <vt:variant>
        <vt:lpwstr>_Toc160465612</vt:lpwstr>
      </vt:variant>
      <vt:variant>
        <vt:i4>1114161</vt:i4>
      </vt:variant>
      <vt:variant>
        <vt:i4>149</vt:i4>
      </vt:variant>
      <vt:variant>
        <vt:i4>0</vt:i4>
      </vt:variant>
      <vt:variant>
        <vt:i4>5</vt:i4>
      </vt:variant>
      <vt:variant>
        <vt:lpwstr/>
      </vt:variant>
      <vt:variant>
        <vt:lpwstr>_Toc160465611</vt:lpwstr>
      </vt:variant>
      <vt:variant>
        <vt:i4>1114161</vt:i4>
      </vt:variant>
      <vt:variant>
        <vt:i4>143</vt:i4>
      </vt:variant>
      <vt:variant>
        <vt:i4>0</vt:i4>
      </vt:variant>
      <vt:variant>
        <vt:i4>5</vt:i4>
      </vt:variant>
      <vt:variant>
        <vt:lpwstr/>
      </vt:variant>
      <vt:variant>
        <vt:lpwstr>_Toc160465610</vt:lpwstr>
      </vt:variant>
      <vt:variant>
        <vt:i4>1048625</vt:i4>
      </vt:variant>
      <vt:variant>
        <vt:i4>137</vt:i4>
      </vt:variant>
      <vt:variant>
        <vt:i4>0</vt:i4>
      </vt:variant>
      <vt:variant>
        <vt:i4>5</vt:i4>
      </vt:variant>
      <vt:variant>
        <vt:lpwstr/>
      </vt:variant>
      <vt:variant>
        <vt:lpwstr>_Toc160465609</vt:lpwstr>
      </vt:variant>
      <vt:variant>
        <vt:i4>1048625</vt:i4>
      </vt:variant>
      <vt:variant>
        <vt:i4>131</vt:i4>
      </vt:variant>
      <vt:variant>
        <vt:i4>0</vt:i4>
      </vt:variant>
      <vt:variant>
        <vt:i4>5</vt:i4>
      </vt:variant>
      <vt:variant>
        <vt:lpwstr/>
      </vt:variant>
      <vt:variant>
        <vt:lpwstr>_Toc160465608</vt:lpwstr>
      </vt:variant>
      <vt:variant>
        <vt:i4>1048625</vt:i4>
      </vt:variant>
      <vt:variant>
        <vt:i4>125</vt:i4>
      </vt:variant>
      <vt:variant>
        <vt:i4>0</vt:i4>
      </vt:variant>
      <vt:variant>
        <vt:i4>5</vt:i4>
      </vt:variant>
      <vt:variant>
        <vt:lpwstr/>
      </vt:variant>
      <vt:variant>
        <vt:lpwstr>_Toc160465607</vt:lpwstr>
      </vt:variant>
      <vt:variant>
        <vt:i4>1048625</vt:i4>
      </vt:variant>
      <vt:variant>
        <vt:i4>119</vt:i4>
      </vt:variant>
      <vt:variant>
        <vt:i4>0</vt:i4>
      </vt:variant>
      <vt:variant>
        <vt:i4>5</vt:i4>
      </vt:variant>
      <vt:variant>
        <vt:lpwstr/>
      </vt:variant>
      <vt:variant>
        <vt:lpwstr>_Toc160465606</vt:lpwstr>
      </vt:variant>
      <vt:variant>
        <vt:i4>1048625</vt:i4>
      </vt:variant>
      <vt:variant>
        <vt:i4>113</vt:i4>
      </vt:variant>
      <vt:variant>
        <vt:i4>0</vt:i4>
      </vt:variant>
      <vt:variant>
        <vt:i4>5</vt:i4>
      </vt:variant>
      <vt:variant>
        <vt:lpwstr/>
      </vt:variant>
      <vt:variant>
        <vt:lpwstr>_Toc160465605</vt:lpwstr>
      </vt:variant>
      <vt:variant>
        <vt:i4>1048625</vt:i4>
      </vt:variant>
      <vt:variant>
        <vt:i4>107</vt:i4>
      </vt:variant>
      <vt:variant>
        <vt:i4>0</vt:i4>
      </vt:variant>
      <vt:variant>
        <vt:i4>5</vt:i4>
      </vt:variant>
      <vt:variant>
        <vt:lpwstr/>
      </vt:variant>
      <vt:variant>
        <vt:lpwstr>_Toc160465604</vt:lpwstr>
      </vt:variant>
      <vt:variant>
        <vt:i4>1048625</vt:i4>
      </vt:variant>
      <vt:variant>
        <vt:i4>101</vt:i4>
      </vt:variant>
      <vt:variant>
        <vt:i4>0</vt:i4>
      </vt:variant>
      <vt:variant>
        <vt:i4>5</vt:i4>
      </vt:variant>
      <vt:variant>
        <vt:lpwstr/>
      </vt:variant>
      <vt:variant>
        <vt:lpwstr>_Toc160465603</vt:lpwstr>
      </vt:variant>
      <vt:variant>
        <vt:i4>1048625</vt:i4>
      </vt:variant>
      <vt:variant>
        <vt:i4>95</vt:i4>
      </vt:variant>
      <vt:variant>
        <vt:i4>0</vt:i4>
      </vt:variant>
      <vt:variant>
        <vt:i4>5</vt:i4>
      </vt:variant>
      <vt:variant>
        <vt:lpwstr/>
      </vt:variant>
      <vt:variant>
        <vt:lpwstr>_Toc160465602</vt:lpwstr>
      </vt:variant>
      <vt:variant>
        <vt:i4>1048625</vt:i4>
      </vt:variant>
      <vt:variant>
        <vt:i4>89</vt:i4>
      </vt:variant>
      <vt:variant>
        <vt:i4>0</vt:i4>
      </vt:variant>
      <vt:variant>
        <vt:i4>5</vt:i4>
      </vt:variant>
      <vt:variant>
        <vt:lpwstr/>
      </vt:variant>
      <vt:variant>
        <vt:lpwstr>_Toc160465601</vt:lpwstr>
      </vt:variant>
      <vt:variant>
        <vt:i4>1048625</vt:i4>
      </vt:variant>
      <vt:variant>
        <vt:i4>83</vt:i4>
      </vt:variant>
      <vt:variant>
        <vt:i4>0</vt:i4>
      </vt:variant>
      <vt:variant>
        <vt:i4>5</vt:i4>
      </vt:variant>
      <vt:variant>
        <vt:lpwstr/>
      </vt:variant>
      <vt:variant>
        <vt:lpwstr>_Toc160465600</vt:lpwstr>
      </vt:variant>
      <vt:variant>
        <vt:i4>1638450</vt:i4>
      </vt:variant>
      <vt:variant>
        <vt:i4>77</vt:i4>
      </vt:variant>
      <vt:variant>
        <vt:i4>0</vt:i4>
      </vt:variant>
      <vt:variant>
        <vt:i4>5</vt:i4>
      </vt:variant>
      <vt:variant>
        <vt:lpwstr/>
      </vt:variant>
      <vt:variant>
        <vt:lpwstr>_Toc160465599</vt:lpwstr>
      </vt:variant>
      <vt:variant>
        <vt:i4>1638450</vt:i4>
      </vt:variant>
      <vt:variant>
        <vt:i4>71</vt:i4>
      </vt:variant>
      <vt:variant>
        <vt:i4>0</vt:i4>
      </vt:variant>
      <vt:variant>
        <vt:i4>5</vt:i4>
      </vt:variant>
      <vt:variant>
        <vt:lpwstr/>
      </vt:variant>
      <vt:variant>
        <vt:lpwstr>_Toc160465598</vt:lpwstr>
      </vt:variant>
      <vt:variant>
        <vt:i4>1638450</vt:i4>
      </vt:variant>
      <vt:variant>
        <vt:i4>65</vt:i4>
      </vt:variant>
      <vt:variant>
        <vt:i4>0</vt:i4>
      </vt:variant>
      <vt:variant>
        <vt:i4>5</vt:i4>
      </vt:variant>
      <vt:variant>
        <vt:lpwstr/>
      </vt:variant>
      <vt:variant>
        <vt:lpwstr>_Toc160465597</vt:lpwstr>
      </vt:variant>
      <vt:variant>
        <vt:i4>1638450</vt:i4>
      </vt:variant>
      <vt:variant>
        <vt:i4>59</vt:i4>
      </vt:variant>
      <vt:variant>
        <vt:i4>0</vt:i4>
      </vt:variant>
      <vt:variant>
        <vt:i4>5</vt:i4>
      </vt:variant>
      <vt:variant>
        <vt:lpwstr/>
      </vt:variant>
      <vt:variant>
        <vt:lpwstr>_Toc160465596</vt:lpwstr>
      </vt:variant>
      <vt:variant>
        <vt:i4>1638450</vt:i4>
      </vt:variant>
      <vt:variant>
        <vt:i4>53</vt:i4>
      </vt:variant>
      <vt:variant>
        <vt:i4>0</vt:i4>
      </vt:variant>
      <vt:variant>
        <vt:i4>5</vt:i4>
      </vt:variant>
      <vt:variant>
        <vt:lpwstr/>
      </vt:variant>
      <vt:variant>
        <vt:lpwstr>_Toc160465595</vt:lpwstr>
      </vt:variant>
      <vt:variant>
        <vt:i4>1638450</vt:i4>
      </vt:variant>
      <vt:variant>
        <vt:i4>47</vt:i4>
      </vt:variant>
      <vt:variant>
        <vt:i4>0</vt:i4>
      </vt:variant>
      <vt:variant>
        <vt:i4>5</vt:i4>
      </vt:variant>
      <vt:variant>
        <vt:lpwstr/>
      </vt:variant>
      <vt:variant>
        <vt:lpwstr>_Toc160465594</vt:lpwstr>
      </vt:variant>
      <vt:variant>
        <vt:i4>1638450</vt:i4>
      </vt:variant>
      <vt:variant>
        <vt:i4>41</vt:i4>
      </vt:variant>
      <vt:variant>
        <vt:i4>0</vt:i4>
      </vt:variant>
      <vt:variant>
        <vt:i4>5</vt:i4>
      </vt:variant>
      <vt:variant>
        <vt:lpwstr/>
      </vt:variant>
      <vt:variant>
        <vt:lpwstr>_Toc160465593</vt:lpwstr>
      </vt:variant>
      <vt:variant>
        <vt:i4>1638450</vt:i4>
      </vt:variant>
      <vt:variant>
        <vt:i4>35</vt:i4>
      </vt:variant>
      <vt:variant>
        <vt:i4>0</vt:i4>
      </vt:variant>
      <vt:variant>
        <vt:i4>5</vt:i4>
      </vt:variant>
      <vt:variant>
        <vt:lpwstr/>
      </vt:variant>
      <vt:variant>
        <vt:lpwstr>_Toc160465592</vt:lpwstr>
      </vt:variant>
      <vt:variant>
        <vt:i4>1638450</vt:i4>
      </vt:variant>
      <vt:variant>
        <vt:i4>29</vt:i4>
      </vt:variant>
      <vt:variant>
        <vt:i4>0</vt:i4>
      </vt:variant>
      <vt:variant>
        <vt:i4>5</vt:i4>
      </vt:variant>
      <vt:variant>
        <vt:lpwstr/>
      </vt:variant>
      <vt:variant>
        <vt:lpwstr>_Toc160465591</vt:lpwstr>
      </vt:variant>
      <vt:variant>
        <vt:i4>1638450</vt:i4>
      </vt:variant>
      <vt:variant>
        <vt:i4>23</vt:i4>
      </vt:variant>
      <vt:variant>
        <vt:i4>0</vt:i4>
      </vt:variant>
      <vt:variant>
        <vt:i4>5</vt:i4>
      </vt:variant>
      <vt:variant>
        <vt:lpwstr/>
      </vt:variant>
      <vt:variant>
        <vt:lpwstr>_Toc160465590</vt:lpwstr>
      </vt:variant>
      <vt:variant>
        <vt:i4>1572914</vt:i4>
      </vt:variant>
      <vt:variant>
        <vt:i4>17</vt:i4>
      </vt:variant>
      <vt:variant>
        <vt:i4>0</vt:i4>
      </vt:variant>
      <vt:variant>
        <vt:i4>5</vt:i4>
      </vt:variant>
      <vt:variant>
        <vt:lpwstr/>
      </vt:variant>
      <vt:variant>
        <vt:lpwstr>_Toc160465589</vt:lpwstr>
      </vt:variant>
      <vt:variant>
        <vt:i4>1572914</vt:i4>
      </vt:variant>
      <vt:variant>
        <vt:i4>11</vt:i4>
      </vt:variant>
      <vt:variant>
        <vt:i4>0</vt:i4>
      </vt:variant>
      <vt:variant>
        <vt:i4>5</vt:i4>
      </vt:variant>
      <vt:variant>
        <vt:lpwstr/>
      </vt:variant>
      <vt:variant>
        <vt:lpwstr>_Toc160465588</vt:lpwstr>
      </vt:variant>
      <vt:variant>
        <vt:i4>7995449</vt:i4>
      </vt:variant>
      <vt:variant>
        <vt:i4>6</vt:i4>
      </vt:variant>
      <vt:variant>
        <vt:i4>0</vt:i4>
      </vt:variant>
      <vt:variant>
        <vt:i4>5</vt:i4>
      </vt:variant>
      <vt:variant>
        <vt:lpwstr>https://www.vlaanderen.be/veka/energie-en-klimaatbeleid/energie-en-klimaatbeleid-voor-ondernemingen/eu-emissiehandelssysteem-eu-ets/ets-verplichtingen-voor-vaste-installaties</vt:lpwstr>
      </vt:variant>
      <vt:variant>
        <vt:lpwstr/>
      </vt:variant>
      <vt:variant>
        <vt:i4>1376320</vt:i4>
      </vt:variant>
      <vt:variant>
        <vt:i4>3</vt:i4>
      </vt:variant>
      <vt:variant>
        <vt:i4>0</vt:i4>
      </vt:variant>
      <vt:variant>
        <vt:i4>5</vt:i4>
      </vt:variant>
      <vt:variant>
        <vt:lpwstr>https://eur-lex.europa.eu/legal-content/NL/TXT/?uri=CELEX:32019R0331</vt:lpwstr>
      </vt:variant>
      <vt:variant>
        <vt:lpwstr/>
      </vt:variant>
      <vt:variant>
        <vt:i4>852079</vt:i4>
      </vt:variant>
      <vt:variant>
        <vt:i4>0</vt:i4>
      </vt:variant>
      <vt:variant>
        <vt:i4>0</vt:i4>
      </vt:variant>
      <vt:variant>
        <vt:i4>5</vt:i4>
      </vt:variant>
      <vt:variant>
        <vt:lpwstr>https://ec.europa.eu/info/law/better-regulation/have-your-say/initiatives/13861-EU-emissiehandelssysteem-ETS-update-van-de-regels-voor-kosteloze-toewijzing_nl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Xavier</dc:creator>
  <cp:keywords/>
  <cp:lastModifiedBy>Defranc Thomas</cp:lastModifiedBy>
  <cp:revision>3</cp:revision>
  <cp:lastPrinted>2019-10-17T20:24:00Z</cp:lastPrinted>
  <dcterms:created xsi:type="dcterms:W3CDTF">2024-03-04T16:27:00Z</dcterms:created>
  <dcterms:modified xsi:type="dcterms:W3CDTF">2024-03-04T16:27:00Z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Order">
    <vt:r8>100</vt:r8>
  </property>
  <property fmtid="{D5CDD505-2E9C-101B-9397-08002B2CF9AE}" pid="4" name="Status rapport">
    <vt:lpwstr/>
  </property>
  <property fmtid="{D5CDD505-2E9C-101B-9397-08002B2CF9AE}" pid="5" name="Sitethema">
    <vt:lpwstr>1;#Industrieel klimaatbeleid|678895cd-ec20-4265-9cba-ee51fbc7e8e4;#2;#EU ETS|caa3bb60-80c5-4f9b-85b5-ef3831571a18;#3;#Energie- en klimaattransitie|236e6c75-c1c0-4f46-b61c-8c597e1ff9f0</vt:lpwstr>
  </property>
  <property fmtid="{D5CDD505-2E9C-101B-9397-08002B2CF9AE}" pid="6" name="Documentsoort">
    <vt:lpwstr>215;#Handleiding|6c5f58d3-d169-4956-81d3-9e0c5eee179f</vt:lpwstr>
  </property>
  <property fmtid="{D5CDD505-2E9C-101B-9397-08002B2CF9AE}" pid="7" name="Status document">
    <vt:lpwstr>307;#Ontwerp|4e8441db-d1e3-4f4c-84e1-64813436a374</vt:lpwstr>
  </property>
  <property fmtid="{D5CDD505-2E9C-101B-9397-08002B2CF9AE}" pid="8" name="Proces">
    <vt:lpwstr/>
  </property>
  <property fmtid="{D5CDD505-2E9C-101B-9397-08002B2CF9AE}" pid="9" name="Type rapport">
    <vt:lpwstr>219;#MMP|4f6de85f-467f-46df-8a94-2bc7bdc6e736</vt:lpwstr>
  </property>
  <property fmtid="{D5CDD505-2E9C-101B-9397-08002B2CF9AE}" pid="10" name="_dlc_DocIdItemGuid">
    <vt:lpwstr>f13ac759-e726-404f-9123-ff416cd53ebd</vt:lpwstr>
  </property>
</Properties>
</file>