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140B" w14:textId="366CBF7D" w:rsidR="00BC34D5" w:rsidRPr="00536EC0" w:rsidRDefault="00BC34D5" w:rsidP="00BC34D5">
      <w:pPr>
        <w:pStyle w:val="Documenttype"/>
      </w:pPr>
      <w:r w:rsidRPr="005715D9">
        <w:rPr>
          <w:noProof/>
          <w:sz w:val="18"/>
          <w:szCs w:val="18"/>
          <w:lang w:eastAsia="nl-BE"/>
        </w:rPr>
        <w:drawing>
          <wp:anchor distT="0" distB="0" distL="114300" distR="114300" simplePos="0" relativeHeight="251658240" behindDoc="0" locked="0" layoutInCell="1" allowOverlap="1" wp14:anchorId="301EE195" wp14:editId="4E172372">
            <wp:simplePos x="0" y="0"/>
            <wp:positionH relativeFrom="page">
              <wp:posOffset>956310</wp:posOffset>
            </wp:positionH>
            <wp:positionV relativeFrom="page">
              <wp:posOffset>832485</wp:posOffset>
            </wp:positionV>
            <wp:extent cx="2451600" cy="658800"/>
            <wp:effectExtent l="0" t="0" r="6350" b="825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600" cy="658800"/>
                    </a:xfrm>
                    <a:prstGeom prst="rect">
                      <a:avLst/>
                    </a:prstGeom>
                  </pic:spPr>
                </pic:pic>
              </a:graphicData>
            </a:graphic>
            <wp14:sizeRelH relativeFrom="margin">
              <wp14:pctWidth>0</wp14:pctWidth>
            </wp14:sizeRelH>
            <wp14:sizeRelV relativeFrom="margin">
              <wp14:pctHeight>0</wp14:pctHeight>
            </wp14:sizeRelV>
          </wp:anchor>
        </w:drawing>
      </w:r>
      <w:r w:rsidRPr="005715D9">
        <w:t xml:space="preserve">/ </w:t>
      </w:r>
      <w:r>
        <w:t>Toelichting</w:t>
      </w:r>
    </w:p>
    <w:p w14:paraId="5B3C57E7" w14:textId="77777777" w:rsidR="00BC34D5" w:rsidRDefault="00BC34D5" w:rsidP="000B6961">
      <w:pPr>
        <w:pStyle w:val="Titel"/>
        <w:jc w:val="both"/>
        <w:rPr>
          <w:rFonts w:ascii="Arial" w:hAnsi="Arial" w:cs="Arial"/>
          <w:b/>
          <w:bCs/>
          <w:sz w:val="48"/>
          <w:szCs w:val="48"/>
          <w:lang w:val="nl-BE"/>
        </w:rPr>
      </w:pPr>
    </w:p>
    <w:p w14:paraId="228481EC" w14:textId="77777777" w:rsidR="00BC34D5" w:rsidRDefault="00BC34D5" w:rsidP="000B6961">
      <w:pPr>
        <w:pStyle w:val="Titel"/>
        <w:jc w:val="both"/>
        <w:rPr>
          <w:rFonts w:ascii="Arial" w:hAnsi="Arial" w:cs="Arial"/>
          <w:b/>
          <w:bCs/>
          <w:sz w:val="48"/>
          <w:szCs w:val="48"/>
          <w:lang w:val="nl-BE"/>
        </w:rPr>
      </w:pPr>
    </w:p>
    <w:p w14:paraId="1E22F6C7" w14:textId="3332882B" w:rsidR="003D4750" w:rsidRPr="008872CF" w:rsidRDefault="003D4750" w:rsidP="000B6961">
      <w:pPr>
        <w:pStyle w:val="Titel"/>
        <w:jc w:val="both"/>
        <w:rPr>
          <w:rFonts w:ascii="Arial" w:hAnsi="Arial" w:cs="Arial"/>
          <w:b/>
          <w:bCs/>
          <w:sz w:val="48"/>
          <w:szCs w:val="48"/>
          <w:lang w:val="nl-BE"/>
        </w:rPr>
      </w:pPr>
      <w:r w:rsidRPr="69FC4E74">
        <w:rPr>
          <w:rFonts w:ascii="Arial" w:hAnsi="Arial" w:cs="Arial"/>
          <w:b/>
          <w:bCs/>
          <w:sz w:val="48"/>
          <w:szCs w:val="48"/>
          <w:lang w:val="nl-BE"/>
        </w:rPr>
        <w:t xml:space="preserve">Toelichting bij </w:t>
      </w:r>
      <w:r w:rsidR="00724C4E">
        <w:rPr>
          <w:rFonts w:ascii="Arial" w:hAnsi="Arial" w:cs="Arial"/>
          <w:b/>
          <w:bCs/>
          <w:sz w:val="48"/>
          <w:szCs w:val="48"/>
          <w:lang w:val="nl-BE"/>
        </w:rPr>
        <w:t>de REDII-criteria voor het gebruik van biomassa onder ETS</w:t>
      </w:r>
    </w:p>
    <w:p w14:paraId="75EA1F61" w14:textId="77777777" w:rsidR="007A5231" w:rsidRDefault="007A5231" w:rsidP="000B6961">
      <w:pPr>
        <w:ind w:right="95"/>
        <w:jc w:val="both"/>
        <w:rPr>
          <w:iCs/>
          <w:lang w:eastAsia="en-US"/>
        </w:rPr>
      </w:pPr>
    </w:p>
    <w:p w14:paraId="5B9C664F" w14:textId="3B15BF96" w:rsidR="003D4750" w:rsidRPr="001C57A8" w:rsidRDefault="003D4750" w:rsidP="000B6961">
      <w:pPr>
        <w:autoSpaceDE w:val="0"/>
        <w:autoSpaceDN w:val="0"/>
        <w:adjustRightInd w:val="0"/>
        <w:jc w:val="both"/>
        <w:rPr>
          <w:i/>
          <w:iCs/>
          <w:color w:val="FF0000"/>
        </w:rPr>
      </w:pPr>
      <w:r w:rsidRPr="69FC4E74">
        <w:rPr>
          <w:i/>
          <w:iCs/>
          <w:color w:val="1C1A15"/>
        </w:rPr>
        <w:t xml:space="preserve">Datum laatste wijziging: </w:t>
      </w:r>
      <w:r w:rsidR="00302B8E">
        <w:rPr>
          <w:i/>
          <w:iCs/>
        </w:rPr>
        <w:t>14 december</w:t>
      </w:r>
      <w:r w:rsidR="00E0696C">
        <w:rPr>
          <w:i/>
          <w:iCs/>
        </w:rPr>
        <w:t xml:space="preserve"> </w:t>
      </w:r>
      <w:r w:rsidR="002827C1">
        <w:rPr>
          <w:i/>
          <w:iCs/>
        </w:rPr>
        <w:t>202</w:t>
      </w:r>
      <w:r w:rsidR="00165AFE">
        <w:rPr>
          <w:i/>
          <w:iCs/>
        </w:rPr>
        <w:t>3</w:t>
      </w:r>
      <w:r w:rsidRPr="003D4750">
        <w:rPr>
          <w:i/>
          <w:iCs/>
        </w:rPr>
        <w:t xml:space="preserve">, versienummer: </w:t>
      </w:r>
      <w:r w:rsidR="00302B8E">
        <w:rPr>
          <w:i/>
          <w:iCs/>
        </w:rPr>
        <w:t>3</w:t>
      </w:r>
    </w:p>
    <w:p w14:paraId="6FAD04C1" w14:textId="77777777" w:rsidR="003D4750" w:rsidRDefault="003D4750" w:rsidP="000B6961">
      <w:pPr>
        <w:ind w:right="95"/>
        <w:jc w:val="both"/>
        <w:rPr>
          <w:iCs/>
          <w:lang w:eastAsia="en-US"/>
        </w:rPr>
      </w:pPr>
    </w:p>
    <w:p w14:paraId="65150618" w14:textId="687809DD" w:rsidR="00AE5B69" w:rsidRPr="00AE5B69" w:rsidRDefault="00AE5B69" w:rsidP="00AE5B69">
      <w:pPr>
        <w:ind w:right="95"/>
        <w:jc w:val="both"/>
        <w:rPr>
          <w:iCs/>
          <w:lang w:eastAsia="en-US"/>
        </w:rPr>
      </w:pPr>
      <w:r w:rsidRPr="00AE5B69">
        <w:rPr>
          <w:iCs/>
          <w:lang w:eastAsia="en-US"/>
        </w:rPr>
        <w:t xml:space="preserve">Na </w:t>
      </w:r>
      <w:r w:rsidR="00870134">
        <w:rPr>
          <w:iCs/>
          <w:lang w:eastAsia="en-US"/>
        </w:rPr>
        <w:t xml:space="preserve">bekrachtiging binnen het </w:t>
      </w:r>
      <w:proofErr w:type="spellStart"/>
      <w:r w:rsidR="00870134">
        <w:rPr>
          <w:iCs/>
          <w:lang w:eastAsia="en-US"/>
        </w:rPr>
        <w:t>Climate</w:t>
      </w:r>
      <w:proofErr w:type="spellEnd"/>
      <w:r w:rsidR="00870134">
        <w:rPr>
          <w:iCs/>
          <w:lang w:eastAsia="en-US"/>
        </w:rPr>
        <w:t xml:space="preserve"> Change </w:t>
      </w:r>
      <w:proofErr w:type="spellStart"/>
      <w:r w:rsidR="00870134">
        <w:rPr>
          <w:iCs/>
          <w:lang w:eastAsia="en-US"/>
        </w:rPr>
        <w:t>Committee</w:t>
      </w:r>
      <w:proofErr w:type="spellEnd"/>
      <w:r w:rsidR="00870134">
        <w:rPr>
          <w:iCs/>
          <w:lang w:eastAsia="en-US"/>
        </w:rPr>
        <w:t xml:space="preserve"> </w:t>
      </w:r>
      <w:r w:rsidR="00561F55">
        <w:rPr>
          <w:iCs/>
          <w:lang w:eastAsia="en-US"/>
        </w:rPr>
        <w:t xml:space="preserve">werd door </w:t>
      </w:r>
      <w:r w:rsidRPr="00AE5B69">
        <w:rPr>
          <w:iCs/>
          <w:lang w:eastAsia="en-US"/>
        </w:rPr>
        <w:t xml:space="preserve">de Europese Commissie </w:t>
      </w:r>
      <w:r w:rsidR="00D109FB">
        <w:rPr>
          <w:iCs/>
          <w:lang w:eastAsia="en-US"/>
        </w:rPr>
        <w:t>op 17</w:t>
      </w:r>
      <w:r w:rsidR="007A2FE2">
        <w:rPr>
          <w:iCs/>
          <w:lang w:eastAsia="en-US"/>
        </w:rPr>
        <w:t xml:space="preserve"> oktober </w:t>
      </w:r>
      <w:r w:rsidR="00D109FB">
        <w:rPr>
          <w:iCs/>
          <w:lang w:eastAsia="en-US"/>
        </w:rPr>
        <w:t xml:space="preserve">2022 </w:t>
      </w:r>
      <w:r w:rsidRPr="00AE5B69">
        <w:rPr>
          <w:iCs/>
          <w:lang w:eastAsia="en-US"/>
        </w:rPr>
        <w:t xml:space="preserve">een </w:t>
      </w:r>
      <w:r w:rsidR="00FA3724">
        <w:rPr>
          <w:iCs/>
          <w:lang w:eastAsia="en-US"/>
        </w:rPr>
        <w:t>geüpdatet</w:t>
      </w:r>
      <w:r w:rsidR="00D109FB">
        <w:rPr>
          <w:iCs/>
          <w:lang w:eastAsia="en-US"/>
        </w:rPr>
        <w:t xml:space="preserve"> </w:t>
      </w:r>
      <w:hyperlink r:id="rId13" w:history="1">
        <w:r w:rsidRPr="00AE4BE6">
          <w:rPr>
            <w:rStyle w:val="Hyperlink"/>
            <w:iCs/>
            <w:lang w:eastAsia="en-US"/>
          </w:rPr>
          <w:t>toelichtingsdocument</w:t>
        </w:r>
      </w:hyperlink>
      <w:r w:rsidRPr="00AE5B69">
        <w:rPr>
          <w:iCs/>
          <w:lang w:eastAsia="en-US"/>
        </w:rPr>
        <w:t xml:space="preserve"> </w:t>
      </w:r>
      <w:r w:rsidR="00724DDF" w:rsidRPr="00AE5B69">
        <w:rPr>
          <w:iCs/>
          <w:lang w:eastAsia="en-US"/>
        </w:rPr>
        <w:t>inzake het gebruik van biomassa onder het EU</w:t>
      </w:r>
      <w:r w:rsidR="001033C1">
        <w:rPr>
          <w:iCs/>
          <w:lang w:eastAsia="en-US"/>
        </w:rPr>
        <w:t>-</w:t>
      </w:r>
      <w:r w:rsidR="00724DDF" w:rsidRPr="00AE5B69">
        <w:rPr>
          <w:iCs/>
          <w:lang w:eastAsia="en-US"/>
        </w:rPr>
        <w:t xml:space="preserve">ETS </w:t>
      </w:r>
      <w:r w:rsidRPr="00AE5B69">
        <w:rPr>
          <w:iCs/>
          <w:lang w:eastAsia="en-US"/>
        </w:rPr>
        <w:t>op</w:t>
      </w:r>
      <w:r w:rsidR="00D109FB">
        <w:rPr>
          <w:iCs/>
          <w:lang w:eastAsia="en-US"/>
        </w:rPr>
        <w:t xml:space="preserve"> </w:t>
      </w:r>
      <w:r w:rsidRPr="00AE5B69">
        <w:rPr>
          <w:iCs/>
          <w:lang w:eastAsia="en-US"/>
        </w:rPr>
        <w:t xml:space="preserve">haar </w:t>
      </w:r>
      <w:hyperlink r:id="rId14" w:history="1">
        <w:r w:rsidRPr="0046059C">
          <w:rPr>
            <w:rStyle w:val="Hyperlink"/>
            <w:iCs/>
            <w:lang w:eastAsia="en-US"/>
          </w:rPr>
          <w:t>website</w:t>
        </w:r>
      </w:hyperlink>
      <w:r w:rsidRPr="00AE5B69">
        <w:rPr>
          <w:iCs/>
          <w:lang w:eastAsia="en-US"/>
        </w:rPr>
        <w:t xml:space="preserve"> gepubliceerd.</w:t>
      </w:r>
    </w:p>
    <w:p w14:paraId="7297A919" w14:textId="77777777" w:rsidR="00AE5B69" w:rsidRPr="00AE5B69" w:rsidRDefault="00AE5B69" w:rsidP="00AE5B69">
      <w:pPr>
        <w:ind w:right="95"/>
        <w:jc w:val="both"/>
        <w:rPr>
          <w:iCs/>
          <w:lang w:eastAsia="en-US"/>
        </w:rPr>
      </w:pPr>
    </w:p>
    <w:p w14:paraId="0F98C972" w14:textId="3A2E5111" w:rsidR="00E370E7" w:rsidRPr="00E370E7" w:rsidRDefault="000C6D96" w:rsidP="00E370E7">
      <w:pPr>
        <w:ind w:right="95"/>
        <w:jc w:val="both"/>
        <w:rPr>
          <w:iCs/>
          <w:lang w:val="x-none" w:eastAsia="en-US"/>
        </w:rPr>
      </w:pPr>
      <w:r>
        <w:rPr>
          <w:iCs/>
          <w:lang w:eastAsia="en-US"/>
        </w:rPr>
        <w:t>Het Europees</w:t>
      </w:r>
      <w:r w:rsidR="00AE5B69" w:rsidRPr="00AE5B69">
        <w:rPr>
          <w:iCs/>
          <w:lang w:eastAsia="en-US"/>
        </w:rPr>
        <w:t xml:space="preserve"> toelichtingsdocument verduidelijkt wanneer en op welke manier </w:t>
      </w:r>
      <w:r w:rsidR="001033C1">
        <w:rPr>
          <w:iCs/>
          <w:lang w:eastAsia="en-US"/>
        </w:rPr>
        <w:t xml:space="preserve">in het kader van EU-ETS </w:t>
      </w:r>
      <w:r w:rsidR="00AE5B69" w:rsidRPr="00AE5B69">
        <w:rPr>
          <w:iCs/>
          <w:lang w:eastAsia="en-US"/>
        </w:rPr>
        <w:t xml:space="preserve">voldaan moet worden aan de </w:t>
      </w:r>
      <w:r w:rsidR="007A07C5" w:rsidRPr="00E370E7">
        <w:rPr>
          <w:iCs/>
          <w:lang w:val="x-none" w:eastAsia="en-US"/>
        </w:rPr>
        <w:t>duurzaamheids- en/of broeikasgas</w:t>
      </w:r>
      <w:r w:rsidR="007A07C5">
        <w:rPr>
          <w:iCs/>
          <w:lang w:eastAsia="en-US"/>
        </w:rPr>
        <w:t>emissie</w:t>
      </w:r>
      <w:r w:rsidR="007A07C5" w:rsidRPr="00E370E7">
        <w:rPr>
          <w:iCs/>
          <w:lang w:val="x-none" w:eastAsia="en-US"/>
        </w:rPr>
        <w:t>reductiecriteria</w:t>
      </w:r>
      <w:r w:rsidR="007A07C5" w:rsidRPr="00AE5B69" w:rsidDel="007A07C5">
        <w:rPr>
          <w:iCs/>
          <w:lang w:eastAsia="en-US"/>
        </w:rPr>
        <w:t xml:space="preserve"> </w:t>
      </w:r>
      <w:r w:rsidR="00AE5B69" w:rsidRPr="00AE5B69">
        <w:rPr>
          <w:iCs/>
          <w:lang w:eastAsia="en-US"/>
        </w:rPr>
        <w:t xml:space="preserve">die vastgelegd werden in de </w:t>
      </w:r>
      <w:hyperlink r:id="rId15" w:history="1">
        <w:r w:rsidR="00AE5B69" w:rsidRPr="00D26A94">
          <w:rPr>
            <w:rStyle w:val="Hyperlink"/>
            <w:iCs/>
            <w:lang w:eastAsia="en-US"/>
          </w:rPr>
          <w:t>richtlijn</w:t>
        </w:r>
      </w:hyperlink>
      <w:r w:rsidR="00AE5B69" w:rsidRPr="00AE5B69">
        <w:rPr>
          <w:iCs/>
          <w:lang w:eastAsia="en-US"/>
        </w:rPr>
        <w:t xml:space="preserve"> ter bevordering van het gebruik van energie uit hernieuwbare bronnen (REDII)</w:t>
      </w:r>
      <w:r w:rsidR="000A7B01">
        <w:rPr>
          <w:iCs/>
          <w:lang w:eastAsia="en-US"/>
        </w:rPr>
        <w:t>, en is relevant</w:t>
      </w:r>
      <w:r w:rsidR="00293A73">
        <w:rPr>
          <w:iCs/>
          <w:lang w:eastAsia="en-US"/>
        </w:rPr>
        <w:t xml:space="preserve"> bij de </w:t>
      </w:r>
      <w:r w:rsidR="00DE4927">
        <w:rPr>
          <w:iCs/>
          <w:lang w:eastAsia="en-US"/>
        </w:rPr>
        <w:t xml:space="preserve">beoordeling of een emissiefactor </w:t>
      </w:r>
      <w:r w:rsidR="00FB4987">
        <w:rPr>
          <w:iCs/>
          <w:lang w:eastAsia="en-US"/>
        </w:rPr>
        <w:t>nul kan/mag worden toegepast voor biomassa</w:t>
      </w:r>
      <w:r w:rsidR="001E543C">
        <w:rPr>
          <w:iCs/>
          <w:lang w:eastAsia="en-US"/>
        </w:rPr>
        <w:t>bronstromen</w:t>
      </w:r>
      <w:r w:rsidR="00FB4987">
        <w:rPr>
          <w:iCs/>
          <w:lang w:eastAsia="en-US"/>
        </w:rPr>
        <w:t>.</w:t>
      </w:r>
    </w:p>
    <w:p w14:paraId="7374DB26" w14:textId="77777777" w:rsidR="00E370E7" w:rsidRPr="00E370E7" w:rsidRDefault="00E370E7" w:rsidP="00E370E7">
      <w:pPr>
        <w:ind w:right="95"/>
        <w:jc w:val="both"/>
        <w:rPr>
          <w:iCs/>
          <w:lang w:val="x-none" w:eastAsia="en-US"/>
        </w:rPr>
      </w:pPr>
    </w:p>
    <w:p w14:paraId="51E76C26" w14:textId="15F502CC" w:rsidR="00E370E7" w:rsidRDefault="00E82FA1" w:rsidP="00E370E7">
      <w:pPr>
        <w:ind w:right="95"/>
        <w:jc w:val="both"/>
        <w:rPr>
          <w:iCs/>
          <w:lang w:val="x-none" w:eastAsia="en-US"/>
        </w:rPr>
      </w:pPr>
      <w:r>
        <w:rPr>
          <w:iCs/>
          <w:lang w:eastAsia="en-US"/>
        </w:rPr>
        <w:t>In principe moe</w:t>
      </w:r>
      <w:r w:rsidR="004B7391">
        <w:rPr>
          <w:iCs/>
          <w:lang w:eastAsia="en-US"/>
        </w:rPr>
        <w:t xml:space="preserve">st </w:t>
      </w:r>
      <w:r w:rsidR="00183E25">
        <w:rPr>
          <w:iCs/>
          <w:lang w:eastAsia="en-US"/>
        </w:rPr>
        <w:t>aan deze criteria reeds voldaan worden vanaf 1 januari 2022, maar mid</w:t>
      </w:r>
      <w:r w:rsidR="00DB2806">
        <w:rPr>
          <w:iCs/>
          <w:lang w:eastAsia="en-US"/>
        </w:rPr>
        <w:t>dels Europese regelgeving</w:t>
      </w:r>
      <w:r w:rsidR="00A86B72">
        <w:rPr>
          <w:rStyle w:val="Voetnootmarkering"/>
          <w:iCs/>
          <w:lang w:eastAsia="en-US"/>
        </w:rPr>
        <w:footnoteReference w:id="2"/>
      </w:r>
      <w:r w:rsidR="00DB2806">
        <w:rPr>
          <w:iCs/>
          <w:lang w:eastAsia="en-US"/>
        </w:rPr>
        <w:t xml:space="preserve"> werd dit met een jaar uitgesteld, waardoor </w:t>
      </w:r>
      <w:r w:rsidR="00E215ED">
        <w:rPr>
          <w:iCs/>
          <w:lang w:eastAsia="en-US"/>
        </w:rPr>
        <w:t>de</w:t>
      </w:r>
      <w:r w:rsidR="00DB2806">
        <w:rPr>
          <w:iCs/>
          <w:lang w:eastAsia="en-US"/>
        </w:rPr>
        <w:t>ze van toepassing worden vanaf 1 januari 2023</w:t>
      </w:r>
      <w:r w:rsidR="00E370E7" w:rsidRPr="00E370E7">
        <w:rPr>
          <w:iCs/>
          <w:lang w:val="x-none" w:eastAsia="en-US"/>
        </w:rPr>
        <w:t>.</w:t>
      </w:r>
    </w:p>
    <w:p w14:paraId="1AB1DFFA" w14:textId="2B697DA0" w:rsidR="00E370E7" w:rsidRDefault="00E370E7" w:rsidP="00E370E7">
      <w:pPr>
        <w:ind w:right="95"/>
        <w:jc w:val="both"/>
        <w:rPr>
          <w:iCs/>
          <w:lang w:val="x-none" w:eastAsia="en-US"/>
        </w:rPr>
      </w:pPr>
    </w:p>
    <w:p w14:paraId="10BB3B16" w14:textId="19186F9D" w:rsidR="007D15F4" w:rsidRDefault="00E370E7">
      <w:pPr>
        <w:ind w:right="95"/>
        <w:jc w:val="both"/>
        <w:rPr>
          <w:iCs/>
          <w:lang w:eastAsia="en-US"/>
        </w:rPr>
      </w:pPr>
      <w:r>
        <w:rPr>
          <w:iCs/>
          <w:lang w:eastAsia="en-US"/>
        </w:rPr>
        <w:t xml:space="preserve">Dit </w:t>
      </w:r>
      <w:r w:rsidR="00A129DE">
        <w:rPr>
          <w:iCs/>
          <w:lang w:eastAsia="en-US"/>
        </w:rPr>
        <w:t xml:space="preserve">Vlaamse </w:t>
      </w:r>
      <w:r>
        <w:rPr>
          <w:iCs/>
          <w:lang w:eastAsia="en-US"/>
        </w:rPr>
        <w:t>toelichtingsdoc</w:t>
      </w:r>
      <w:r w:rsidR="00A129DE">
        <w:rPr>
          <w:iCs/>
          <w:lang w:eastAsia="en-US"/>
        </w:rPr>
        <w:t>u</w:t>
      </w:r>
      <w:r>
        <w:rPr>
          <w:iCs/>
          <w:lang w:eastAsia="en-US"/>
        </w:rPr>
        <w:t xml:space="preserve">ment </w:t>
      </w:r>
      <w:r w:rsidR="00A129DE">
        <w:rPr>
          <w:iCs/>
          <w:lang w:eastAsia="en-US"/>
        </w:rPr>
        <w:t xml:space="preserve">geeft </w:t>
      </w:r>
      <w:r w:rsidR="00927CC0">
        <w:rPr>
          <w:iCs/>
          <w:lang w:eastAsia="en-US"/>
        </w:rPr>
        <w:t xml:space="preserve">bijkomende </w:t>
      </w:r>
      <w:r w:rsidR="00A129DE">
        <w:rPr>
          <w:iCs/>
          <w:lang w:eastAsia="en-US"/>
        </w:rPr>
        <w:t xml:space="preserve">duiding bij </w:t>
      </w:r>
      <w:r w:rsidR="00F02876">
        <w:rPr>
          <w:iCs/>
          <w:lang w:eastAsia="en-US"/>
        </w:rPr>
        <w:t xml:space="preserve">de </w:t>
      </w:r>
      <w:r w:rsidR="00A129DE">
        <w:rPr>
          <w:iCs/>
          <w:lang w:eastAsia="en-US"/>
        </w:rPr>
        <w:t xml:space="preserve">Europese </w:t>
      </w:r>
      <w:r w:rsidR="00F02876">
        <w:rPr>
          <w:iCs/>
          <w:lang w:eastAsia="en-US"/>
        </w:rPr>
        <w:t xml:space="preserve">toelichting </w:t>
      </w:r>
      <w:r w:rsidR="00240410">
        <w:rPr>
          <w:iCs/>
          <w:lang w:eastAsia="en-US"/>
        </w:rPr>
        <w:t xml:space="preserve">en </w:t>
      </w:r>
      <w:r w:rsidR="00EE4BA3">
        <w:rPr>
          <w:iCs/>
          <w:lang w:eastAsia="en-US"/>
        </w:rPr>
        <w:t>is relevant</w:t>
      </w:r>
      <w:r w:rsidR="00240410">
        <w:rPr>
          <w:iCs/>
          <w:lang w:eastAsia="en-US"/>
        </w:rPr>
        <w:t xml:space="preserve"> voor alle biomassabronstromen </w:t>
      </w:r>
      <w:r w:rsidR="00EE4BA3">
        <w:rPr>
          <w:iCs/>
          <w:lang w:eastAsia="en-US"/>
        </w:rPr>
        <w:t xml:space="preserve">die </w:t>
      </w:r>
      <w:r w:rsidR="00746226">
        <w:rPr>
          <w:iCs/>
          <w:lang w:eastAsia="en-US"/>
        </w:rPr>
        <w:t>binnen een BKG-installatie worden verbrand. V</w:t>
      </w:r>
      <w:r w:rsidR="00240410">
        <w:rPr>
          <w:iCs/>
          <w:lang w:eastAsia="en-US"/>
        </w:rPr>
        <w:t xml:space="preserve">oor </w:t>
      </w:r>
      <w:r w:rsidR="001A5A5D">
        <w:rPr>
          <w:iCs/>
          <w:lang w:eastAsia="en-US"/>
        </w:rPr>
        <w:t>het gebruik van groen gas geïnjecteerd in het aardgasnetwerk</w:t>
      </w:r>
      <w:r w:rsidR="00746226">
        <w:rPr>
          <w:iCs/>
          <w:lang w:eastAsia="en-US"/>
        </w:rPr>
        <w:t xml:space="preserve"> (een soort onrech</w:t>
      </w:r>
      <w:r w:rsidR="00E652A1">
        <w:rPr>
          <w:iCs/>
          <w:lang w:eastAsia="en-US"/>
        </w:rPr>
        <w:t>t</w:t>
      </w:r>
      <w:r w:rsidR="00746226">
        <w:rPr>
          <w:iCs/>
          <w:lang w:eastAsia="en-US"/>
        </w:rPr>
        <w:t>streeks gebruik van biomassa) wordt verwezen naar een specifieke</w:t>
      </w:r>
      <w:r w:rsidR="001A5A5D">
        <w:rPr>
          <w:iCs/>
          <w:lang w:eastAsia="en-US"/>
        </w:rPr>
        <w:t xml:space="preserve"> </w:t>
      </w:r>
      <w:r w:rsidR="00D00F00">
        <w:rPr>
          <w:iCs/>
          <w:lang w:eastAsia="en-US"/>
        </w:rPr>
        <w:t xml:space="preserve">Vlaamse </w:t>
      </w:r>
      <w:r w:rsidR="001A5A5D">
        <w:rPr>
          <w:iCs/>
          <w:lang w:eastAsia="en-US"/>
        </w:rPr>
        <w:t>toelichting</w:t>
      </w:r>
      <w:r w:rsidR="00D00F00">
        <w:rPr>
          <w:iCs/>
          <w:lang w:eastAsia="en-US"/>
        </w:rPr>
        <w:t xml:space="preserve">, die beschikbaar is op de </w:t>
      </w:r>
      <w:hyperlink r:id="rId16" w:anchor="gedetailleerd-overzicht-van-de-verplichtingen" w:history="1">
        <w:r w:rsidR="00D00F00" w:rsidRPr="009B6DE3">
          <w:rPr>
            <w:rStyle w:val="Hyperlink"/>
            <w:iCs/>
            <w:lang w:eastAsia="en-US"/>
          </w:rPr>
          <w:t>website</w:t>
        </w:r>
      </w:hyperlink>
      <w:r w:rsidR="009B6DE3">
        <w:rPr>
          <w:iCs/>
          <w:lang w:eastAsia="en-US"/>
        </w:rPr>
        <w:t xml:space="preserve"> (zie Monitoring -&gt; </w:t>
      </w:r>
      <w:r w:rsidR="00F02876">
        <w:rPr>
          <w:iCs/>
          <w:lang w:eastAsia="en-US"/>
        </w:rPr>
        <w:t>Verdere richtsnoeren)</w:t>
      </w:r>
      <w:r w:rsidR="00D00F00">
        <w:rPr>
          <w:iCs/>
          <w:lang w:eastAsia="en-US"/>
        </w:rPr>
        <w:t>.</w:t>
      </w:r>
    </w:p>
    <w:p w14:paraId="09C1DDA9" w14:textId="77777777" w:rsidR="005C6462" w:rsidRPr="00E370E7" w:rsidRDefault="005C6462" w:rsidP="00E370E7">
      <w:pPr>
        <w:ind w:right="95"/>
        <w:jc w:val="both"/>
        <w:rPr>
          <w:iCs/>
          <w:lang w:eastAsia="en-US"/>
        </w:rPr>
      </w:pPr>
    </w:p>
    <w:sdt>
      <w:sdtPr>
        <w:rPr>
          <w:rFonts w:eastAsiaTheme="minorHAnsi" w:cs="Calibri"/>
          <w:b w:val="0"/>
          <w:sz w:val="22"/>
          <w:szCs w:val="22"/>
          <w:lang w:val="nl-NL"/>
        </w:rPr>
        <w:id w:val="-545754876"/>
        <w:docPartObj>
          <w:docPartGallery w:val="Table of Contents"/>
          <w:docPartUnique/>
        </w:docPartObj>
      </w:sdtPr>
      <w:sdtEndPr>
        <w:rPr>
          <w:bCs/>
        </w:rPr>
      </w:sdtEndPr>
      <w:sdtContent>
        <w:p w14:paraId="494C3AC8" w14:textId="17D20955" w:rsidR="00F02876" w:rsidRPr="00904220" w:rsidRDefault="00F02876">
          <w:pPr>
            <w:pStyle w:val="Kopvaninhoudsopgave"/>
            <w:rPr>
              <w:bCs/>
            </w:rPr>
          </w:pPr>
          <w:r w:rsidRPr="00904220">
            <w:rPr>
              <w:bCs/>
              <w:lang w:val="nl-NL"/>
            </w:rPr>
            <w:t>Inhoud</w:t>
          </w:r>
        </w:p>
        <w:p w14:paraId="624C924E" w14:textId="4AB6F543" w:rsidR="00A7384C" w:rsidRDefault="00F02876">
          <w:pPr>
            <w:pStyle w:val="Inhopg1"/>
            <w:rPr>
              <w:rFonts w:asciiTheme="minorHAnsi" w:eastAsiaTheme="minorEastAsia" w:hAnsiTheme="minorHAnsi" w:cstheme="minorBidi"/>
              <w:noProof/>
            </w:rPr>
          </w:pPr>
          <w:r>
            <w:fldChar w:fldCharType="begin"/>
          </w:r>
          <w:r>
            <w:instrText xml:space="preserve"> TOC \o "1-3" \h \z \u </w:instrText>
          </w:r>
          <w:r>
            <w:fldChar w:fldCharType="separate"/>
          </w:r>
          <w:hyperlink w:anchor="_Toc153442983" w:history="1">
            <w:r w:rsidR="00A7384C" w:rsidRPr="00754424">
              <w:rPr>
                <w:rStyle w:val="Hyperlink"/>
                <w:noProof/>
              </w:rPr>
              <w:t>1.</w:t>
            </w:r>
            <w:r w:rsidR="00A7384C">
              <w:rPr>
                <w:rFonts w:asciiTheme="minorHAnsi" w:eastAsiaTheme="minorEastAsia" w:hAnsiTheme="minorHAnsi" w:cstheme="minorBidi"/>
                <w:noProof/>
              </w:rPr>
              <w:tab/>
            </w:r>
            <w:r w:rsidR="00A7384C" w:rsidRPr="00754424">
              <w:rPr>
                <w:rStyle w:val="Hyperlink"/>
                <w:bCs/>
                <w:noProof/>
              </w:rPr>
              <w:t>Impact op ETS-bedrijven</w:t>
            </w:r>
            <w:r w:rsidR="00A7384C">
              <w:rPr>
                <w:noProof/>
                <w:webHidden/>
              </w:rPr>
              <w:tab/>
            </w:r>
            <w:r w:rsidR="00A7384C">
              <w:rPr>
                <w:noProof/>
                <w:webHidden/>
              </w:rPr>
              <w:fldChar w:fldCharType="begin"/>
            </w:r>
            <w:r w:rsidR="00A7384C">
              <w:rPr>
                <w:noProof/>
                <w:webHidden/>
              </w:rPr>
              <w:instrText xml:space="preserve"> PAGEREF _Toc153442983 \h </w:instrText>
            </w:r>
            <w:r w:rsidR="00A7384C">
              <w:rPr>
                <w:noProof/>
                <w:webHidden/>
              </w:rPr>
            </w:r>
            <w:r w:rsidR="00A7384C">
              <w:rPr>
                <w:noProof/>
                <w:webHidden/>
              </w:rPr>
              <w:fldChar w:fldCharType="separate"/>
            </w:r>
            <w:r w:rsidR="00A7384C">
              <w:rPr>
                <w:noProof/>
                <w:webHidden/>
              </w:rPr>
              <w:t>2</w:t>
            </w:r>
            <w:r w:rsidR="00A7384C">
              <w:rPr>
                <w:noProof/>
                <w:webHidden/>
              </w:rPr>
              <w:fldChar w:fldCharType="end"/>
            </w:r>
          </w:hyperlink>
        </w:p>
        <w:p w14:paraId="2E95B6F1" w14:textId="3FFA5800" w:rsidR="00A7384C" w:rsidRDefault="009203B2">
          <w:pPr>
            <w:pStyle w:val="Inhopg1"/>
            <w:rPr>
              <w:rFonts w:asciiTheme="minorHAnsi" w:eastAsiaTheme="minorEastAsia" w:hAnsiTheme="minorHAnsi" w:cstheme="minorBidi"/>
              <w:noProof/>
            </w:rPr>
          </w:pPr>
          <w:hyperlink w:anchor="_Toc153442984" w:history="1">
            <w:r w:rsidR="00A7384C" w:rsidRPr="00754424">
              <w:rPr>
                <w:rStyle w:val="Hyperlink"/>
                <w:noProof/>
              </w:rPr>
              <w:t>2.</w:t>
            </w:r>
            <w:r w:rsidR="00A7384C">
              <w:rPr>
                <w:rFonts w:asciiTheme="minorHAnsi" w:eastAsiaTheme="minorEastAsia" w:hAnsiTheme="minorHAnsi" w:cstheme="minorBidi"/>
                <w:noProof/>
              </w:rPr>
              <w:tab/>
            </w:r>
            <w:r w:rsidR="00A7384C" w:rsidRPr="00754424">
              <w:rPr>
                <w:rStyle w:val="Hyperlink"/>
                <w:bCs/>
                <w:noProof/>
              </w:rPr>
              <w:t>Aanpassingen aan het monitoringplan</w:t>
            </w:r>
            <w:r w:rsidR="00A7384C">
              <w:rPr>
                <w:noProof/>
                <w:webHidden/>
              </w:rPr>
              <w:tab/>
            </w:r>
            <w:r w:rsidR="00A7384C">
              <w:rPr>
                <w:noProof/>
                <w:webHidden/>
              </w:rPr>
              <w:fldChar w:fldCharType="begin"/>
            </w:r>
            <w:r w:rsidR="00A7384C">
              <w:rPr>
                <w:noProof/>
                <w:webHidden/>
              </w:rPr>
              <w:instrText xml:space="preserve"> PAGEREF _Toc153442984 \h </w:instrText>
            </w:r>
            <w:r w:rsidR="00A7384C">
              <w:rPr>
                <w:noProof/>
                <w:webHidden/>
              </w:rPr>
            </w:r>
            <w:r w:rsidR="00A7384C">
              <w:rPr>
                <w:noProof/>
                <w:webHidden/>
              </w:rPr>
              <w:fldChar w:fldCharType="separate"/>
            </w:r>
            <w:r w:rsidR="00A7384C">
              <w:rPr>
                <w:noProof/>
                <w:webHidden/>
              </w:rPr>
              <w:t>3</w:t>
            </w:r>
            <w:r w:rsidR="00A7384C">
              <w:rPr>
                <w:noProof/>
                <w:webHidden/>
              </w:rPr>
              <w:fldChar w:fldCharType="end"/>
            </w:r>
          </w:hyperlink>
        </w:p>
        <w:p w14:paraId="40981803" w14:textId="2893D0A5" w:rsidR="00A7384C" w:rsidRDefault="009203B2">
          <w:pPr>
            <w:pStyle w:val="Inhopg1"/>
            <w:rPr>
              <w:rFonts w:asciiTheme="minorHAnsi" w:eastAsiaTheme="minorEastAsia" w:hAnsiTheme="minorHAnsi" w:cstheme="minorBidi"/>
              <w:noProof/>
            </w:rPr>
          </w:pPr>
          <w:hyperlink w:anchor="_Toc153442985" w:history="1">
            <w:r w:rsidR="00A7384C" w:rsidRPr="00754424">
              <w:rPr>
                <w:rStyle w:val="Hyperlink"/>
                <w:noProof/>
              </w:rPr>
              <w:t>3.</w:t>
            </w:r>
            <w:r w:rsidR="00A7384C">
              <w:rPr>
                <w:rFonts w:asciiTheme="minorHAnsi" w:eastAsiaTheme="minorEastAsia" w:hAnsiTheme="minorHAnsi" w:cstheme="minorBidi"/>
                <w:noProof/>
              </w:rPr>
              <w:tab/>
            </w:r>
            <w:r w:rsidR="00A7384C" w:rsidRPr="00754424">
              <w:rPr>
                <w:rStyle w:val="Hyperlink"/>
                <w:noProof/>
              </w:rPr>
              <w:t xml:space="preserve">Hoe </w:t>
            </w:r>
            <w:r w:rsidR="00A7384C" w:rsidRPr="00754424">
              <w:rPr>
                <w:rStyle w:val="Hyperlink"/>
                <w:bCs/>
                <w:noProof/>
              </w:rPr>
              <w:t>bewijzen</w:t>
            </w:r>
            <w:r w:rsidR="00A7384C" w:rsidRPr="00754424">
              <w:rPr>
                <w:rStyle w:val="Hyperlink"/>
                <w:noProof/>
              </w:rPr>
              <w:t xml:space="preserve"> dat voldaan is aan REDII-criteria?</w:t>
            </w:r>
            <w:r w:rsidR="00A7384C">
              <w:rPr>
                <w:noProof/>
                <w:webHidden/>
              </w:rPr>
              <w:tab/>
            </w:r>
            <w:r w:rsidR="00A7384C">
              <w:rPr>
                <w:noProof/>
                <w:webHidden/>
              </w:rPr>
              <w:fldChar w:fldCharType="begin"/>
            </w:r>
            <w:r w:rsidR="00A7384C">
              <w:rPr>
                <w:noProof/>
                <w:webHidden/>
              </w:rPr>
              <w:instrText xml:space="preserve"> PAGEREF _Toc153442985 \h </w:instrText>
            </w:r>
            <w:r w:rsidR="00A7384C">
              <w:rPr>
                <w:noProof/>
                <w:webHidden/>
              </w:rPr>
            </w:r>
            <w:r w:rsidR="00A7384C">
              <w:rPr>
                <w:noProof/>
                <w:webHidden/>
              </w:rPr>
              <w:fldChar w:fldCharType="separate"/>
            </w:r>
            <w:r w:rsidR="00A7384C">
              <w:rPr>
                <w:noProof/>
                <w:webHidden/>
              </w:rPr>
              <w:t>5</w:t>
            </w:r>
            <w:r w:rsidR="00A7384C">
              <w:rPr>
                <w:noProof/>
                <w:webHidden/>
              </w:rPr>
              <w:fldChar w:fldCharType="end"/>
            </w:r>
          </w:hyperlink>
        </w:p>
        <w:p w14:paraId="25DE0A7A" w14:textId="2D197F08" w:rsidR="00A7384C" w:rsidRDefault="009203B2">
          <w:pPr>
            <w:pStyle w:val="Inhopg1"/>
            <w:rPr>
              <w:rFonts w:asciiTheme="minorHAnsi" w:eastAsiaTheme="minorEastAsia" w:hAnsiTheme="minorHAnsi" w:cstheme="minorBidi"/>
              <w:noProof/>
            </w:rPr>
          </w:pPr>
          <w:hyperlink w:anchor="_Toc153442986" w:history="1">
            <w:r w:rsidR="00A7384C" w:rsidRPr="00754424">
              <w:rPr>
                <w:rStyle w:val="Hyperlink"/>
                <w:noProof/>
              </w:rPr>
              <w:t>4.</w:t>
            </w:r>
            <w:r w:rsidR="00A7384C">
              <w:rPr>
                <w:rFonts w:asciiTheme="minorHAnsi" w:eastAsiaTheme="minorEastAsia" w:hAnsiTheme="minorHAnsi" w:cstheme="minorBidi"/>
                <w:noProof/>
              </w:rPr>
              <w:tab/>
            </w:r>
            <w:r w:rsidR="00A7384C" w:rsidRPr="00754424">
              <w:rPr>
                <w:rStyle w:val="Hyperlink"/>
                <w:bCs/>
                <w:noProof/>
              </w:rPr>
              <w:t>ETS-verificatie en REDII-audits</w:t>
            </w:r>
            <w:r w:rsidR="00A7384C">
              <w:rPr>
                <w:noProof/>
                <w:webHidden/>
              </w:rPr>
              <w:tab/>
            </w:r>
            <w:r w:rsidR="00A7384C">
              <w:rPr>
                <w:noProof/>
                <w:webHidden/>
              </w:rPr>
              <w:fldChar w:fldCharType="begin"/>
            </w:r>
            <w:r w:rsidR="00A7384C">
              <w:rPr>
                <w:noProof/>
                <w:webHidden/>
              </w:rPr>
              <w:instrText xml:space="preserve"> PAGEREF _Toc153442986 \h </w:instrText>
            </w:r>
            <w:r w:rsidR="00A7384C">
              <w:rPr>
                <w:noProof/>
                <w:webHidden/>
              </w:rPr>
            </w:r>
            <w:r w:rsidR="00A7384C">
              <w:rPr>
                <w:noProof/>
                <w:webHidden/>
              </w:rPr>
              <w:fldChar w:fldCharType="separate"/>
            </w:r>
            <w:r w:rsidR="00A7384C">
              <w:rPr>
                <w:noProof/>
                <w:webHidden/>
              </w:rPr>
              <w:t>6</w:t>
            </w:r>
            <w:r w:rsidR="00A7384C">
              <w:rPr>
                <w:noProof/>
                <w:webHidden/>
              </w:rPr>
              <w:fldChar w:fldCharType="end"/>
            </w:r>
          </w:hyperlink>
        </w:p>
        <w:p w14:paraId="5244A690" w14:textId="26720A80" w:rsidR="00A7384C" w:rsidRDefault="009203B2">
          <w:pPr>
            <w:pStyle w:val="Inhopg1"/>
            <w:rPr>
              <w:rFonts w:asciiTheme="minorHAnsi" w:eastAsiaTheme="minorEastAsia" w:hAnsiTheme="minorHAnsi" w:cstheme="minorBidi"/>
              <w:noProof/>
            </w:rPr>
          </w:pPr>
          <w:hyperlink w:anchor="_Toc153442987" w:history="1">
            <w:r w:rsidR="00A7384C" w:rsidRPr="00754424">
              <w:rPr>
                <w:rStyle w:val="Hyperlink"/>
                <w:noProof/>
              </w:rPr>
              <w:t>5.</w:t>
            </w:r>
            <w:r w:rsidR="00A7384C">
              <w:rPr>
                <w:rFonts w:asciiTheme="minorHAnsi" w:eastAsiaTheme="minorEastAsia" w:hAnsiTheme="minorHAnsi" w:cstheme="minorBidi"/>
                <w:noProof/>
              </w:rPr>
              <w:tab/>
            </w:r>
            <w:r w:rsidR="00A7384C" w:rsidRPr="00754424">
              <w:rPr>
                <w:rStyle w:val="Hyperlink"/>
                <w:bCs/>
                <w:noProof/>
              </w:rPr>
              <w:t>Bepalingen voor het gebruik van biomassa</w:t>
            </w:r>
            <w:r w:rsidR="00A7384C">
              <w:rPr>
                <w:noProof/>
                <w:webHidden/>
              </w:rPr>
              <w:tab/>
            </w:r>
            <w:r w:rsidR="00A7384C">
              <w:rPr>
                <w:noProof/>
                <w:webHidden/>
              </w:rPr>
              <w:fldChar w:fldCharType="begin"/>
            </w:r>
            <w:r w:rsidR="00A7384C">
              <w:rPr>
                <w:noProof/>
                <w:webHidden/>
              </w:rPr>
              <w:instrText xml:space="preserve"> PAGEREF _Toc153442987 \h </w:instrText>
            </w:r>
            <w:r w:rsidR="00A7384C">
              <w:rPr>
                <w:noProof/>
                <w:webHidden/>
              </w:rPr>
            </w:r>
            <w:r w:rsidR="00A7384C">
              <w:rPr>
                <w:noProof/>
                <w:webHidden/>
              </w:rPr>
              <w:fldChar w:fldCharType="separate"/>
            </w:r>
            <w:r w:rsidR="00A7384C">
              <w:rPr>
                <w:noProof/>
                <w:webHidden/>
              </w:rPr>
              <w:t>6</w:t>
            </w:r>
            <w:r w:rsidR="00A7384C">
              <w:rPr>
                <w:noProof/>
                <w:webHidden/>
              </w:rPr>
              <w:fldChar w:fldCharType="end"/>
            </w:r>
          </w:hyperlink>
        </w:p>
        <w:p w14:paraId="2EB6BDA7" w14:textId="67D70DB3" w:rsidR="00A7384C" w:rsidRDefault="009203B2">
          <w:pPr>
            <w:pStyle w:val="Inhopg1"/>
            <w:rPr>
              <w:rFonts w:asciiTheme="minorHAnsi" w:eastAsiaTheme="minorEastAsia" w:hAnsiTheme="minorHAnsi" w:cstheme="minorBidi"/>
              <w:noProof/>
            </w:rPr>
          </w:pPr>
          <w:hyperlink w:anchor="_Toc153442988" w:history="1">
            <w:r w:rsidR="00A7384C" w:rsidRPr="00754424">
              <w:rPr>
                <w:rStyle w:val="Hyperlink"/>
                <w:noProof/>
              </w:rPr>
              <w:t>6.</w:t>
            </w:r>
            <w:r w:rsidR="00A7384C">
              <w:rPr>
                <w:rFonts w:asciiTheme="minorHAnsi" w:eastAsiaTheme="minorEastAsia" w:hAnsiTheme="minorHAnsi" w:cstheme="minorBidi"/>
                <w:noProof/>
              </w:rPr>
              <w:tab/>
            </w:r>
            <w:r w:rsidR="00A7384C" w:rsidRPr="00754424">
              <w:rPr>
                <w:rStyle w:val="Hyperlink"/>
                <w:bCs/>
                <w:noProof/>
              </w:rPr>
              <w:t>Specifieke overgangsbepaling voor biomassa gebruikt in 2023</w:t>
            </w:r>
            <w:r w:rsidR="00A7384C">
              <w:rPr>
                <w:noProof/>
                <w:webHidden/>
              </w:rPr>
              <w:tab/>
            </w:r>
            <w:r w:rsidR="00A7384C">
              <w:rPr>
                <w:noProof/>
                <w:webHidden/>
              </w:rPr>
              <w:fldChar w:fldCharType="begin"/>
            </w:r>
            <w:r w:rsidR="00A7384C">
              <w:rPr>
                <w:noProof/>
                <w:webHidden/>
              </w:rPr>
              <w:instrText xml:space="preserve"> PAGEREF _Toc153442988 \h </w:instrText>
            </w:r>
            <w:r w:rsidR="00A7384C">
              <w:rPr>
                <w:noProof/>
                <w:webHidden/>
              </w:rPr>
            </w:r>
            <w:r w:rsidR="00A7384C">
              <w:rPr>
                <w:noProof/>
                <w:webHidden/>
              </w:rPr>
              <w:fldChar w:fldCharType="separate"/>
            </w:r>
            <w:r w:rsidR="00A7384C">
              <w:rPr>
                <w:noProof/>
                <w:webHidden/>
              </w:rPr>
              <w:t>7</w:t>
            </w:r>
            <w:r w:rsidR="00A7384C">
              <w:rPr>
                <w:noProof/>
                <w:webHidden/>
              </w:rPr>
              <w:fldChar w:fldCharType="end"/>
            </w:r>
          </w:hyperlink>
        </w:p>
        <w:p w14:paraId="33967341" w14:textId="337274B5" w:rsidR="00A7384C" w:rsidRDefault="009203B2">
          <w:pPr>
            <w:pStyle w:val="Inhopg1"/>
            <w:rPr>
              <w:rFonts w:asciiTheme="minorHAnsi" w:eastAsiaTheme="minorEastAsia" w:hAnsiTheme="minorHAnsi" w:cstheme="minorBidi"/>
              <w:noProof/>
            </w:rPr>
          </w:pPr>
          <w:hyperlink w:anchor="_Toc153442989" w:history="1">
            <w:r w:rsidR="00A7384C" w:rsidRPr="00754424">
              <w:rPr>
                <w:rStyle w:val="Hyperlink"/>
                <w:noProof/>
              </w:rPr>
              <w:t>7.</w:t>
            </w:r>
            <w:r w:rsidR="00A7384C">
              <w:rPr>
                <w:rFonts w:asciiTheme="minorHAnsi" w:eastAsiaTheme="minorEastAsia" w:hAnsiTheme="minorHAnsi" w:cstheme="minorBidi"/>
                <w:noProof/>
              </w:rPr>
              <w:tab/>
            </w:r>
            <w:r w:rsidR="00A7384C" w:rsidRPr="00754424">
              <w:rPr>
                <w:rStyle w:val="Hyperlink"/>
                <w:noProof/>
              </w:rPr>
              <w:t>Bijlagen</w:t>
            </w:r>
            <w:r w:rsidR="00A7384C">
              <w:rPr>
                <w:noProof/>
                <w:webHidden/>
              </w:rPr>
              <w:tab/>
            </w:r>
            <w:r w:rsidR="00A7384C">
              <w:rPr>
                <w:noProof/>
                <w:webHidden/>
              </w:rPr>
              <w:fldChar w:fldCharType="begin"/>
            </w:r>
            <w:r w:rsidR="00A7384C">
              <w:rPr>
                <w:noProof/>
                <w:webHidden/>
              </w:rPr>
              <w:instrText xml:space="preserve"> PAGEREF _Toc153442989 \h </w:instrText>
            </w:r>
            <w:r w:rsidR="00A7384C">
              <w:rPr>
                <w:noProof/>
                <w:webHidden/>
              </w:rPr>
            </w:r>
            <w:r w:rsidR="00A7384C">
              <w:rPr>
                <w:noProof/>
                <w:webHidden/>
              </w:rPr>
              <w:fldChar w:fldCharType="separate"/>
            </w:r>
            <w:r w:rsidR="00A7384C">
              <w:rPr>
                <w:noProof/>
                <w:webHidden/>
              </w:rPr>
              <w:t>8</w:t>
            </w:r>
            <w:r w:rsidR="00A7384C">
              <w:rPr>
                <w:noProof/>
                <w:webHidden/>
              </w:rPr>
              <w:fldChar w:fldCharType="end"/>
            </w:r>
          </w:hyperlink>
        </w:p>
        <w:p w14:paraId="2DD0584F" w14:textId="093A2E9C" w:rsidR="00A7384C" w:rsidRDefault="009203B2">
          <w:pPr>
            <w:pStyle w:val="Inhopg2"/>
            <w:tabs>
              <w:tab w:val="right" w:leader="dot" w:pos="9016"/>
            </w:tabs>
            <w:rPr>
              <w:rFonts w:asciiTheme="minorHAnsi" w:eastAsiaTheme="minorEastAsia" w:hAnsiTheme="minorHAnsi" w:cstheme="minorBidi"/>
              <w:noProof/>
            </w:rPr>
          </w:pPr>
          <w:hyperlink w:anchor="_Toc153442990" w:history="1">
            <w:r w:rsidR="00A7384C" w:rsidRPr="00754424">
              <w:rPr>
                <w:rStyle w:val="Hyperlink"/>
                <w:rFonts w:cstheme="minorHAnsi"/>
                <w:noProof/>
              </w:rPr>
              <w:t>7.1. Bijlage 1: Voorbeeldprocedure met certificaten</w:t>
            </w:r>
            <w:r w:rsidR="00A7384C">
              <w:rPr>
                <w:noProof/>
                <w:webHidden/>
              </w:rPr>
              <w:tab/>
            </w:r>
            <w:r w:rsidR="00A7384C">
              <w:rPr>
                <w:noProof/>
                <w:webHidden/>
              </w:rPr>
              <w:fldChar w:fldCharType="begin"/>
            </w:r>
            <w:r w:rsidR="00A7384C">
              <w:rPr>
                <w:noProof/>
                <w:webHidden/>
              </w:rPr>
              <w:instrText xml:space="preserve"> PAGEREF _Toc153442990 \h </w:instrText>
            </w:r>
            <w:r w:rsidR="00A7384C">
              <w:rPr>
                <w:noProof/>
                <w:webHidden/>
              </w:rPr>
            </w:r>
            <w:r w:rsidR="00A7384C">
              <w:rPr>
                <w:noProof/>
                <w:webHidden/>
              </w:rPr>
              <w:fldChar w:fldCharType="separate"/>
            </w:r>
            <w:r w:rsidR="00A7384C">
              <w:rPr>
                <w:noProof/>
                <w:webHidden/>
              </w:rPr>
              <w:t>8</w:t>
            </w:r>
            <w:r w:rsidR="00A7384C">
              <w:rPr>
                <w:noProof/>
                <w:webHidden/>
              </w:rPr>
              <w:fldChar w:fldCharType="end"/>
            </w:r>
          </w:hyperlink>
        </w:p>
        <w:p w14:paraId="074DEA2C" w14:textId="0721CD4A" w:rsidR="00DF290A" w:rsidRDefault="009203B2" w:rsidP="001C7A44">
          <w:pPr>
            <w:pStyle w:val="Inhopg1"/>
            <w:rPr>
              <w:iCs/>
              <w:lang w:eastAsia="en-US"/>
            </w:rPr>
          </w:pPr>
          <w:hyperlink w:anchor="_Toc153442991" w:history="1">
            <w:r w:rsidR="00A7384C" w:rsidRPr="00754424">
              <w:rPr>
                <w:rStyle w:val="Hyperlink"/>
                <w:noProof/>
              </w:rPr>
              <w:t>8.</w:t>
            </w:r>
            <w:r w:rsidR="00A7384C">
              <w:rPr>
                <w:rFonts w:asciiTheme="minorHAnsi" w:eastAsiaTheme="minorEastAsia" w:hAnsiTheme="minorHAnsi" w:cstheme="minorBidi"/>
                <w:noProof/>
              </w:rPr>
              <w:tab/>
            </w:r>
            <w:r w:rsidR="00A7384C" w:rsidRPr="00754424">
              <w:rPr>
                <w:rStyle w:val="Hyperlink"/>
                <w:noProof/>
              </w:rPr>
              <w:t>Versiebeheer van deze toelichting</w:t>
            </w:r>
            <w:r w:rsidR="00A7384C">
              <w:rPr>
                <w:noProof/>
                <w:webHidden/>
              </w:rPr>
              <w:tab/>
            </w:r>
            <w:r w:rsidR="00A7384C">
              <w:rPr>
                <w:noProof/>
                <w:webHidden/>
              </w:rPr>
              <w:fldChar w:fldCharType="begin"/>
            </w:r>
            <w:r w:rsidR="00A7384C">
              <w:rPr>
                <w:noProof/>
                <w:webHidden/>
              </w:rPr>
              <w:instrText xml:space="preserve"> PAGEREF _Toc153442991 \h </w:instrText>
            </w:r>
            <w:r w:rsidR="00A7384C">
              <w:rPr>
                <w:noProof/>
                <w:webHidden/>
              </w:rPr>
            </w:r>
            <w:r w:rsidR="00A7384C">
              <w:rPr>
                <w:noProof/>
                <w:webHidden/>
              </w:rPr>
              <w:fldChar w:fldCharType="separate"/>
            </w:r>
            <w:r w:rsidR="00A7384C">
              <w:rPr>
                <w:noProof/>
                <w:webHidden/>
              </w:rPr>
              <w:t>10</w:t>
            </w:r>
            <w:r w:rsidR="00A7384C">
              <w:rPr>
                <w:noProof/>
                <w:webHidden/>
              </w:rPr>
              <w:fldChar w:fldCharType="end"/>
            </w:r>
          </w:hyperlink>
          <w:r w:rsidR="00F02876">
            <w:rPr>
              <w:b/>
              <w:bCs/>
              <w:lang w:val="nl-NL"/>
            </w:rPr>
            <w:fldChar w:fldCharType="end"/>
          </w:r>
        </w:p>
      </w:sdtContent>
    </w:sdt>
    <w:p w14:paraId="72B4AB07" w14:textId="7BFA5AD0" w:rsidR="000768F2" w:rsidRPr="008B0EA6" w:rsidRDefault="00EB45AF" w:rsidP="00B3054E">
      <w:pPr>
        <w:pStyle w:val="Kop1"/>
        <w:numPr>
          <w:ilvl w:val="0"/>
          <w:numId w:val="30"/>
        </w:numPr>
        <w:ind w:left="284" w:hanging="284"/>
        <w:rPr>
          <w:bCs/>
          <w:szCs w:val="28"/>
        </w:rPr>
      </w:pPr>
      <w:bookmarkStart w:id="0" w:name="_Toc120200300"/>
      <w:bookmarkStart w:id="1" w:name="_Toc120200369"/>
      <w:bookmarkStart w:id="2" w:name="_Toc120200385"/>
      <w:bookmarkStart w:id="3" w:name="_Toc153442983"/>
      <w:bookmarkEnd w:id="0"/>
      <w:bookmarkEnd w:id="1"/>
      <w:bookmarkEnd w:id="2"/>
      <w:r w:rsidRPr="008B0EA6">
        <w:rPr>
          <w:rFonts w:cs="Calibri"/>
          <w:bCs/>
          <w:szCs w:val="28"/>
        </w:rPr>
        <w:lastRenderedPageBreak/>
        <w:t>Impact op ETS-bedrijven</w:t>
      </w:r>
      <w:bookmarkEnd w:id="3"/>
    </w:p>
    <w:p w14:paraId="11D4467D" w14:textId="77777777" w:rsidR="002369AB" w:rsidRPr="00CF547A" w:rsidRDefault="002369AB" w:rsidP="00B3054E">
      <w:pPr>
        <w:pStyle w:val="Lijstalinea"/>
        <w:ind w:left="540"/>
        <w:rPr>
          <w:rFonts w:asciiTheme="minorHAnsi" w:hAnsiTheme="minorHAnsi" w:cstheme="minorHAnsi"/>
          <w:bCs/>
          <w:szCs w:val="28"/>
        </w:rPr>
      </w:pPr>
    </w:p>
    <w:p w14:paraId="5A034D60" w14:textId="77777777" w:rsidR="00E854B2" w:rsidRPr="002827C1" w:rsidRDefault="00E854B2" w:rsidP="00E6597D">
      <w:pPr>
        <w:spacing w:after="160" w:line="259" w:lineRule="auto"/>
        <w:jc w:val="both"/>
        <w:rPr>
          <w:bCs/>
          <w:iCs/>
          <w:lang w:eastAsia="en-US"/>
        </w:rPr>
      </w:pPr>
      <w:r w:rsidRPr="002827C1">
        <w:rPr>
          <w:bCs/>
          <w:iCs/>
          <w:lang w:eastAsia="en-US"/>
        </w:rPr>
        <w:t xml:space="preserve">Volgende biomassabronstromen </w:t>
      </w:r>
      <w:r w:rsidRPr="002827C1">
        <w:rPr>
          <w:b/>
          <w:iCs/>
          <w:lang w:eastAsia="en-US"/>
        </w:rPr>
        <w:t>moeten</w:t>
      </w:r>
      <w:r w:rsidRPr="002827C1">
        <w:rPr>
          <w:bCs/>
          <w:iCs/>
          <w:lang w:eastAsia="en-US"/>
        </w:rPr>
        <w:t xml:space="preserve"> </w:t>
      </w:r>
      <w:r w:rsidRPr="00095917">
        <w:rPr>
          <w:b/>
          <w:bCs/>
          <w:iCs/>
          <w:lang w:eastAsia="en-US"/>
        </w:rPr>
        <w:t>noch</w:t>
      </w:r>
      <w:r w:rsidRPr="002827C1">
        <w:rPr>
          <w:b/>
          <w:bCs/>
          <w:iCs/>
          <w:lang w:eastAsia="en-US"/>
        </w:rPr>
        <w:t xml:space="preserve"> voldoen aan </w:t>
      </w:r>
      <w:r>
        <w:rPr>
          <w:b/>
          <w:bCs/>
          <w:iCs/>
          <w:lang w:eastAsia="en-US"/>
        </w:rPr>
        <w:t>duurzaamheids</w:t>
      </w:r>
      <w:r w:rsidRPr="002827C1">
        <w:rPr>
          <w:b/>
          <w:bCs/>
          <w:iCs/>
          <w:lang w:eastAsia="en-US"/>
        </w:rPr>
        <w:t>criteria</w:t>
      </w:r>
      <w:r>
        <w:rPr>
          <w:b/>
          <w:bCs/>
          <w:iCs/>
          <w:lang w:eastAsia="en-US"/>
        </w:rPr>
        <w:t xml:space="preserve">, noch voldoen aan </w:t>
      </w:r>
      <w:r w:rsidRPr="002827C1">
        <w:rPr>
          <w:b/>
          <w:bCs/>
          <w:iCs/>
          <w:lang w:eastAsia="en-US"/>
        </w:rPr>
        <w:t>broeikasgas</w:t>
      </w:r>
      <w:r>
        <w:rPr>
          <w:b/>
          <w:bCs/>
          <w:iCs/>
          <w:lang w:eastAsia="en-US"/>
        </w:rPr>
        <w:t>emissie</w:t>
      </w:r>
      <w:r w:rsidRPr="002827C1">
        <w:rPr>
          <w:b/>
          <w:bCs/>
          <w:iCs/>
          <w:lang w:eastAsia="en-US"/>
        </w:rPr>
        <w:t>reductiecriteria</w:t>
      </w:r>
      <w:r w:rsidRPr="002827C1">
        <w:rPr>
          <w:bCs/>
          <w:iCs/>
          <w:lang w:eastAsia="en-US"/>
        </w:rPr>
        <w:t>:</w:t>
      </w:r>
    </w:p>
    <w:p w14:paraId="4BBC327E" w14:textId="77777777" w:rsidR="00E854B2" w:rsidRPr="002827C1" w:rsidRDefault="00E854B2" w:rsidP="00E6597D">
      <w:pPr>
        <w:numPr>
          <w:ilvl w:val="0"/>
          <w:numId w:val="17"/>
        </w:numPr>
        <w:jc w:val="both"/>
        <w:rPr>
          <w:bCs/>
          <w:iCs/>
          <w:lang w:eastAsia="en-US"/>
        </w:rPr>
      </w:pPr>
      <w:r w:rsidRPr="002827C1">
        <w:rPr>
          <w:bCs/>
          <w:iCs/>
          <w:lang w:eastAsia="en-US"/>
        </w:rPr>
        <w:t>Biomassa die niet energetisch gebruikt wordt;</w:t>
      </w:r>
    </w:p>
    <w:p w14:paraId="0DE9E4B7" w14:textId="77777777" w:rsidR="00E854B2" w:rsidRPr="002827C1" w:rsidRDefault="00E854B2" w:rsidP="00E6597D">
      <w:pPr>
        <w:numPr>
          <w:ilvl w:val="0"/>
          <w:numId w:val="17"/>
        </w:numPr>
        <w:jc w:val="both"/>
        <w:rPr>
          <w:bCs/>
          <w:iCs/>
          <w:lang w:eastAsia="en-US"/>
        </w:rPr>
      </w:pPr>
      <w:r w:rsidRPr="002827C1">
        <w:rPr>
          <w:bCs/>
          <w:iCs/>
          <w:lang w:eastAsia="en-US"/>
        </w:rPr>
        <w:t xml:space="preserve">Vast </w:t>
      </w:r>
      <w:r>
        <w:rPr>
          <w:bCs/>
          <w:iCs/>
          <w:lang w:eastAsia="en-US"/>
        </w:rPr>
        <w:t>stedelijk</w:t>
      </w:r>
      <w:r w:rsidRPr="002827C1">
        <w:rPr>
          <w:bCs/>
          <w:iCs/>
          <w:lang w:eastAsia="en-US"/>
        </w:rPr>
        <w:t xml:space="preserve"> afval;</w:t>
      </w:r>
    </w:p>
    <w:p w14:paraId="60F80B42" w14:textId="155D3B6B" w:rsidR="00E854B2" w:rsidRPr="002827C1" w:rsidRDefault="00E854B2" w:rsidP="00E6597D">
      <w:pPr>
        <w:numPr>
          <w:ilvl w:val="0"/>
          <w:numId w:val="17"/>
        </w:numPr>
        <w:jc w:val="both"/>
        <w:rPr>
          <w:bCs/>
          <w:iCs/>
          <w:lang w:eastAsia="en-US"/>
        </w:rPr>
      </w:pPr>
      <w:r w:rsidRPr="002827C1">
        <w:rPr>
          <w:bCs/>
          <w:iCs/>
          <w:lang w:eastAsia="en-US"/>
        </w:rPr>
        <w:t xml:space="preserve">Vaste of gasvormige biomassa voor installaties </w:t>
      </w:r>
      <w:r w:rsidRPr="00B3054E">
        <w:rPr>
          <w:i/>
          <w:lang w:eastAsia="en-US"/>
        </w:rPr>
        <w:t xml:space="preserve">met een “start of </w:t>
      </w:r>
      <w:proofErr w:type="spellStart"/>
      <w:r w:rsidRPr="00B3054E">
        <w:rPr>
          <w:i/>
          <w:lang w:eastAsia="en-US"/>
        </w:rPr>
        <w:t>operation</w:t>
      </w:r>
      <w:proofErr w:type="spellEnd"/>
      <w:r w:rsidRPr="00B3054E">
        <w:rPr>
          <w:i/>
          <w:lang w:eastAsia="en-US"/>
        </w:rPr>
        <w:t>”</w:t>
      </w:r>
      <w:r w:rsidRPr="002827C1">
        <w:rPr>
          <w:bCs/>
          <w:iCs/>
          <w:lang w:eastAsia="en-US"/>
        </w:rPr>
        <w:t xml:space="preserve"> van </w:t>
      </w:r>
      <w:r>
        <w:rPr>
          <w:bCs/>
          <w:iCs/>
          <w:lang w:eastAsia="en-US"/>
        </w:rPr>
        <w:t>vóór</w:t>
      </w:r>
      <w:r w:rsidRPr="002827C1">
        <w:rPr>
          <w:bCs/>
          <w:iCs/>
          <w:lang w:eastAsia="en-US"/>
        </w:rPr>
        <w:t xml:space="preserve"> 1 januari 2021</w:t>
      </w:r>
      <w:r w:rsidR="00A95DDB">
        <w:rPr>
          <w:bCs/>
          <w:iCs/>
          <w:lang w:eastAsia="en-US"/>
        </w:rPr>
        <w:t xml:space="preserve">, die niet afkomstig </w:t>
      </w:r>
      <w:r w:rsidR="00A95DDB" w:rsidRPr="009D25DF">
        <w:rPr>
          <w:bCs/>
          <w:iCs/>
          <w:lang w:eastAsia="en-US"/>
        </w:rPr>
        <w:t>is van landbouw, de aquacultuur, de visserij en/of de bosbouw</w:t>
      </w:r>
      <w:r w:rsidRPr="002827C1">
        <w:rPr>
          <w:bCs/>
          <w:iCs/>
          <w:lang w:eastAsia="en-US"/>
        </w:rPr>
        <w:t>.</w:t>
      </w:r>
    </w:p>
    <w:p w14:paraId="26D4C775" w14:textId="77777777" w:rsidR="00E854B2" w:rsidRPr="002827C1" w:rsidRDefault="00E854B2" w:rsidP="00E6597D">
      <w:pPr>
        <w:spacing w:after="160" w:line="259" w:lineRule="auto"/>
        <w:jc w:val="both"/>
        <w:rPr>
          <w:bCs/>
          <w:iCs/>
          <w:lang w:eastAsia="en-US"/>
        </w:rPr>
      </w:pPr>
    </w:p>
    <w:p w14:paraId="4BF49D3C" w14:textId="47FA9495" w:rsidR="00E854B2" w:rsidRDefault="00E317E9" w:rsidP="00E6597D">
      <w:pPr>
        <w:spacing w:after="160" w:line="259" w:lineRule="auto"/>
        <w:jc w:val="both"/>
        <w:rPr>
          <w:bCs/>
          <w:iCs/>
          <w:lang w:eastAsia="en-US"/>
        </w:rPr>
      </w:pPr>
      <w:r>
        <w:rPr>
          <w:b/>
          <w:bCs/>
          <w:iCs/>
          <w:lang w:eastAsia="en-US"/>
        </w:rPr>
        <w:t>Merk</w:t>
      </w:r>
      <w:r w:rsidR="00E854B2" w:rsidRPr="002827C1">
        <w:rPr>
          <w:b/>
          <w:bCs/>
          <w:iCs/>
          <w:lang w:eastAsia="en-US"/>
        </w:rPr>
        <w:t xml:space="preserve"> op</w:t>
      </w:r>
      <w:r w:rsidR="00E854B2" w:rsidRPr="002827C1">
        <w:rPr>
          <w:bCs/>
          <w:iCs/>
          <w:lang w:eastAsia="en-US"/>
        </w:rPr>
        <w:t>: De definitie van “</w:t>
      </w:r>
      <w:r w:rsidR="00E854B2" w:rsidRPr="005F0479">
        <w:rPr>
          <w:i/>
          <w:lang w:eastAsia="en-US"/>
        </w:rPr>
        <w:t xml:space="preserve">start of </w:t>
      </w:r>
      <w:proofErr w:type="spellStart"/>
      <w:r w:rsidR="00E854B2" w:rsidRPr="005F0479">
        <w:rPr>
          <w:i/>
          <w:lang w:eastAsia="en-US"/>
        </w:rPr>
        <w:t>operation</w:t>
      </w:r>
      <w:proofErr w:type="spellEnd"/>
      <w:r w:rsidR="00E854B2" w:rsidRPr="002827C1">
        <w:rPr>
          <w:bCs/>
          <w:iCs/>
          <w:lang w:eastAsia="en-US"/>
        </w:rPr>
        <w:t xml:space="preserve">” is hierbij </w:t>
      </w:r>
      <w:r w:rsidR="00AA1B37">
        <w:rPr>
          <w:bCs/>
          <w:iCs/>
          <w:lang w:eastAsia="en-US"/>
        </w:rPr>
        <w:t xml:space="preserve">belangrijk. </w:t>
      </w:r>
      <w:r w:rsidR="00E854B2" w:rsidRPr="002827C1">
        <w:rPr>
          <w:bCs/>
          <w:iCs/>
          <w:lang w:eastAsia="en-US"/>
        </w:rPr>
        <w:t>De “</w:t>
      </w:r>
      <w:r w:rsidR="00E854B2" w:rsidRPr="005F0479">
        <w:rPr>
          <w:i/>
          <w:lang w:eastAsia="en-US"/>
        </w:rPr>
        <w:t xml:space="preserve">start of </w:t>
      </w:r>
      <w:proofErr w:type="spellStart"/>
      <w:r w:rsidR="00E854B2" w:rsidRPr="005F0479">
        <w:rPr>
          <w:i/>
          <w:lang w:eastAsia="en-US"/>
        </w:rPr>
        <w:t>operation</w:t>
      </w:r>
      <w:proofErr w:type="spellEnd"/>
      <w:r w:rsidR="00E854B2" w:rsidRPr="002827C1">
        <w:rPr>
          <w:bCs/>
          <w:iCs/>
          <w:lang w:eastAsia="en-US"/>
        </w:rPr>
        <w:t xml:space="preserve">” verwijst in deze context naar de datum waarop </w:t>
      </w:r>
      <w:r w:rsidR="00E854B2" w:rsidRPr="00B3054E">
        <w:rPr>
          <w:u w:val="single"/>
          <w:lang w:eastAsia="en-US"/>
        </w:rPr>
        <w:t>voor het eerst</w:t>
      </w:r>
      <w:r w:rsidR="00E854B2" w:rsidRPr="002827C1">
        <w:rPr>
          <w:bCs/>
          <w:iCs/>
          <w:lang w:eastAsia="en-US"/>
        </w:rPr>
        <w:t xml:space="preserve"> een biomassabronstroom voor energetische doeleinden werd gebruikt in de installatie</w:t>
      </w:r>
      <w:r w:rsidR="00CA7FB2">
        <w:rPr>
          <w:rStyle w:val="Voetnootmarkering"/>
          <w:bCs/>
          <w:iCs/>
          <w:lang w:eastAsia="en-US"/>
        </w:rPr>
        <w:footnoteReference w:id="3"/>
      </w:r>
      <w:r w:rsidR="00E854B2" w:rsidRPr="002827C1">
        <w:rPr>
          <w:bCs/>
          <w:iCs/>
          <w:lang w:eastAsia="en-US"/>
        </w:rPr>
        <w:t xml:space="preserve">. Hierbij wordt enkel gekeken naar de “normale” operatie en niet naar </w:t>
      </w:r>
      <w:proofErr w:type="spellStart"/>
      <w:r w:rsidR="00E854B2" w:rsidRPr="002827C1">
        <w:rPr>
          <w:bCs/>
          <w:iCs/>
          <w:lang w:eastAsia="en-US"/>
        </w:rPr>
        <w:t>testing</w:t>
      </w:r>
      <w:proofErr w:type="spellEnd"/>
      <w:r w:rsidR="00E854B2" w:rsidRPr="002827C1">
        <w:rPr>
          <w:bCs/>
          <w:iCs/>
          <w:lang w:eastAsia="en-US"/>
        </w:rPr>
        <w:t xml:space="preserve">, onderzoek en ontwikkeling, </w:t>
      </w:r>
      <w:proofErr w:type="gramStart"/>
      <w:r w:rsidR="00E854B2" w:rsidRPr="002827C1">
        <w:rPr>
          <w:bCs/>
          <w:iCs/>
          <w:lang w:eastAsia="en-US"/>
        </w:rPr>
        <w:t>… .</w:t>
      </w:r>
      <w:proofErr w:type="gramEnd"/>
      <w:r w:rsidR="00E854B2" w:rsidRPr="002827C1">
        <w:rPr>
          <w:bCs/>
          <w:iCs/>
          <w:lang w:eastAsia="en-US"/>
        </w:rPr>
        <w:t xml:space="preserve"> </w:t>
      </w:r>
      <w:r w:rsidR="0087665D">
        <w:rPr>
          <w:bCs/>
          <w:iCs/>
          <w:lang w:eastAsia="en-US"/>
        </w:rPr>
        <w:t>Met de “</w:t>
      </w:r>
      <w:r w:rsidR="0087665D" w:rsidRPr="0034773C">
        <w:rPr>
          <w:i/>
          <w:lang w:eastAsia="en-US"/>
        </w:rPr>
        <w:t xml:space="preserve">start of </w:t>
      </w:r>
      <w:proofErr w:type="spellStart"/>
      <w:r w:rsidR="0087665D" w:rsidRPr="0034773C">
        <w:rPr>
          <w:i/>
          <w:lang w:eastAsia="en-US"/>
        </w:rPr>
        <w:t>operation</w:t>
      </w:r>
      <w:proofErr w:type="spellEnd"/>
      <w:r w:rsidR="0087665D">
        <w:rPr>
          <w:bCs/>
          <w:iCs/>
          <w:lang w:eastAsia="en-US"/>
        </w:rPr>
        <w:t xml:space="preserve">” wordt derhalve </w:t>
      </w:r>
      <w:r w:rsidR="006711FB" w:rsidRPr="002827C1">
        <w:rPr>
          <w:bCs/>
          <w:iCs/>
          <w:lang w:eastAsia="en-US"/>
        </w:rPr>
        <w:t xml:space="preserve">NIET de datum vanaf wanneer de installatie </w:t>
      </w:r>
      <w:r w:rsidR="006711FB">
        <w:rPr>
          <w:bCs/>
          <w:iCs/>
          <w:lang w:eastAsia="en-US"/>
        </w:rPr>
        <w:t>in werking trad</w:t>
      </w:r>
      <w:r w:rsidR="0087665D">
        <w:rPr>
          <w:bCs/>
          <w:iCs/>
          <w:lang w:eastAsia="en-US"/>
        </w:rPr>
        <w:t>, bedoeld</w:t>
      </w:r>
      <w:r w:rsidR="006711FB" w:rsidRPr="002827C1">
        <w:rPr>
          <w:bCs/>
          <w:iCs/>
          <w:lang w:eastAsia="en-US"/>
        </w:rPr>
        <w:t>.</w:t>
      </w:r>
    </w:p>
    <w:p w14:paraId="0AD2F4BA" w14:textId="0239C496" w:rsidR="00E854B2" w:rsidRDefault="00E854B2" w:rsidP="00E6597D">
      <w:pPr>
        <w:spacing w:after="160" w:line="259" w:lineRule="auto"/>
        <w:jc w:val="both"/>
        <w:rPr>
          <w:bCs/>
          <w:iCs/>
          <w:lang w:eastAsia="en-US"/>
        </w:rPr>
      </w:pPr>
      <w:r w:rsidRPr="002827C1">
        <w:rPr>
          <w:bCs/>
          <w:iCs/>
          <w:lang w:eastAsia="en-US"/>
        </w:rPr>
        <w:t>Voor de volledige definitie van “</w:t>
      </w:r>
      <w:r w:rsidRPr="0034773C">
        <w:rPr>
          <w:i/>
          <w:lang w:eastAsia="en-US"/>
        </w:rPr>
        <w:t xml:space="preserve">start of </w:t>
      </w:r>
      <w:proofErr w:type="spellStart"/>
      <w:r w:rsidRPr="0034773C">
        <w:rPr>
          <w:i/>
          <w:lang w:eastAsia="en-US"/>
        </w:rPr>
        <w:t>operation</w:t>
      </w:r>
      <w:proofErr w:type="spellEnd"/>
      <w:r w:rsidRPr="002827C1">
        <w:rPr>
          <w:bCs/>
          <w:iCs/>
          <w:lang w:eastAsia="en-US"/>
        </w:rPr>
        <w:t>”, zie het Europese toelichtingsdocument</w:t>
      </w:r>
      <w:r>
        <w:rPr>
          <w:bCs/>
          <w:iCs/>
          <w:lang w:eastAsia="en-US"/>
        </w:rPr>
        <w:t>.</w:t>
      </w:r>
    </w:p>
    <w:p w14:paraId="4DF8D853" w14:textId="77777777" w:rsidR="00E854B2" w:rsidRDefault="00E854B2" w:rsidP="00E6597D">
      <w:pPr>
        <w:spacing w:after="160" w:line="259" w:lineRule="auto"/>
        <w:jc w:val="both"/>
        <w:rPr>
          <w:bCs/>
          <w:iCs/>
          <w:lang w:eastAsia="en-US"/>
        </w:rPr>
      </w:pPr>
    </w:p>
    <w:p w14:paraId="6466FC5A" w14:textId="77777777" w:rsidR="002827C1" w:rsidRPr="002827C1" w:rsidRDefault="002827C1" w:rsidP="00E6597D">
      <w:pPr>
        <w:spacing w:after="160" w:line="259" w:lineRule="auto"/>
        <w:jc w:val="both"/>
        <w:rPr>
          <w:bCs/>
          <w:iCs/>
          <w:lang w:eastAsia="en-US"/>
        </w:rPr>
      </w:pPr>
      <w:r w:rsidRPr="002827C1">
        <w:rPr>
          <w:bCs/>
          <w:iCs/>
          <w:lang w:eastAsia="en-US"/>
        </w:rPr>
        <w:t xml:space="preserve">Volgende biomassabronstromen </w:t>
      </w:r>
      <w:r w:rsidRPr="002827C1">
        <w:rPr>
          <w:b/>
          <w:iCs/>
          <w:lang w:eastAsia="en-US"/>
        </w:rPr>
        <w:t>moeten voldoen aan</w:t>
      </w:r>
      <w:r w:rsidRPr="002827C1">
        <w:rPr>
          <w:bCs/>
          <w:iCs/>
          <w:lang w:eastAsia="en-US"/>
        </w:rPr>
        <w:t xml:space="preserve"> </w:t>
      </w:r>
      <w:r w:rsidRPr="002827C1">
        <w:rPr>
          <w:b/>
          <w:bCs/>
          <w:iCs/>
          <w:lang w:eastAsia="en-US"/>
        </w:rPr>
        <w:t>duurzaamheidscriteria</w:t>
      </w:r>
      <w:r w:rsidRPr="002827C1">
        <w:rPr>
          <w:bCs/>
          <w:iCs/>
          <w:lang w:eastAsia="en-US"/>
        </w:rPr>
        <w:t>:</w:t>
      </w:r>
    </w:p>
    <w:p w14:paraId="3CAD9D61" w14:textId="5BEBD25E" w:rsidR="00893E93" w:rsidRDefault="002827C1" w:rsidP="00E6597D">
      <w:pPr>
        <w:numPr>
          <w:ilvl w:val="0"/>
          <w:numId w:val="18"/>
        </w:numPr>
        <w:spacing w:line="259" w:lineRule="auto"/>
        <w:jc w:val="both"/>
        <w:rPr>
          <w:bCs/>
          <w:iCs/>
          <w:lang w:eastAsia="en-US"/>
        </w:rPr>
      </w:pPr>
      <w:r w:rsidRPr="002827C1">
        <w:rPr>
          <w:bCs/>
          <w:iCs/>
          <w:lang w:eastAsia="en-US"/>
        </w:rPr>
        <w:t xml:space="preserve">Biomassa van (of </w:t>
      </w:r>
      <w:r w:rsidR="00FD045F">
        <w:rPr>
          <w:bCs/>
          <w:iCs/>
          <w:lang w:eastAsia="en-US"/>
        </w:rPr>
        <w:t xml:space="preserve">biomassa </w:t>
      </w:r>
      <w:r w:rsidRPr="002827C1">
        <w:rPr>
          <w:bCs/>
          <w:iCs/>
          <w:lang w:eastAsia="en-US"/>
        </w:rPr>
        <w:t>geproduceerd van) residuen afkomstig van landbouw, de aquacultuur, de visserij en</w:t>
      </w:r>
      <w:r w:rsidR="00C57A75">
        <w:rPr>
          <w:bCs/>
          <w:iCs/>
          <w:lang w:eastAsia="en-US"/>
        </w:rPr>
        <w:t>/of</w:t>
      </w:r>
      <w:r w:rsidRPr="002827C1">
        <w:rPr>
          <w:bCs/>
          <w:iCs/>
          <w:lang w:eastAsia="en-US"/>
        </w:rPr>
        <w:t xml:space="preserve"> de bosbouw. </w:t>
      </w:r>
    </w:p>
    <w:p w14:paraId="47DC1F9C" w14:textId="77777777" w:rsidR="00893E93" w:rsidRDefault="00893E93" w:rsidP="00E6597D">
      <w:pPr>
        <w:spacing w:line="259" w:lineRule="auto"/>
        <w:jc w:val="both"/>
        <w:rPr>
          <w:bCs/>
          <w:iCs/>
          <w:lang w:eastAsia="en-US"/>
        </w:rPr>
      </w:pPr>
    </w:p>
    <w:p w14:paraId="5DEBE71A" w14:textId="09B6FAB2" w:rsidR="002827C1" w:rsidRPr="002827C1" w:rsidRDefault="00FC20EF" w:rsidP="00E6597D">
      <w:pPr>
        <w:spacing w:line="259" w:lineRule="auto"/>
        <w:jc w:val="both"/>
        <w:rPr>
          <w:bCs/>
          <w:iCs/>
          <w:lang w:eastAsia="en-US"/>
        </w:rPr>
      </w:pPr>
      <w:r>
        <w:rPr>
          <w:bCs/>
          <w:iCs/>
          <w:lang w:eastAsia="en-US"/>
        </w:rPr>
        <w:t>Merk op dat gelijkaardige</w:t>
      </w:r>
      <w:r w:rsidR="00AA28A1">
        <w:rPr>
          <w:bCs/>
          <w:iCs/>
          <w:lang w:eastAsia="en-US"/>
        </w:rPr>
        <w:t xml:space="preserve"> </w:t>
      </w:r>
      <w:r w:rsidR="002827C1" w:rsidRPr="002827C1">
        <w:rPr>
          <w:bCs/>
          <w:iCs/>
          <w:lang w:eastAsia="en-US"/>
        </w:rPr>
        <w:t xml:space="preserve">residuen </w:t>
      </w:r>
      <w:r>
        <w:rPr>
          <w:bCs/>
          <w:iCs/>
          <w:lang w:eastAsia="en-US"/>
        </w:rPr>
        <w:t>die op een BKG-installatie worden geproduceerd</w:t>
      </w:r>
      <w:r w:rsidR="002827C1" w:rsidRPr="002827C1">
        <w:rPr>
          <w:bCs/>
          <w:iCs/>
          <w:lang w:eastAsia="en-US"/>
        </w:rPr>
        <w:t xml:space="preserve"> </w:t>
      </w:r>
      <w:r w:rsidR="00893E93">
        <w:rPr>
          <w:bCs/>
          <w:iCs/>
          <w:lang w:eastAsia="en-US"/>
        </w:rPr>
        <w:t xml:space="preserve">niet worden gezien als afkomstig van </w:t>
      </w:r>
      <w:r w:rsidR="002C1BB6" w:rsidRPr="002827C1">
        <w:rPr>
          <w:bCs/>
          <w:iCs/>
          <w:lang w:eastAsia="en-US"/>
        </w:rPr>
        <w:t>landbouw, de aquacultuur, de visserij en de bosbouw</w:t>
      </w:r>
      <w:r w:rsidR="002C1BB6">
        <w:rPr>
          <w:bCs/>
          <w:iCs/>
          <w:lang w:eastAsia="en-US"/>
        </w:rPr>
        <w:t xml:space="preserve"> </w:t>
      </w:r>
      <w:r>
        <w:rPr>
          <w:bCs/>
          <w:iCs/>
          <w:lang w:eastAsia="en-US"/>
        </w:rPr>
        <w:t xml:space="preserve">en dus niet moeten voldoen aan </w:t>
      </w:r>
      <w:r w:rsidR="005F1CC1">
        <w:rPr>
          <w:bCs/>
          <w:iCs/>
          <w:lang w:eastAsia="en-US"/>
        </w:rPr>
        <w:t>de duurzaamheidscriteria</w:t>
      </w:r>
      <w:r w:rsidR="002C1BB6">
        <w:rPr>
          <w:rStyle w:val="Voetnootmarkering"/>
          <w:bCs/>
          <w:iCs/>
          <w:lang w:eastAsia="en-US"/>
        </w:rPr>
        <w:footnoteReference w:id="4"/>
      </w:r>
      <w:r w:rsidR="002827C1" w:rsidRPr="002827C1">
        <w:rPr>
          <w:bCs/>
          <w:iCs/>
          <w:lang w:eastAsia="en-US"/>
        </w:rPr>
        <w:t>. De Europese toelichting gaat dieper in op deze classificatie.</w:t>
      </w:r>
    </w:p>
    <w:p w14:paraId="20938914" w14:textId="77777777" w:rsidR="005D31CF" w:rsidRPr="002827C1" w:rsidRDefault="005D31CF" w:rsidP="00E6597D">
      <w:pPr>
        <w:spacing w:line="259" w:lineRule="auto"/>
        <w:ind w:left="1440"/>
        <w:jc w:val="both"/>
        <w:rPr>
          <w:bCs/>
          <w:iCs/>
          <w:lang w:eastAsia="en-US"/>
        </w:rPr>
      </w:pPr>
    </w:p>
    <w:p w14:paraId="60DDCCA5" w14:textId="4D053E36" w:rsidR="002827C1" w:rsidRPr="002827C1" w:rsidRDefault="002827C1" w:rsidP="00E6597D">
      <w:pPr>
        <w:spacing w:after="160" w:line="259" w:lineRule="auto"/>
        <w:jc w:val="both"/>
        <w:rPr>
          <w:bCs/>
          <w:iCs/>
          <w:lang w:eastAsia="en-US"/>
        </w:rPr>
      </w:pPr>
      <w:r w:rsidRPr="002827C1">
        <w:rPr>
          <w:bCs/>
          <w:iCs/>
          <w:lang w:eastAsia="en-US"/>
        </w:rPr>
        <w:t xml:space="preserve">Volgende biomassabronstromen </w:t>
      </w:r>
      <w:r w:rsidRPr="002827C1">
        <w:rPr>
          <w:b/>
          <w:iCs/>
          <w:lang w:eastAsia="en-US"/>
        </w:rPr>
        <w:t>moeten voldoen aan</w:t>
      </w:r>
      <w:r w:rsidRPr="002827C1">
        <w:rPr>
          <w:bCs/>
          <w:iCs/>
          <w:lang w:eastAsia="en-US"/>
        </w:rPr>
        <w:t xml:space="preserve"> </w:t>
      </w:r>
      <w:r w:rsidRPr="002827C1">
        <w:rPr>
          <w:b/>
          <w:bCs/>
          <w:iCs/>
          <w:lang w:eastAsia="en-US"/>
        </w:rPr>
        <w:t>broeikasgas</w:t>
      </w:r>
      <w:r w:rsidR="008855E2">
        <w:rPr>
          <w:b/>
          <w:bCs/>
          <w:iCs/>
          <w:lang w:eastAsia="en-US"/>
        </w:rPr>
        <w:t>emissie</w:t>
      </w:r>
      <w:r w:rsidRPr="002827C1">
        <w:rPr>
          <w:b/>
          <w:bCs/>
          <w:iCs/>
          <w:lang w:eastAsia="en-US"/>
        </w:rPr>
        <w:t>reductiecriteria</w:t>
      </w:r>
      <w:r w:rsidRPr="002827C1">
        <w:rPr>
          <w:bCs/>
          <w:iCs/>
          <w:lang w:eastAsia="en-US"/>
        </w:rPr>
        <w:t>:</w:t>
      </w:r>
    </w:p>
    <w:p w14:paraId="7926F288" w14:textId="77777777" w:rsidR="002827C1" w:rsidRDefault="002827C1" w:rsidP="00E6597D">
      <w:pPr>
        <w:numPr>
          <w:ilvl w:val="0"/>
          <w:numId w:val="18"/>
        </w:numPr>
        <w:jc w:val="both"/>
        <w:rPr>
          <w:bCs/>
          <w:iCs/>
          <w:lang w:eastAsia="en-US"/>
        </w:rPr>
      </w:pPr>
      <w:r w:rsidRPr="002827C1">
        <w:rPr>
          <w:bCs/>
          <w:iCs/>
          <w:lang w:eastAsia="en-US"/>
        </w:rPr>
        <w:t>Vloeibare biomassa;</w:t>
      </w:r>
    </w:p>
    <w:p w14:paraId="0D953B22" w14:textId="09D1D12D" w:rsidR="002827C1" w:rsidRPr="002827C1" w:rsidRDefault="002827C1" w:rsidP="00E6597D">
      <w:pPr>
        <w:numPr>
          <w:ilvl w:val="0"/>
          <w:numId w:val="18"/>
        </w:numPr>
        <w:jc w:val="both"/>
        <w:rPr>
          <w:bCs/>
          <w:iCs/>
          <w:lang w:eastAsia="en-US"/>
        </w:rPr>
      </w:pPr>
      <w:r w:rsidRPr="002827C1">
        <w:rPr>
          <w:bCs/>
          <w:iCs/>
          <w:lang w:eastAsia="en-US"/>
        </w:rPr>
        <w:t>Vaste of gasvormige biomassa voor installaties met een “</w:t>
      </w:r>
      <w:r w:rsidRPr="00D47E85">
        <w:rPr>
          <w:i/>
          <w:lang w:eastAsia="en-US"/>
        </w:rPr>
        <w:t xml:space="preserve">start of </w:t>
      </w:r>
      <w:proofErr w:type="spellStart"/>
      <w:r w:rsidRPr="00D47E85">
        <w:rPr>
          <w:i/>
          <w:lang w:eastAsia="en-US"/>
        </w:rPr>
        <w:t>operation</w:t>
      </w:r>
      <w:proofErr w:type="spellEnd"/>
      <w:r w:rsidRPr="002827C1">
        <w:rPr>
          <w:bCs/>
          <w:iCs/>
          <w:lang w:eastAsia="en-US"/>
        </w:rPr>
        <w:t>” van</w:t>
      </w:r>
      <w:r w:rsidR="0057552A">
        <w:rPr>
          <w:bCs/>
          <w:iCs/>
          <w:lang w:eastAsia="en-US"/>
        </w:rPr>
        <w:t>af</w:t>
      </w:r>
      <w:r w:rsidRPr="002827C1">
        <w:rPr>
          <w:bCs/>
          <w:iCs/>
          <w:lang w:eastAsia="en-US"/>
        </w:rPr>
        <w:t xml:space="preserve"> </w:t>
      </w:r>
      <w:r w:rsidR="00225E4A">
        <w:rPr>
          <w:bCs/>
          <w:iCs/>
          <w:lang w:eastAsia="en-US"/>
        </w:rPr>
        <w:t xml:space="preserve">1 januari </w:t>
      </w:r>
      <w:r w:rsidRPr="002827C1">
        <w:rPr>
          <w:bCs/>
          <w:iCs/>
          <w:lang w:eastAsia="en-US"/>
        </w:rPr>
        <w:t xml:space="preserve">2021. </w:t>
      </w:r>
    </w:p>
    <w:p w14:paraId="310A410C" w14:textId="77777777" w:rsidR="002827C1" w:rsidRDefault="002827C1" w:rsidP="00E6597D">
      <w:pPr>
        <w:spacing w:after="160" w:line="259" w:lineRule="auto"/>
        <w:jc w:val="both"/>
        <w:rPr>
          <w:bCs/>
          <w:iCs/>
          <w:lang w:eastAsia="en-US"/>
        </w:rPr>
      </w:pPr>
    </w:p>
    <w:p w14:paraId="2068654C" w14:textId="57F31641" w:rsidR="003705A4" w:rsidRPr="002827C1" w:rsidRDefault="003705A4" w:rsidP="00E6597D">
      <w:pPr>
        <w:spacing w:after="160" w:line="259" w:lineRule="auto"/>
        <w:jc w:val="both"/>
        <w:rPr>
          <w:bCs/>
          <w:iCs/>
          <w:lang w:eastAsia="en-US"/>
        </w:rPr>
      </w:pPr>
      <w:r>
        <w:rPr>
          <w:bCs/>
          <w:iCs/>
          <w:lang w:eastAsia="en-US"/>
        </w:rPr>
        <w:t>Het is mogelijk dat bepaalde biomassabronstromen aan beide criteria moeten voldoen.</w:t>
      </w:r>
    </w:p>
    <w:p w14:paraId="7B8F4254" w14:textId="38711CDB" w:rsidR="005D31CF" w:rsidRDefault="00935310" w:rsidP="0000075F">
      <w:pPr>
        <w:spacing w:after="160" w:line="259" w:lineRule="auto"/>
        <w:jc w:val="both"/>
        <w:rPr>
          <w:rFonts w:asciiTheme="minorHAnsi" w:eastAsiaTheme="majorEastAsia" w:hAnsiTheme="minorHAnsi" w:cstheme="minorBidi"/>
          <w:b/>
          <w:bCs/>
          <w:sz w:val="28"/>
          <w:szCs w:val="28"/>
          <w:lang w:eastAsia="en-US"/>
        </w:rPr>
      </w:pPr>
      <w:r w:rsidRPr="00904220">
        <w:rPr>
          <w:bCs/>
          <w:iCs/>
          <w:lang w:eastAsia="en-US"/>
        </w:rPr>
        <w:t>Tot slot gaat hoofdstuk</w:t>
      </w:r>
      <w:r w:rsidRPr="00CC69A6">
        <w:rPr>
          <w:bCs/>
          <w:iCs/>
          <w:lang w:eastAsia="en-US"/>
        </w:rPr>
        <w:t xml:space="preserve"> 3.4.6.4 van </w:t>
      </w:r>
      <w:r w:rsidR="008212CA">
        <w:rPr>
          <w:bCs/>
          <w:iCs/>
          <w:lang w:eastAsia="en-US"/>
        </w:rPr>
        <w:t>het</w:t>
      </w:r>
      <w:r w:rsidR="00151C1A" w:rsidRPr="00CC69A6">
        <w:rPr>
          <w:bCs/>
          <w:iCs/>
          <w:lang w:eastAsia="en-US"/>
        </w:rPr>
        <w:t xml:space="preserve"> Europese </w:t>
      </w:r>
      <w:r w:rsidR="00F647A3" w:rsidRPr="00904220">
        <w:rPr>
          <w:bCs/>
          <w:iCs/>
          <w:lang w:eastAsia="en-US"/>
        </w:rPr>
        <w:t>toelichtingsdocument</w:t>
      </w:r>
      <w:r w:rsidR="00151C1A" w:rsidRPr="00CC69A6">
        <w:rPr>
          <w:bCs/>
          <w:iCs/>
          <w:lang w:eastAsia="en-US"/>
        </w:rPr>
        <w:t xml:space="preserve"> </w:t>
      </w:r>
      <w:r w:rsidR="00641304" w:rsidRPr="00CC69A6">
        <w:rPr>
          <w:bCs/>
          <w:iCs/>
          <w:lang w:eastAsia="en-US"/>
        </w:rPr>
        <w:t xml:space="preserve">dieper in op </w:t>
      </w:r>
      <w:r w:rsidR="00514AB1">
        <w:rPr>
          <w:bCs/>
          <w:iCs/>
          <w:lang w:eastAsia="en-US"/>
        </w:rPr>
        <w:t>hoe</w:t>
      </w:r>
      <w:r w:rsidR="00641304" w:rsidRPr="00CC69A6">
        <w:rPr>
          <w:bCs/>
          <w:iCs/>
          <w:lang w:eastAsia="en-US"/>
        </w:rPr>
        <w:t xml:space="preserve"> moet gegaan worden met REDII</w:t>
      </w:r>
      <w:r w:rsidR="00081A04" w:rsidRPr="00904220">
        <w:rPr>
          <w:bCs/>
          <w:iCs/>
          <w:lang w:eastAsia="en-US"/>
        </w:rPr>
        <w:t>-</w:t>
      </w:r>
      <w:r w:rsidR="00641304" w:rsidRPr="00CC69A6">
        <w:rPr>
          <w:bCs/>
          <w:iCs/>
          <w:lang w:eastAsia="en-US"/>
        </w:rPr>
        <w:t xml:space="preserve">criteria wanneer het gaat om </w:t>
      </w:r>
      <w:r w:rsidR="007B464D" w:rsidRPr="00CC69A6">
        <w:rPr>
          <w:bCs/>
          <w:iCs/>
          <w:lang w:eastAsia="en-US"/>
        </w:rPr>
        <w:t xml:space="preserve">afval van biologische </w:t>
      </w:r>
      <w:r w:rsidRPr="00904220">
        <w:rPr>
          <w:bCs/>
          <w:iCs/>
          <w:lang w:eastAsia="en-US"/>
        </w:rPr>
        <w:t>oorsprong</w:t>
      </w:r>
      <w:r w:rsidR="007B464D" w:rsidRPr="00CC69A6">
        <w:rPr>
          <w:bCs/>
          <w:iCs/>
          <w:lang w:eastAsia="en-US"/>
        </w:rPr>
        <w:t>.</w:t>
      </w:r>
    </w:p>
    <w:p w14:paraId="799C4A18" w14:textId="77777777" w:rsidR="00A95DDB" w:rsidRDefault="00A95DDB">
      <w:pPr>
        <w:spacing w:after="160" w:line="259" w:lineRule="auto"/>
        <w:rPr>
          <w:rFonts w:asciiTheme="minorHAnsi" w:eastAsiaTheme="majorEastAsia" w:hAnsiTheme="minorHAnsi" w:cstheme="minorBidi"/>
          <w:bCs/>
          <w:sz w:val="28"/>
          <w:szCs w:val="28"/>
          <w:lang w:eastAsia="en-US"/>
        </w:rPr>
      </w:pPr>
      <w:bookmarkStart w:id="4" w:name="_Ref119504258"/>
      <w:r>
        <w:rPr>
          <w:rFonts w:asciiTheme="minorHAnsi" w:hAnsiTheme="minorHAnsi" w:cstheme="minorBidi"/>
          <w:b/>
          <w:bCs/>
          <w:szCs w:val="28"/>
        </w:rPr>
        <w:br w:type="page"/>
      </w:r>
    </w:p>
    <w:p w14:paraId="5AE22ADB" w14:textId="252E3B0E" w:rsidR="002827C1" w:rsidRPr="00A95DDB" w:rsidRDefault="00D23502" w:rsidP="00A95DDB">
      <w:pPr>
        <w:pStyle w:val="Kop1"/>
        <w:numPr>
          <w:ilvl w:val="0"/>
          <w:numId w:val="30"/>
        </w:numPr>
        <w:ind w:left="284" w:hanging="284"/>
        <w:rPr>
          <w:rFonts w:asciiTheme="minorHAnsi" w:hAnsiTheme="minorHAnsi" w:cstheme="minorBidi"/>
          <w:b w:val="0"/>
          <w:bCs/>
          <w:szCs w:val="28"/>
          <w:lang w:val="nl-BE"/>
        </w:rPr>
      </w:pPr>
      <w:bookmarkStart w:id="5" w:name="_Toc153442984"/>
      <w:r w:rsidRPr="00A95DDB">
        <w:rPr>
          <w:rFonts w:asciiTheme="minorHAnsi" w:hAnsiTheme="minorHAnsi" w:cstheme="minorBidi"/>
          <w:bCs/>
          <w:szCs w:val="28"/>
          <w:lang w:val="nl-BE"/>
        </w:rPr>
        <w:lastRenderedPageBreak/>
        <w:t>Aanpassingen aan het monitoringplan</w:t>
      </w:r>
      <w:bookmarkEnd w:id="4"/>
      <w:bookmarkEnd w:id="5"/>
    </w:p>
    <w:p w14:paraId="01F52ABA" w14:textId="77777777" w:rsidR="00706AE9" w:rsidRDefault="00706AE9" w:rsidP="00D23502">
      <w:pPr>
        <w:rPr>
          <w:lang w:eastAsia="en-US"/>
        </w:rPr>
      </w:pPr>
    </w:p>
    <w:p w14:paraId="5FE70A78" w14:textId="5177A66F" w:rsidR="00706AE9" w:rsidRPr="007174E0" w:rsidRDefault="00706AE9" w:rsidP="00E6597D">
      <w:pPr>
        <w:jc w:val="both"/>
        <w:rPr>
          <w:lang w:eastAsia="en-US"/>
        </w:rPr>
      </w:pPr>
      <w:r w:rsidRPr="007B5259">
        <w:rPr>
          <w:lang w:eastAsia="en-US"/>
        </w:rPr>
        <w:t xml:space="preserve">Alle BKG-installaties die op dit moment </w:t>
      </w:r>
      <w:r w:rsidR="00EA21DA" w:rsidRPr="007B5259">
        <w:rPr>
          <w:lang w:eastAsia="en-US"/>
        </w:rPr>
        <w:t xml:space="preserve">zuivere </w:t>
      </w:r>
      <w:r w:rsidR="00EA21DA" w:rsidRPr="0091772A">
        <w:rPr>
          <w:lang w:eastAsia="en-US"/>
        </w:rPr>
        <w:t>of</w:t>
      </w:r>
      <w:r w:rsidR="00C72786" w:rsidRPr="0091772A">
        <w:rPr>
          <w:lang w:eastAsia="en-US"/>
        </w:rPr>
        <w:t xml:space="preserve"> </w:t>
      </w:r>
      <w:r w:rsidRPr="0091772A">
        <w:rPr>
          <w:lang w:eastAsia="en-US"/>
        </w:rPr>
        <w:t>gemengde biomassabronstromen</w:t>
      </w:r>
      <w:r w:rsidRPr="00D172D4">
        <w:rPr>
          <w:lang w:eastAsia="en-US"/>
        </w:rPr>
        <w:t xml:space="preserve"> verbranden</w:t>
      </w:r>
      <w:r w:rsidR="00833582" w:rsidRPr="00B3054E">
        <w:rPr>
          <w:lang w:eastAsia="en-US"/>
        </w:rPr>
        <w:t xml:space="preserve"> moeten hun monitoringplan aanpassen, ook al zijn de </w:t>
      </w:r>
      <w:r w:rsidR="00E638ED" w:rsidRPr="00B3054E">
        <w:rPr>
          <w:lang w:eastAsia="en-US"/>
        </w:rPr>
        <w:t>REDII-</w:t>
      </w:r>
      <w:r w:rsidR="00833582" w:rsidRPr="00B3054E">
        <w:rPr>
          <w:lang w:eastAsia="en-US"/>
        </w:rPr>
        <w:t>criteria niet van toepassing</w:t>
      </w:r>
      <w:r w:rsidR="00E74F32" w:rsidRPr="00B3054E">
        <w:rPr>
          <w:lang w:eastAsia="en-US"/>
        </w:rPr>
        <w:t>.</w:t>
      </w:r>
    </w:p>
    <w:p w14:paraId="279D6F66" w14:textId="77777777" w:rsidR="00833582" w:rsidRDefault="00833582" w:rsidP="00E6597D">
      <w:pPr>
        <w:jc w:val="both"/>
        <w:rPr>
          <w:lang w:eastAsia="en-US"/>
        </w:rPr>
      </w:pPr>
    </w:p>
    <w:p w14:paraId="5689E797" w14:textId="5F2457AB" w:rsidR="006B156C" w:rsidRDefault="006B156C" w:rsidP="00E6597D">
      <w:pPr>
        <w:jc w:val="both"/>
        <w:rPr>
          <w:lang w:eastAsia="en-US"/>
        </w:rPr>
      </w:pPr>
      <w:r w:rsidRPr="006B156C">
        <w:rPr>
          <w:lang w:eastAsia="en-US"/>
        </w:rPr>
        <w:t>Het monitoringplan</w:t>
      </w:r>
      <w:r w:rsidR="00D109FB">
        <w:rPr>
          <w:lang w:eastAsia="en-US"/>
        </w:rPr>
        <w:t xml:space="preserve"> (MP)</w:t>
      </w:r>
      <w:r w:rsidRPr="006B156C">
        <w:rPr>
          <w:lang w:eastAsia="en-US"/>
        </w:rPr>
        <w:t xml:space="preserve"> moet </w:t>
      </w:r>
      <w:r w:rsidR="00FB2EFC">
        <w:rPr>
          <w:lang w:eastAsia="en-US"/>
        </w:rPr>
        <w:t xml:space="preserve">immers </w:t>
      </w:r>
      <w:r w:rsidR="002D6A46">
        <w:rPr>
          <w:lang w:eastAsia="en-US"/>
        </w:rPr>
        <w:t>verduidelijken</w:t>
      </w:r>
      <w:r w:rsidRPr="006B156C">
        <w:rPr>
          <w:lang w:eastAsia="en-US"/>
        </w:rPr>
        <w:t xml:space="preserve"> of (en hoe) </w:t>
      </w:r>
      <w:r w:rsidR="00A01CCC">
        <w:rPr>
          <w:lang w:eastAsia="en-US"/>
        </w:rPr>
        <w:t xml:space="preserve">batches van </w:t>
      </w:r>
      <w:r w:rsidRPr="006B156C">
        <w:rPr>
          <w:lang w:eastAsia="en-US"/>
        </w:rPr>
        <w:t>biomassabronstromen voldoen aan de vereisten van artikel 38</w:t>
      </w:r>
      <w:r w:rsidR="00581953">
        <w:rPr>
          <w:lang w:eastAsia="en-US"/>
        </w:rPr>
        <w:t xml:space="preserve">, lid </w:t>
      </w:r>
      <w:r w:rsidRPr="006B156C">
        <w:rPr>
          <w:lang w:eastAsia="en-US"/>
        </w:rPr>
        <w:t>5</w:t>
      </w:r>
      <w:r w:rsidR="00581953">
        <w:rPr>
          <w:lang w:eastAsia="en-US"/>
        </w:rPr>
        <w:t>,</w:t>
      </w:r>
      <w:r w:rsidRPr="006B156C">
        <w:rPr>
          <w:lang w:eastAsia="en-US"/>
        </w:rPr>
        <w:t xml:space="preserve"> van de </w:t>
      </w:r>
      <w:hyperlink r:id="rId17" w:history="1">
        <w:r w:rsidRPr="006B156C">
          <w:rPr>
            <w:rStyle w:val="Hyperlink"/>
            <w:lang w:eastAsia="en-US"/>
          </w:rPr>
          <w:t>richtlijn</w:t>
        </w:r>
      </w:hyperlink>
      <w:r w:rsidRPr="006B156C">
        <w:rPr>
          <w:lang w:eastAsia="en-US"/>
        </w:rPr>
        <w:t xml:space="preserve"> inzake monitoring en rapportage van emissies van broeikasgassen (MRR). Dit artikel maakt de link met de nieuwe REDII-criteria.</w:t>
      </w:r>
    </w:p>
    <w:p w14:paraId="01244322" w14:textId="77777777" w:rsidR="00F921CB" w:rsidRDefault="00F921CB" w:rsidP="00E6597D">
      <w:pPr>
        <w:jc w:val="both"/>
        <w:rPr>
          <w:lang w:eastAsia="en-US"/>
        </w:rPr>
      </w:pPr>
    </w:p>
    <w:p w14:paraId="44EFF5FD" w14:textId="54CE207C" w:rsidR="00C72786" w:rsidRDefault="00110699" w:rsidP="00E6597D">
      <w:pPr>
        <w:jc w:val="both"/>
        <w:rPr>
          <w:lang w:eastAsia="en-US"/>
        </w:rPr>
      </w:pPr>
      <w:r w:rsidRPr="007B5259">
        <w:rPr>
          <w:lang w:eastAsia="en-US"/>
        </w:rPr>
        <w:t>Afhankelijk van de situatie</w:t>
      </w:r>
      <w:r w:rsidRPr="0091772A">
        <w:rPr>
          <w:lang w:eastAsia="en-US"/>
        </w:rPr>
        <w:t xml:space="preserve"> </w:t>
      </w:r>
      <w:r w:rsidR="00483854" w:rsidRPr="0091772A">
        <w:rPr>
          <w:lang w:eastAsia="en-US"/>
        </w:rPr>
        <w:t xml:space="preserve">moet </w:t>
      </w:r>
      <w:r w:rsidR="0011340A" w:rsidRPr="0091772A">
        <w:rPr>
          <w:lang w:eastAsia="en-US"/>
        </w:rPr>
        <w:t xml:space="preserve">per biomassabronstroom </w:t>
      </w:r>
      <w:r w:rsidR="00483854" w:rsidRPr="00B3054E">
        <w:rPr>
          <w:lang w:eastAsia="en-US"/>
        </w:rPr>
        <w:t>één van onderstaande</w:t>
      </w:r>
      <w:r w:rsidRPr="00B3054E">
        <w:rPr>
          <w:lang w:eastAsia="en-US"/>
        </w:rPr>
        <w:t xml:space="preserve"> </w:t>
      </w:r>
      <w:r w:rsidR="00483854" w:rsidRPr="00B3054E">
        <w:rPr>
          <w:lang w:eastAsia="en-US"/>
        </w:rPr>
        <w:t xml:space="preserve">zinnen </w:t>
      </w:r>
      <w:r w:rsidRPr="00B3054E">
        <w:rPr>
          <w:lang w:eastAsia="en-US"/>
        </w:rPr>
        <w:t>opgenomen worden in</w:t>
      </w:r>
      <w:r w:rsidR="000B4563" w:rsidRPr="00B3054E">
        <w:rPr>
          <w:lang w:eastAsia="en-US"/>
        </w:rPr>
        <w:t xml:space="preserve"> het monitoringplan op tabblad </w:t>
      </w:r>
      <w:proofErr w:type="spellStart"/>
      <w:r w:rsidR="000B4563" w:rsidRPr="00B3054E">
        <w:rPr>
          <w:lang w:eastAsia="en-US"/>
        </w:rPr>
        <w:t>D_CalculationBasedApproaches</w:t>
      </w:r>
      <w:proofErr w:type="spellEnd"/>
      <w:r w:rsidR="000B4563" w:rsidRPr="00B3054E">
        <w:rPr>
          <w:lang w:eastAsia="en-US"/>
        </w:rPr>
        <w:t xml:space="preserve"> onder </w:t>
      </w:r>
      <w:r w:rsidR="000B4563" w:rsidRPr="00B3054E">
        <w:rPr>
          <w:i/>
          <w:iCs/>
          <w:lang w:eastAsia="en-US"/>
        </w:rPr>
        <w:t>“(a) Beschrijving van de rekenmethode voor de monitoring van CO2-emissies in uw installatie, indien van toepassing:”</w:t>
      </w:r>
      <w:r w:rsidR="002A0489" w:rsidRPr="007B5259">
        <w:rPr>
          <w:rStyle w:val="Voetnootmarkering"/>
          <w:i/>
          <w:iCs/>
          <w:lang w:eastAsia="en-US"/>
        </w:rPr>
        <w:footnoteReference w:id="5"/>
      </w:r>
      <w:r w:rsidR="008E6D96" w:rsidRPr="007B5259">
        <w:rPr>
          <w:lang w:eastAsia="en-US"/>
        </w:rPr>
        <w:t>:</w:t>
      </w:r>
    </w:p>
    <w:p w14:paraId="72837094" w14:textId="77777777" w:rsidR="00C72786" w:rsidRDefault="00C72786" w:rsidP="00E6597D">
      <w:pPr>
        <w:jc w:val="both"/>
        <w:rPr>
          <w:lang w:eastAsia="en-US"/>
        </w:rPr>
      </w:pPr>
    </w:p>
    <w:p w14:paraId="7A7CF040" w14:textId="6CF78EA8" w:rsidR="000B4563" w:rsidRDefault="00C7636A" w:rsidP="00E6597D">
      <w:pPr>
        <w:pStyle w:val="Lijstalinea"/>
        <w:numPr>
          <w:ilvl w:val="0"/>
          <w:numId w:val="28"/>
        </w:numPr>
        <w:jc w:val="both"/>
        <w:rPr>
          <w:i/>
          <w:iCs/>
          <w:lang w:eastAsia="en-US"/>
        </w:rPr>
      </w:pPr>
      <w:r w:rsidRPr="00904220">
        <w:rPr>
          <w:i/>
          <w:iCs/>
          <w:lang w:eastAsia="en-US"/>
        </w:rPr>
        <w:t>“</w:t>
      </w:r>
      <w:r w:rsidR="008E6D96" w:rsidRPr="00904220">
        <w:rPr>
          <w:i/>
          <w:iCs/>
          <w:lang w:eastAsia="en-US"/>
        </w:rPr>
        <w:t xml:space="preserve">Voor </w:t>
      </w:r>
      <w:r w:rsidR="008C0F1A" w:rsidRPr="00904220">
        <w:rPr>
          <w:i/>
          <w:iCs/>
          <w:lang w:eastAsia="en-US"/>
        </w:rPr>
        <w:t xml:space="preserve">biomassabronstroom &lt;Bronstroom Naam&gt; </w:t>
      </w:r>
      <w:r w:rsidR="00833387" w:rsidRPr="00904220">
        <w:rPr>
          <w:i/>
          <w:iCs/>
          <w:lang w:eastAsia="en-US"/>
        </w:rPr>
        <w:t xml:space="preserve">moet niet voldaan worden aan de duurzaamheidscriteria </w:t>
      </w:r>
      <w:r w:rsidR="009E7897" w:rsidRPr="00904220">
        <w:rPr>
          <w:i/>
          <w:iCs/>
          <w:lang w:eastAsia="en-US"/>
        </w:rPr>
        <w:t xml:space="preserve">of de broeikasgasreductiecriteria </w:t>
      </w:r>
      <w:r w:rsidR="00110699" w:rsidRPr="00904220">
        <w:rPr>
          <w:i/>
          <w:iCs/>
          <w:lang w:eastAsia="en-US"/>
        </w:rPr>
        <w:t>aangezien</w:t>
      </w:r>
      <w:r w:rsidR="00565CB3" w:rsidRPr="00904220">
        <w:rPr>
          <w:rStyle w:val="Voetnootmarkering"/>
          <w:i/>
          <w:iCs/>
          <w:lang w:eastAsia="en-US"/>
        </w:rPr>
        <w:footnoteReference w:id="6"/>
      </w:r>
      <w:r w:rsidR="009E7897" w:rsidRPr="00904220">
        <w:rPr>
          <w:i/>
          <w:iCs/>
          <w:lang w:eastAsia="en-US"/>
        </w:rPr>
        <w:t xml:space="preserve"> </w:t>
      </w:r>
      <w:proofErr w:type="gramStart"/>
      <w:r w:rsidR="009E7897" w:rsidRPr="00904220">
        <w:rPr>
          <w:i/>
          <w:iCs/>
          <w:lang w:eastAsia="en-US"/>
        </w:rPr>
        <w:t>… .</w:t>
      </w:r>
      <w:proofErr w:type="gramEnd"/>
      <w:r w:rsidRPr="00904220">
        <w:rPr>
          <w:i/>
          <w:iCs/>
          <w:lang w:eastAsia="en-US"/>
        </w:rPr>
        <w:t>”</w:t>
      </w:r>
    </w:p>
    <w:p w14:paraId="320BCA88" w14:textId="77777777" w:rsidR="00C72786" w:rsidRDefault="00C72786" w:rsidP="00E6597D">
      <w:pPr>
        <w:pStyle w:val="Lijstalinea"/>
        <w:ind w:left="1433"/>
        <w:jc w:val="both"/>
        <w:rPr>
          <w:i/>
          <w:iCs/>
          <w:lang w:eastAsia="en-US"/>
        </w:rPr>
      </w:pPr>
    </w:p>
    <w:p w14:paraId="19B5F26A" w14:textId="37C4306D" w:rsidR="00C72786" w:rsidRDefault="00C72786" w:rsidP="00E6597D">
      <w:pPr>
        <w:pStyle w:val="Lijstalinea"/>
        <w:ind w:left="1433"/>
        <w:jc w:val="both"/>
        <w:rPr>
          <w:i/>
          <w:iCs/>
          <w:lang w:eastAsia="en-US"/>
        </w:rPr>
      </w:pPr>
      <w:r>
        <w:rPr>
          <w:i/>
          <w:iCs/>
          <w:lang w:eastAsia="en-US"/>
        </w:rPr>
        <w:t>Ofwel:</w:t>
      </w:r>
    </w:p>
    <w:p w14:paraId="0A42681E" w14:textId="77777777" w:rsidR="00C72786" w:rsidRPr="00904220" w:rsidRDefault="00C72786" w:rsidP="00E6597D">
      <w:pPr>
        <w:pStyle w:val="Lijstalinea"/>
        <w:ind w:left="1433"/>
        <w:jc w:val="both"/>
        <w:rPr>
          <w:i/>
          <w:iCs/>
          <w:lang w:eastAsia="en-US"/>
        </w:rPr>
      </w:pPr>
    </w:p>
    <w:p w14:paraId="71575BEC" w14:textId="3FDDF475" w:rsidR="00110699" w:rsidRDefault="00C7636A" w:rsidP="00E6597D">
      <w:pPr>
        <w:pStyle w:val="Lijstalinea"/>
        <w:numPr>
          <w:ilvl w:val="0"/>
          <w:numId w:val="28"/>
        </w:numPr>
        <w:jc w:val="both"/>
        <w:rPr>
          <w:i/>
          <w:iCs/>
          <w:lang w:eastAsia="en-US"/>
        </w:rPr>
      </w:pPr>
      <w:r w:rsidRPr="00904220">
        <w:rPr>
          <w:i/>
          <w:iCs/>
          <w:lang w:eastAsia="en-US"/>
        </w:rPr>
        <w:t>“</w:t>
      </w:r>
      <w:r w:rsidR="00110699" w:rsidRPr="00904220">
        <w:rPr>
          <w:i/>
          <w:iCs/>
          <w:lang w:eastAsia="en-US"/>
        </w:rPr>
        <w:t xml:space="preserve">Voor biomassabronstroom </w:t>
      </w:r>
      <w:r w:rsidR="00110699" w:rsidRPr="00C7636A">
        <w:rPr>
          <w:i/>
          <w:iCs/>
          <w:lang w:eastAsia="en-US"/>
        </w:rPr>
        <w:t>&lt;Bronstroom Naam&gt;</w:t>
      </w:r>
      <w:r w:rsidR="00110699" w:rsidRPr="00904220">
        <w:rPr>
          <w:i/>
          <w:iCs/>
          <w:lang w:eastAsia="en-US"/>
        </w:rPr>
        <w:t xml:space="preserve"> </w:t>
      </w:r>
      <w:r w:rsidR="009A3C60" w:rsidRPr="00904220">
        <w:rPr>
          <w:i/>
          <w:iCs/>
          <w:lang w:eastAsia="en-US"/>
        </w:rPr>
        <w:t xml:space="preserve">moet </w:t>
      </w:r>
      <w:r w:rsidR="00110699" w:rsidRPr="00904220">
        <w:rPr>
          <w:i/>
          <w:iCs/>
          <w:lang w:eastAsia="en-US"/>
        </w:rPr>
        <w:t xml:space="preserve">voldaan worden aan de duurzaamheidscriteria </w:t>
      </w:r>
      <w:r w:rsidR="009A3C60" w:rsidRPr="00904220">
        <w:rPr>
          <w:i/>
          <w:iCs/>
          <w:lang w:eastAsia="en-US"/>
        </w:rPr>
        <w:t>en/</w:t>
      </w:r>
      <w:r w:rsidR="00110699" w:rsidRPr="00904220">
        <w:rPr>
          <w:i/>
          <w:iCs/>
          <w:lang w:eastAsia="en-US"/>
        </w:rPr>
        <w:t>of de broeikasgas</w:t>
      </w:r>
      <w:r w:rsidR="0050640D" w:rsidRPr="00904220">
        <w:rPr>
          <w:i/>
          <w:iCs/>
          <w:lang w:eastAsia="en-US"/>
        </w:rPr>
        <w:t>emissie</w:t>
      </w:r>
      <w:r w:rsidR="00110699" w:rsidRPr="00904220">
        <w:rPr>
          <w:i/>
          <w:iCs/>
          <w:lang w:eastAsia="en-US"/>
        </w:rPr>
        <w:t>reductiecriteria</w:t>
      </w:r>
      <w:r w:rsidR="009A3C60" w:rsidRPr="00904220">
        <w:rPr>
          <w:i/>
          <w:iCs/>
          <w:lang w:eastAsia="en-US"/>
        </w:rPr>
        <w:t xml:space="preserve"> </w:t>
      </w:r>
      <w:r w:rsidR="00110699" w:rsidRPr="00904220">
        <w:rPr>
          <w:i/>
          <w:iCs/>
          <w:lang w:eastAsia="en-US"/>
        </w:rPr>
        <w:t>aangezien</w:t>
      </w:r>
      <w:r w:rsidR="0050640D" w:rsidRPr="00904220">
        <w:rPr>
          <w:rStyle w:val="Voetnootmarkering"/>
          <w:i/>
          <w:iCs/>
          <w:lang w:eastAsia="en-US"/>
        </w:rPr>
        <w:footnoteReference w:id="7"/>
      </w:r>
      <w:r w:rsidR="00110699" w:rsidRPr="00904220">
        <w:rPr>
          <w:i/>
          <w:iCs/>
          <w:lang w:eastAsia="en-US"/>
        </w:rPr>
        <w:t xml:space="preserve"> </w:t>
      </w:r>
      <w:proofErr w:type="gramStart"/>
      <w:r w:rsidR="00110699" w:rsidRPr="00904220">
        <w:rPr>
          <w:i/>
          <w:iCs/>
          <w:lang w:eastAsia="en-US"/>
        </w:rPr>
        <w:t>… .</w:t>
      </w:r>
      <w:proofErr w:type="gramEnd"/>
      <w:r w:rsidR="00B93DCF" w:rsidRPr="00904220">
        <w:rPr>
          <w:i/>
          <w:iCs/>
          <w:lang w:eastAsia="en-US"/>
        </w:rPr>
        <w:t xml:space="preserve"> Hiervoor is een procedure opgesteld die is opgenomen onder D.7.(k) van het monitoringplan.</w:t>
      </w:r>
      <w:r w:rsidRPr="00904220">
        <w:rPr>
          <w:i/>
          <w:iCs/>
          <w:lang w:eastAsia="en-US"/>
        </w:rPr>
        <w:t>”</w:t>
      </w:r>
    </w:p>
    <w:p w14:paraId="3778E910" w14:textId="77777777" w:rsidR="00C72786" w:rsidRDefault="00C72786" w:rsidP="00E6597D">
      <w:pPr>
        <w:pStyle w:val="Lijstalinea"/>
        <w:ind w:left="1433"/>
        <w:jc w:val="both"/>
        <w:rPr>
          <w:i/>
          <w:iCs/>
          <w:lang w:eastAsia="en-US"/>
        </w:rPr>
      </w:pPr>
    </w:p>
    <w:p w14:paraId="593D6C06" w14:textId="54289A85" w:rsidR="00C72786" w:rsidRDefault="00C72786" w:rsidP="00E6597D">
      <w:pPr>
        <w:pStyle w:val="Lijstalinea"/>
        <w:ind w:left="1433"/>
        <w:jc w:val="both"/>
        <w:rPr>
          <w:i/>
          <w:iCs/>
          <w:lang w:eastAsia="en-US"/>
        </w:rPr>
      </w:pPr>
      <w:r>
        <w:rPr>
          <w:i/>
          <w:iCs/>
          <w:lang w:eastAsia="en-US"/>
        </w:rPr>
        <w:t>Ofwel:</w:t>
      </w:r>
    </w:p>
    <w:p w14:paraId="287BC007" w14:textId="77777777" w:rsidR="00C72786" w:rsidRPr="008212CA" w:rsidRDefault="00C72786" w:rsidP="008212CA">
      <w:pPr>
        <w:jc w:val="both"/>
        <w:rPr>
          <w:i/>
          <w:iCs/>
          <w:lang w:eastAsia="en-US"/>
        </w:rPr>
      </w:pPr>
    </w:p>
    <w:p w14:paraId="39735632" w14:textId="1AF2A1C6" w:rsidR="00F921CB" w:rsidRPr="00904220" w:rsidRDefault="00C7636A" w:rsidP="00E6597D">
      <w:pPr>
        <w:pStyle w:val="Lijstalinea"/>
        <w:numPr>
          <w:ilvl w:val="0"/>
          <w:numId w:val="28"/>
        </w:numPr>
        <w:jc w:val="both"/>
        <w:rPr>
          <w:i/>
          <w:iCs/>
          <w:lang w:eastAsia="en-US"/>
        </w:rPr>
      </w:pPr>
      <w:r w:rsidRPr="00904220">
        <w:rPr>
          <w:i/>
          <w:iCs/>
          <w:lang w:eastAsia="en-US"/>
        </w:rPr>
        <w:t>“</w:t>
      </w:r>
      <w:r w:rsidR="00B93DCF" w:rsidRPr="00904220">
        <w:rPr>
          <w:i/>
          <w:iCs/>
          <w:lang w:eastAsia="en-US"/>
        </w:rPr>
        <w:t xml:space="preserve">Voor biomassabronstroom </w:t>
      </w:r>
      <w:r w:rsidR="00B93DCF" w:rsidRPr="00CC69A6">
        <w:rPr>
          <w:i/>
          <w:iCs/>
          <w:lang w:eastAsia="en-US"/>
        </w:rPr>
        <w:t>&lt;Bronstroom Naam&gt;</w:t>
      </w:r>
      <w:r w:rsidR="00B93DCF" w:rsidRPr="00904220">
        <w:rPr>
          <w:i/>
          <w:iCs/>
          <w:lang w:eastAsia="en-US"/>
        </w:rPr>
        <w:t xml:space="preserve"> moet voldaan worden aan de duurzaamheidscriteria en/of de broeikasgasreductiecriteria aangezien </w:t>
      </w:r>
      <w:proofErr w:type="gramStart"/>
      <w:r w:rsidR="00B93DCF" w:rsidRPr="00904220">
        <w:rPr>
          <w:i/>
          <w:iCs/>
          <w:lang w:eastAsia="en-US"/>
        </w:rPr>
        <w:t>… .</w:t>
      </w:r>
      <w:proofErr w:type="gramEnd"/>
      <w:r w:rsidR="00B93DCF" w:rsidRPr="00904220">
        <w:rPr>
          <w:i/>
          <w:iCs/>
          <w:lang w:eastAsia="en-US"/>
        </w:rPr>
        <w:t xml:space="preserve"> Hiervoor </w:t>
      </w:r>
      <w:r w:rsidR="001864DD" w:rsidRPr="00904220">
        <w:rPr>
          <w:i/>
          <w:iCs/>
          <w:lang w:eastAsia="en-US"/>
        </w:rPr>
        <w:t>zou</w:t>
      </w:r>
      <w:r w:rsidR="00BD12AB" w:rsidRPr="00904220">
        <w:rPr>
          <w:i/>
          <w:iCs/>
          <w:lang w:eastAsia="en-US"/>
        </w:rPr>
        <w:t xml:space="preserve"> een procedure </w:t>
      </w:r>
      <w:r w:rsidR="001864DD" w:rsidRPr="00904220">
        <w:rPr>
          <w:i/>
          <w:iCs/>
          <w:lang w:eastAsia="en-US"/>
        </w:rPr>
        <w:t>moeten opgesteld</w:t>
      </w:r>
      <w:r w:rsidR="00BD12AB" w:rsidRPr="00904220">
        <w:rPr>
          <w:i/>
          <w:iCs/>
          <w:lang w:eastAsia="en-US"/>
        </w:rPr>
        <w:t xml:space="preserve"> worden</w:t>
      </w:r>
      <w:r w:rsidR="00B461AF" w:rsidRPr="00904220">
        <w:rPr>
          <w:i/>
          <w:iCs/>
          <w:lang w:eastAsia="en-US"/>
        </w:rPr>
        <w:t xml:space="preserve"> die </w:t>
      </w:r>
      <w:r w:rsidR="007647DD" w:rsidRPr="00904220">
        <w:rPr>
          <w:i/>
          <w:iCs/>
          <w:lang w:eastAsia="en-US"/>
        </w:rPr>
        <w:t>aantoont</w:t>
      </w:r>
      <w:r w:rsidR="00B461AF" w:rsidRPr="00904220">
        <w:rPr>
          <w:i/>
          <w:iCs/>
          <w:lang w:eastAsia="en-US"/>
        </w:rPr>
        <w:t xml:space="preserve"> dat aan deze criteria is voldaan</w:t>
      </w:r>
      <w:r w:rsidR="006A64ED" w:rsidRPr="00904220">
        <w:rPr>
          <w:i/>
          <w:iCs/>
          <w:lang w:eastAsia="en-US"/>
        </w:rPr>
        <w:t xml:space="preserve">. </w:t>
      </w:r>
      <w:r w:rsidR="007647DD" w:rsidRPr="00904220">
        <w:rPr>
          <w:i/>
          <w:iCs/>
          <w:lang w:eastAsia="en-US"/>
        </w:rPr>
        <w:t>Er is echter geen procedure opgesteld</w:t>
      </w:r>
      <w:r w:rsidR="007174E0" w:rsidRPr="00904220">
        <w:rPr>
          <w:i/>
          <w:iCs/>
          <w:lang w:eastAsia="en-US"/>
        </w:rPr>
        <w:t xml:space="preserve"> waardoor het naleven van de REDII-criteria voor deze bronstroom niet wordt aangetoond.</w:t>
      </w:r>
      <w:r w:rsidR="00B93DCF" w:rsidRPr="00904220">
        <w:rPr>
          <w:i/>
          <w:iCs/>
          <w:lang w:eastAsia="en-US"/>
        </w:rPr>
        <w:t xml:space="preserve"> </w:t>
      </w:r>
      <w:r w:rsidR="00565CB3" w:rsidRPr="00904220">
        <w:rPr>
          <w:i/>
          <w:iCs/>
          <w:lang w:eastAsia="en-US"/>
        </w:rPr>
        <w:t xml:space="preserve">De </w:t>
      </w:r>
      <w:r w:rsidR="009D7234">
        <w:rPr>
          <w:i/>
          <w:iCs/>
          <w:lang w:eastAsia="en-US"/>
        </w:rPr>
        <w:t>volledige bronstroom wordt dus behandeld als fossiele bronstroom</w:t>
      </w:r>
      <w:r w:rsidR="007F10AA">
        <w:rPr>
          <w:i/>
          <w:iCs/>
          <w:lang w:eastAsia="en-US"/>
        </w:rPr>
        <w:t>, zonder biomassafractie</w:t>
      </w:r>
      <w:r w:rsidR="00565CB3" w:rsidRPr="00904220">
        <w:rPr>
          <w:i/>
          <w:iCs/>
          <w:lang w:eastAsia="en-US"/>
        </w:rPr>
        <w:t>.</w:t>
      </w:r>
      <w:r w:rsidRPr="00904220">
        <w:rPr>
          <w:i/>
          <w:iCs/>
          <w:lang w:eastAsia="en-US"/>
        </w:rPr>
        <w:t>”</w:t>
      </w:r>
    </w:p>
    <w:p w14:paraId="0E03D9EF" w14:textId="77777777" w:rsidR="006B23C1" w:rsidRDefault="006B23C1" w:rsidP="00E6597D">
      <w:pPr>
        <w:jc w:val="both"/>
        <w:rPr>
          <w:lang w:eastAsia="en-US"/>
        </w:rPr>
      </w:pPr>
    </w:p>
    <w:p w14:paraId="606390CA" w14:textId="0D7C14D3" w:rsidR="006B156C" w:rsidRPr="006B156C" w:rsidRDefault="006B23C1" w:rsidP="00E6597D">
      <w:pPr>
        <w:jc w:val="both"/>
        <w:rPr>
          <w:lang w:eastAsia="en-US"/>
        </w:rPr>
      </w:pPr>
      <w:r>
        <w:rPr>
          <w:lang w:eastAsia="en-US"/>
        </w:rPr>
        <w:t xml:space="preserve">Indien aan duurzaamheidscriteria </w:t>
      </w:r>
      <w:r w:rsidR="002A5B2E">
        <w:rPr>
          <w:lang w:eastAsia="en-US"/>
        </w:rPr>
        <w:t>en/</w:t>
      </w:r>
      <w:r>
        <w:rPr>
          <w:lang w:eastAsia="en-US"/>
        </w:rPr>
        <w:t>of broeikasgasemissie</w:t>
      </w:r>
      <w:r w:rsidR="0079412A">
        <w:rPr>
          <w:lang w:eastAsia="en-US"/>
        </w:rPr>
        <w:t>reductie</w:t>
      </w:r>
      <w:r>
        <w:rPr>
          <w:lang w:eastAsia="en-US"/>
        </w:rPr>
        <w:t>criteria moet voldaan worden</w:t>
      </w:r>
      <w:r w:rsidR="00906537">
        <w:rPr>
          <w:lang w:eastAsia="en-US"/>
        </w:rPr>
        <w:t xml:space="preserve"> (zie hierboven)</w:t>
      </w:r>
      <w:r>
        <w:rPr>
          <w:lang w:eastAsia="en-US"/>
        </w:rPr>
        <w:t xml:space="preserve">, moet </w:t>
      </w:r>
      <w:r w:rsidR="00F921CB">
        <w:rPr>
          <w:lang w:eastAsia="en-US"/>
        </w:rPr>
        <w:t xml:space="preserve">tevens </w:t>
      </w:r>
      <w:r>
        <w:rPr>
          <w:lang w:eastAsia="en-US"/>
        </w:rPr>
        <w:t xml:space="preserve">een </w:t>
      </w:r>
      <w:r w:rsidR="009D6B2B">
        <w:rPr>
          <w:lang w:eastAsia="en-US"/>
        </w:rPr>
        <w:t>beschrijving</w:t>
      </w:r>
      <w:r w:rsidR="00FB2EFC">
        <w:rPr>
          <w:lang w:eastAsia="en-US"/>
        </w:rPr>
        <w:t xml:space="preserve"> </w:t>
      </w:r>
      <w:r w:rsidR="009D6B2B">
        <w:rPr>
          <w:lang w:eastAsia="en-US"/>
        </w:rPr>
        <w:t>word</w:t>
      </w:r>
      <w:r w:rsidR="00FB2EFC">
        <w:rPr>
          <w:lang w:eastAsia="en-US"/>
        </w:rPr>
        <w:t>en</w:t>
      </w:r>
      <w:r w:rsidR="009D6B2B">
        <w:rPr>
          <w:lang w:eastAsia="en-US"/>
        </w:rPr>
        <w:t xml:space="preserve"> toegevoegd in de vorm van een procedure</w:t>
      </w:r>
      <w:r w:rsidR="000A5DDB">
        <w:rPr>
          <w:lang w:eastAsia="en-US"/>
        </w:rPr>
        <w:t xml:space="preserve"> op tabblad </w:t>
      </w:r>
      <w:proofErr w:type="spellStart"/>
      <w:r w:rsidR="000A5DDB">
        <w:rPr>
          <w:lang w:eastAsia="en-US"/>
        </w:rPr>
        <w:t>D_CalculationBasedApproaches</w:t>
      </w:r>
      <w:proofErr w:type="spellEnd"/>
      <w:r w:rsidR="00B66330">
        <w:rPr>
          <w:lang w:eastAsia="en-US"/>
        </w:rPr>
        <w:t xml:space="preserve"> onder </w:t>
      </w:r>
      <w:r w:rsidR="00B66330" w:rsidRPr="006B156C">
        <w:rPr>
          <w:i/>
          <w:iCs/>
          <w:lang w:eastAsia="en-US"/>
        </w:rPr>
        <w:t>“(k) Indien van toepassing, een beschrijving van de procedure die is gebruikt om te beoordelen of biomassabronstromen voldoen aan artikel</w:t>
      </w:r>
      <w:r w:rsidR="00581953">
        <w:rPr>
          <w:i/>
          <w:iCs/>
          <w:lang w:eastAsia="en-US"/>
        </w:rPr>
        <w:t xml:space="preserve"> </w:t>
      </w:r>
      <w:r w:rsidR="00B66330" w:rsidRPr="006B156C">
        <w:rPr>
          <w:i/>
          <w:iCs/>
          <w:lang w:eastAsia="en-US"/>
        </w:rPr>
        <w:t>38, lid</w:t>
      </w:r>
      <w:r w:rsidR="00581953">
        <w:rPr>
          <w:i/>
          <w:iCs/>
          <w:lang w:eastAsia="en-US"/>
        </w:rPr>
        <w:t xml:space="preserve"> </w:t>
      </w:r>
      <w:r w:rsidR="00B66330" w:rsidRPr="006B156C">
        <w:rPr>
          <w:i/>
          <w:iCs/>
          <w:lang w:eastAsia="en-US"/>
        </w:rPr>
        <w:t>5</w:t>
      </w:r>
      <w:proofErr w:type="gramStart"/>
      <w:r w:rsidR="00B66330" w:rsidRPr="006B156C">
        <w:rPr>
          <w:i/>
          <w:iCs/>
          <w:lang w:eastAsia="en-US"/>
        </w:rPr>
        <w:t>.“</w:t>
      </w:r>
      <w:proofErr w:type="gramEnd"/>
      <w:r w:rsidR="009D6B2B">
        <w:rPr>
          <w:lang w:eastAsia="en-US"/>
        </w:rPr>
        <w:t>. Een aanpassing aan de individuele bronstromen</w:t>
      </w:r>
      <w:r w:rsidR="00FB2EFC">
        <w:rPr>
          <w:lang w:eastAsia="en-US"/>
        </w:rPr>
        <w:t xml:space="preserve"> in</w:t>
      </w:r>
      <w:r w:rsidR="00930BAA">
        <w:rPr>
          <w:lang w:eastAsia="en-US"/>
        </w:rPr>
        <w:t xml:space="preserve"> tabblad</w:t>
      </w:r>
      <w:r w:rsidR="002E2314">
        <w:rPr>
          <w:lang w:eastAsia="en-US"/>
        </w:rPr>
        <w:t xml:space="preserve"> </w:t>
      </w:r>
      <w:r w:rsidR="002E2314" w:rsidRPr="00904220">
        <w:rPr>
          <w:i/>
          <w:iCs/>
          <w:lang w:eastAsia="en-US"/>
        </w:rPr>
        <w:t>“</w:t>
      </w:r>
      <w:proofErr w:type="spellStart"/>
      <w:r w:rsidR="002E2314" w:rsidRPr="00904220">
        <w:rPr>
          <w:i/>
          <w:iCs/>
          <w:lang w:eastAsia="en-US"/>
        </w:rPr>
        <w:t>E_SourceStreams</w:t>
      </w:r>
      <w:proofErr w:type="spellEnd"/>
      <w:r w:rsidR="002E2314" w:rsidRPr="00904220">
        <w:rPr>
          <w:i/>
          <w:iCs/>
          <w:lang w:eastAsia="en-US"/>
        </w:rPr>
        <w:t>”</w:t>
      </w:r>
      <w:r w:rsidR="002E2314">
        <w:rPr>
          <w:lang w:eastAsia="en-US"/>
        </w:rPr>
        <w:t xml:space="preserve"> van</w:t>
      </w:r>
      <w:r w:rsidR="00FB2EFC">
        <w:rPr>
          <w:lang w:eastAsia="en-US"/>
        </w:rPr>
        <w:t xml:space="preserve"> het monitoringplan</w:t>
      </w:r>
      <w:r w:rsidR="009D6B2B">
        <w:rPr>
          <w:lang w:eastAsia="en-US"/>
        </w:rPr>
        <w:t xml:space="preserve"> is niet noodzakelijk.</w:t>
      </w:r>
      <w:r w:rsidR="00707076">
        <w:rPr>
          <w:lang w:eastAsia="en-US"/>
        </w:rPr>
        <w:t xml:space="preserve"> </w:t>
      </w:r>
      <w:r w:rsidR="006B156C" w:rsidRPr="006B156C">
        <w:rPr>
          <w:lang w:eastAsia="en-US"/>
        </w:rPr>
        <w:t>De inhoud van de</w:t>
      </w:r>
      <w:r w:rsidR="00FB2EFC">
        <w:rPr>
          <w:lang w:eastAsia="en-US"/>
        </w:rPr>
        <w:t xml:space="preserve"> toe te voegen procedure</w:t>
      </w:r>
      <w:r w:rsidR="00FB2EFC" w:rsidRPr="006B156C">
        <w:rPr>
          <w:lang w:eastAsia="en-US"/>
        </w:rPr>
        <w:t xml:space="preserve"> </w:t>
      </w:r>
      <w:r w:rsidR="006B156C" w:rsidRPr="006B156C">
        <w:rPr>
          <w:lang w:eastAsia="en-US"/>
        </w:rPr>
        <w:t>is afhankelijk van de situati</w:t>
      </w:r>
      <w:r w:rsidR="00EC5336">
        <w:rPr>
          <w:lang w:eastAsia="en-US"/>
        </w:rPr>
        <w:t>e.</w:t>
      </w:r>
      <w:r w:rsidR="00707076">
        <w:rPr>
          <w:lang w:eastAsia="en-US"/>
        </w:rPr>
        <w:t xml:space="preserve"> Een voorbeeldprocedure is beschikbaar in</w:t>
      </w:r>
      <w:r w:rsidR="00A23868">
        <w:rPr>
          <w:lang w:eastAsia="en-US"/>
        </w:rPr>
        <w:t xml:space="preserve"> </w:t>
      </w:r>
      <w:r w:rsidR="00A23868" w:rsidRPr="00B3054E">
        <w:rPr>
          <w:i/>
          <w:iCs/>
          <w:lang w:eastAsia="en-US"/>
        </w:rPr>
        <w:t>“</w:t>
      </w:r>
      <w:r w:rsidR="00A23868" w:rsidRPr="00B3054E">
        <w:rPr>
          <w:i/>
          <w:iCs/>
          <w:lang w:eastAsia="en-US"/>
        </w:rPr>
        <w:fldChar w:fldCharType="begin"/>
      </w:r>
      <w:r w:rsidR="00A23868" w:rsidRPr="00B3054E">
        <w:rPr>
          <w:i/>
          <w:iCs/>
          <w:lang w:eastAsia="en-US"/>
        </w:rPr>
        <w:instrText xml:space="preserve"> REF _Ref120200825 \h </w:instrText>
      </w:r>
      <w:r w:rsidR="00A23868">
        <w:rPr>
          <w:i/>
          <w:iCs/>
          <w:lang w:eastAsia="en-US"/>
        </w:rPr>
        <w:instrText xml:space="preserve"> \* MERGEFORMAT </w:instrText>
      </w:r>
      <w:r w:rsidR="00A23868" w:rsidRPr="00B3054E">
        <w:rPr>
          <w:i/>
          <w:iCs/>
          <w:lang w:eastAsia="en-US"/>
        </w:rPr>
      </w:r>
      <w:r w:rsidR="00A23868" w:rsidRPr="00B3054E">
        <w:rPr>
          <w:i/>
          <w:iCs/>
          <w:lang w:eastAsia="en-US"/>
        </w:rPr>
        <w:fldChar w:fldCharType="separate"/>
      </w:r>
      <w:r w:rsidR="00A004AB" w:rsidRPr="00A004AB">
        <w:rPr>
          <w:rFonts w:asciiTheme="minorHAnsi" w:hAnsiTheme="minorHAnsi" w:cstheme="minorHAnsi"/>
          <w:i/>
          <w:iCs/>
        </w:rPr>
        <w:t>6.1. Bijlage 1: Voorbeeldprocedure met certificaten</w:t>
      </w:r>
      <w:r w:rsidR="00A23868" w:rsidRPr="00B3054E">
        <w:rPr>
          <w:i/>
          <w:iCs/>
          <w:lang w:eastAsia="en-US"/>
        </w:rPr>
        <w:fldChar w:fldCharType="end"/>
      </w:r>
      <w:r w:rsidR="00A23868">
        <w:rPr>
          <w:lang w:eastAsia="en-US"/>
        </w:rPr>
        <w:t>”</w:t>
      </w:r>
      <w:r w:rsidR="00707076">
        <w:rPr>
          <w:lang w:eastAsia="en-US"/>
        </w:rPr>
        <w:t>.</w:t>
      </w:r>
    </w:p>
    <w:p w14:paraId="024A8073" w14:textId="77777777" w:rsidR="000C489C" w:rsidRDefault="000C489C" w:rsidP="006647D9">
      <w:pPr>
        <w:jc w:val="both"/>
        <w:rPr>
          <w:i/>
          <w:iCs/>
          <w:lang w:eastAsia="en-US"/>
        </w:rPr>
      </w:pPr>
    </w:p>
    <w:p w14:paraId="2BC33C18" w14:textId="7095C386" w:rsidR="00F40D8B" w:rsidRDefault="00F40D8B" w:rsidP="000C489C">
      <w:pPr>
        <w:jc w:val="both"/>
        <w:rPr>
          <w:lang w:eastAsia="en-US"/>
        </w:rPr>
      </w:pPr>
      <w:r>
        <w:rPr>
          <w:noProof/>
        </w:rPr>
        <w:lastRenderedPageBreak/>
        <w:drawing>
          <wp:inline distT="0" distB="0" distL="0" distR="0" wp14:anchorId="3C7AE07E" wp14:editId="26A34053">
            <wp:extent cx="5731510" cy="1850390"/>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850390"/>
                    </a:xfrm>
                    <a:prstGeom prst="rect">
                      <a:avLst/>
                    </a:prstGeom>
                  </pic:spPr>
                </pic:pic>
              </a:graphicData>
            </a:graphic>
          </wp:inline>
        </w:drawing>
      </w:r>
    </w:p>
    <w:p w14:paraId="21D4E5B2" w14:textId="77777777" w:rsidR="00F40D8B" w:rsidRDefault="00F40D8B" w:rsidP="000C489C">
      <w:pPr>
        <w:jc w:val="both"/>
        <w:rPr>
          <w:lang w:eastAsia="en-US"/>
        </w:rPr>
      </w:pPr>
    </w:p>
    <w:p w14:paraId="5FF96C78" w14:textId="0A86BE51" w:rsidR="00F40D8B" w:rsidRDefault="000C489C" w:rsidP="00E6597D">
      <w:pPr>
        <w:spacing w:after="160" w:line="259" w:lineRule="auto"/>
        <w:jc w:val="both"/>
        <w:rPr>
          <w:rFonts w:asciiTheme="minorHAnsi" w:hAnsiTheme="minorHAnsi" w:cstheme="minorBidi"/>
          <w:b/>
          <w:bCs/>
          <w:sz w:val="28"/>
          <w:szCs w:val="28"/>
        </w:rPr>
      </w:pPr>
      <w:r w:rsidRPr="00904220">
        <w:rPr>
          <w:lang w:eastAsia="en-US"/>
        </w:rPr>
        <w:t>Indien deze informatie zou veranderen gedurende de tijd, dient een aanpassing van het monitoringplan gemaakt te worden.</w:t>
      </w:r>
      <w:r w:rsidR="00A14504">
        <w:rPr>
          <w:lang w:eastAsia="en-US"/>
        </w:rPr>
        <w:t xml:space="preserve"> </w:t>
      </w:r>
      <w:r w:rsidR="002A5B2E">
        <w:rPr>
          <w:lang w:eastAsia="en-US"/>
        </w:rPr>
        <w:t xml:space="preserve">Deze aanpassing wordt gezien als een </w:t>
      </w:r>
      <w:r w:rsidR="002A5B2E" w:rsidRPr="00904220">
        <w:rPr>
          <w:b/>
          <w:bCs/>
          <w:u w:val="single"/>
          <w:lang w:eastAsia="en-US"/>
        </w:rPr>
        <w:t>significante</w:t>
      </w:r>
      <w:r w:rsidR="002A5B2E" w:rsidRPr="00904220">
        <w:rPr>
          <w:b/>
          <w:bCs/>
          <w:lang w:eastAsia="en-US"/>
        </w:rPr>
        <w:t xml:space="preserve"> wijziging</w:t>
      </w:r>
      <w:r w:rsidR="002A5B2E">
        <w:rPr>
          <w:lang w:eastAsia="en-US"/>
        </w:rPr>
        <w:t>.</w:t>
      </w:r>
    </w:p>
    <w:p w14:paraId="7AEDE03E" w14:textId="77777777" w:rsidR="0079412A" w:rsidRDefault="0079412A" w:rsidP="00E6597D">
      <w:pPr>
        <w:spacing w:after="160" w:line="259" w:lineRule="auto"/>
        <w:jc w:val="both"/>
        <w:rPr>
          <w:rFonts w:asciiTheme="minorHAnsi" w:hAnsiTheme="minorHAnsi" w:cstheme="minorBidi"/>
          <w:b/>
          <w:bCs/>
          <w:sz w:val="28"/>
          <w:szCs w:val="28"/>
        </w:rPr>
      </w:pPr>
    </w:p>
    <w:p w14:paraId="5DBCC559" w14:textId="77777777" w:rsidR="004305CF" w:rsidRDefault="004305CF">
      <w:pPr>
        <w:spacing w:after="160" w:line="259" w:lineRule="auto"/>
        <w:rPr>
          <w:rFonts w:eastAsiaTheme="majorEastAsia" w:cstheme="majorBidi"/>
          <w:b/>
          <w:sz w:val="28"/>
          <w:szCs w:val="32"/>
          <w:lang w:val="x-none" w:eastAsia="en-US"/>
        </w:rPr>
      </w:pPr>
      <w:r>
        <w:br w:type="page"/>
      </w:r>
    </w:p>
    <w:p w14:paraId="403F2ED4" w14:textId="131D1509" w:rsidR="006B156C" w:rsidRDefault="00BD6D26" w:rsidP="00B3054E">
      <w:pPr>
        <w:pStyle w:val="Kop1"/>
        <w:numPr>
          <w:ilvl w:val="0"/>
          <w:numId w:val="30"/>
        </w:numPr>
        <w:ind w:left="426" w:hanging="426"/>
      </w:pPr>
      <w:bookmarkStart w:id="6" w:name="_Toc153442985"/>
      <w:r w:rsidRPr="00BD6D26">
        <w:lastRenderedPageBreak/>
        <w:t xml:space="preserve">Hoe </w:t>
      </w:r>
      <w:r w:rsidRPr="00B3054E">
        <w:rPr>
          <w:rFonts w:asciiTheme="minorHAnsi" w:hAnsiTheme="minorHAnsi" w:cstheme="minorBidi"/>
          <w:bCs/>
          <w:szCs w:val="28"/>
          <w:lang w:val="nl-BE"/>
        </w:rPr>
        <w:t>bewijzen</w:t>
      </w:r>
      <w:r w:rsidRPr="00BD6D26">
        <w:t xml:space="preserve"> dat voldaan is aan REDII-criteria?</w:t>
      </w:r>
      <w:bookmarkEnd w:id="6"/>
    </w:p>
    <w:p w14:paraId="55FBE57C" w14:textId="77777777" w:rsidR="00A65474" w:rsidRDefault="00A65474" w:rsidP="00A65474">
      <w:pPr>
        <w:rPr>
          <w:lang w:eastAsia="en-US"/>
        </w:rPr>
      </w:pPr>
    </w:p>
    <w:p w14:paraId="256B8CA3" w14:textId="345FC6BD" w:rsidR="00A65474" w:rsidRPr="00A65474" w:rsidRDefault="00A65474" w:rsidP="006647D9">
      <w:pPr>
        <w:jc w:val="both"/>
        <w:rPr>
          <w:lang w:eastAsia="en-US"/>
        </w:rPr>
      </w:pPr>
      <w:r w:rsidRPr="00A65474">
        <w:rPr>
          <w:lang w:eastAsia="en-US"/>
        </w:rPr>
        <w:t xml:space="preserve">Indien </w:t>
      </w:r>
      <w:r w:rsidR="00495EFF">
        <w:rPr>
          <w:lang w:eastAsia="en-US"/>
        </w:rPr>
        <w:t>een bronstroom moet voldoen</w:t>
      </w:r>
      <w:r w:rsidRPr="00A65474">
        <w:rPr>
          <w:lang w:eastAsia="en-US"/>
        </w:rPr>
        <w:t xml:space="preserve"> aan duurzaamheids- en/of broeikasgas</w:t>
      </w:r>
      <w:r w:rsidR="00582E47">
        <w:rPr>
          <w:lang w:eastAsia="en-US"/>
        </w:rPr>
        <w:t>emissie</w:t>
      </w:r>
      <w:r w:rsidRPr="00A65474">
        <w:rPr>
          <w:lang w:eastAsia="en-US"/>
        </w:rPr>
        <w:t>reductiecriteria (zie hierboven), kan dit aangetoond worden aan de hand van een</w:t>
      </w:r>
      <w:r w:rsidR="006C163B">
        <w:rPr>
          <w:lang w:eastAsia="en-US"/>
        </w:rPr>
        <w:t xml:space="preserve"> </w:t>
      </w:r>
      <w:r w:rsidR="00706A0A" w:rsidRPr="00706A0A">
        <w:rPr>
          <w:b/>
          <w:bCs/>
          <w:lang w:eastAsia="en-US"/>
        </w:rPr>
        <w:t>bewijs van duurzaamheid</w:t>
      </w:r>
      <w:r w:rsidR="00706A0A">
        <w:rPr>
          <w:lang w:eastAsia="en-US"/>
        </w:rPr>
        <w:t xml:space="preserve"> (</w:t>
      </w:r>
      <w:r w:rsidR="00807C85">
        <w:rPr>
          <w:lang w:eastAsia="en-US"/>
        </w:rPr>
        <w:t>“</w:t>
      </w:r>
      <w:proofErr w:type="spellStart"/>
      <w:r w:rsidR="006C163B" w:rsidRPr="00904220">
        <w:rPr>
          <w:i/>
          <w:iCs/>
          <w:lang w:eastAsia="en-US"/>
        </w:rPr>
        <w:t>Proof</w:t>
      </w:r>
      <w:proofErr w:type="spellEnd"/>
      <w:r w:rsidR="006C163B" w:rsidRPr="00904220">
        <w:rPr>
          <w:i/>
          <w:iCs/>
          <w:lang w:eastAsia="en-US"/>
        </w:rPr>
        <w:t xml:space="preserve"> of </w:t>
      </w:r>
      <w:proofErr w:type="spellStart"/>
      <w:r w:rsidR="006C163B" w:rsidRPr="00904220">
        <w:rPr>
          <w:i/>
          <w:iCs/>
          <w:lang w:eastAsia="en-US"/>
        </w:rPr>
        <w:t>Sustainability</w:t>
      </w:r>
      <w:proofErr w:type="spellEnd"/>
      <w:r w:rsidR="00807C85">
        <w:rPr>
          <w:i/>
          <w:iCs/>
          <w:lang w:eastAsia="en-US"/>
        </w:rPr>
        <w:t>”</w:t>
      </w:r>
      <w:r w:rsidR="00706A0A">
        <w:rPr>
          <w:i/>
          <w:iCs/>
          <w:lang w:eastAsia="en-US"/>
        </w:rPr>
        <w:t>,</w:t>
      </w:r>
      <w:r w:rsidR="006C163B">
        <w:rPr>
          <w:lang w:eastAsia="en-US"/>
        </w:rPr>
        <w:t xml:space="preserve"> </w:t>
      </w:r>
      <w:proofErr w:type="spellStart"/>
      <w:r w:rsidR="006C163B">
        <w:rPr>
          <w:lang w:eastAsia="en-US"/>
        </w:rPr>
        <w:t>PoS</w:t>
      </w:r>
      <w:proofErr w:type="spellEnd"/>
      <w:r w:rsidR="006C163B">
        <w:rPr>
          <w:lang w:eastAsia="en-US"/>
        </w:rPr>
        <w:t>) van een</w:t>
      </w:r>
      <w:r w:rsidRPr="00A65474">
        <w:rPr>
          <w:lang w:eastAsia="en-US"/>
        </w:rPr>
        <w:t xml:space="preserve"> certificaat dat erkend is door de Europese Commissie (zie ook hoofdstuk 3.4.4. “</w:t>
      </w:r>
      <w:proofErr w:type="spellStart"/>
      <w:r w:rsidRPr="00A65474">
        <w:rPr>
          <w:lang w:eastAsia="en-US"/>
        </w:rPr>
        <w:t>Voluntary</w:t>
      </w:r>
      <w:proofErr w:type="spellEnd"/>
      <w:r w:rsidRPr="00A65474">
        <w:rPr>
          <w:lang w:eastAsia="en-US"/>
        </w:rPr>
        <w:t xml:space="preserve"> </w:t>
      </w:r>
      <w:proofErr w:type="spellStart"/>
      <w:r w:rsidRPr="00A65474">
        <w:rPr>
          <w:lang w:eastAsia="en-US"/>
        </w:rPr>
        <w:t>schemes</w:t>
      </w:r>
      <w:proofErr w:type="spellEnd"/>
      <w:r w:rsidRPr="00A65474">
        <w:rPr>
          <w:lang w:eastAsia="en-US"/>
        </w:rPr>
        <w:t>” in de Europese toelichting).</w:t>
      </w:r>
      <w:r w:rsidR="00A6016B">
        <w:rPr>
          <w:lang w:eastAsia="en-US"/>
        </w:rPr>
        <w:t xml:space="preserve"> Onderstaande tekst gaat dieper in op de betekenis van </w:t>
      </w:r>
      <w:r w:rsidR="00E960BE">
        <w:rPr>
          <w:lang w:eastAsia="en-US"/>
        </w:rPr>
        <w:t xml:space="preserve">een </w:t>
      </w:r>
      <w:r w:rsidR="00B629FF" w:rsidRPr="00B629FF">
        <w:rPr>
          <w:lang w:eastAsia="en-US"/>
        </w:rPr>
        <w:t>bewijs van duurzaamheid</w:t>
      </w:r>
      <w:r w:rsidR="00B629FF">
        <w:rPr>
          <w:lang w:eastAsia="en-US"/>
        </w:rPr>
        <w:t xml:space="preserve"> (</w:t>
      </w:r>
      <w:proofErr w:type="spellStart"/>
      <w:r w:rsidR="00B629FF">
        <w:rPr>
          <w:lang w:eastAsia="en-US"/>
        </w:rPr>
        <w:t>PoS</w:t>
      </w:r>
      <w:proofErr w:type="spellEnd"/>
      <w:r w:rsidR="00B629FF">
        <w:rPr>
          <w:lang w:eastAsia="en-US"/>
        </w:rPr>
        <w:t>)</w:t>
      </w:r>
      <w:r w:rsidR="00E960BE">
        <w:rPr>
          <w:lang w:eastAsia="en-US"/>
        </w:rPr>
        <w:t>.</w:t>
      </w:r>
    </w:p>
    <w:p w14:paraId="29FEFE91" w14:textId="77777777" w:rsidR="00A65474" w:rsidRPr="00A65474" w:rsidRDefault="00A65474" w:rsidP="006647D9">
      <w:pPr>
        <w:jc w:val="both"/>
        <w:rPr>
          <w:lang w:eastAsia="en-US"/>
        </w:rPr>
      </w:pPr>
    </w:p>
    <w:p w14:paraId="3678C0BE" w14:textId="12473FA0" w:rsidR="00A65474" w:rsidRPr="00A65474" w:rsidRDefault="00A65474" w:rsidP="006647D9">
      <w:pPr>
        <w:jc w:val="both"/>
        <w:rPr>
          <w:lang w:eastAsia="en-US"/>
        </w:rPr>
      </w:pPr>
      <w:r w:rsidRPr="007B5259">
        <w:rPr>
          <w:lang w:eastAsia="en-US"/>
        </w:rPr>
        <w:t>Een lijst me</w:t>
      </w:r>
      <w:r w:rsidRPr="0091772A">
        <w:rPr>
          <w:lang w:eastAsia="en-US"/>
        </w:rPr>
        <w:t xml:space="preserve">t erkende </w:t>
      </w:r>
      <w:r w:rsidR="005524E2" w:rsidRPr="0091772A">
        <w:rPr>
          <w:lang w:eastAsia="en-US"/>
        </w:rPr>
        <w:t xml:space="preserve">vrijwillige </w:t>
      </w:r>
      <w:r w:rsidR="00CB5315" w:rsidRPr="00D172D4">
        <w:rPr>
          <w:lang w:eastAsia="en-US"/>
        </w:rPr>
        <w:t xml:space="preserve">schema’s die dergelijke certificaten afleveren </w:t>
      </w:r>
      <w:r w:rsidR="00000505" w:rsidRPr="00B3054E">
        <w:rPr>
          <w:lang w:eastAsia="en-US"/>
        </w:rPr>
        <w:t>(“</w:t>
      </w:r>
      <w:proofErr w:type="spellStart"/>
      <w:r w:rsidR="00000505" w:rsidRPr="00B3054E">
        <w:rPr>
          <w:i/>
          <w:iCs/>
          <w:lang w:eastAsia="en-US"/>
        </w:rPr>
        <w:t>Certification</w:t>
      </w:r>
      <w:proofErr w:type="spellEnd"/>
      <w:r w:rsidR="00000505" w:rsidRPr="00B3054E">
        <w:rPr>
          <w:i/>
          <w:iCs/>
          <w:lang w:eastAsia="en-US"/>
        </w:rPr>
        <w:t xml:space="preserve"> </w:t>
      </w:r>
      <w:proofErr w:type="spellStart"/>
      <w:r w:rsidR="00000505" w:rsidRPr="00B3054E">
        <w:rPr>
          <w:i/>
          <w:iCs/>
          <w:lang w:eastAsia="en-US"/>
        </w:rPr>
        <w:t>Schemes</w:t>
      </w:r>
      <w:proofErr w:type="spellEnd"/>
      <w:r w:rsidR="00000505" w:rsidRPr="00B3054E">
        <w:rPr>
          <w:lang w:eastAsia="en-US"/>
        </w:rPr>
        <w:t>”)</w:t>
      </w:r>
      <w:r w:rsidRPr="00B3054E">
        <w:rPr>
          <w:lang w:eastAsia="en-US"/>
        </w:rPr>
        <w:t xml:space="preserve"> kan gevonden worden op de </w:t>
      </w:r>
      <w:hyperlink r:id="rId19" w:history="1">
        <w:r w:rsidRPr="0091772A">
          <w:rPr>
            <w:rStyle w:val="Hyperlink"/>
            <w:lang w:eastAsia="en-US"/>
          </w:rPr>
          <w:t>website</w:t>
        </w:r>
      </w:hyperlink>
      <w:r w:rsidRPr="007B5259">
        <w:rPr>
          <w:lang w:eastAsia="en-US"/>
        </w:rPr>
        <w:t xml:space="preserve"> van de Commissie.</w:t>
      </w:r>
    </w:p>
    <w:p w14:paraId="5186F81D" w14:textId="77777777" w:rsidR="00A65474" w:rsidRPr="00A65474" w:rsidRDefault="00A65474" w:rsidP="006647D9">
      <w:pPr>
        <w:jc w:val="both"/>
        <w:rPr>
          <w:lang w:eastAsia="en-US"/>
        </w:rPr>
      </w:pPr>
    </w:p>
    <w:p w14:paraId="41E94820" w14:textId="135AE8D7" w:rsidR="00A65474" w:rsidRDefault="00A65474" w:rsidP="006647D9">
      <w:pPr>
        <w:jc w:val="both"/>
        <w:rPr>
          <w:lang w:eastAsia="en-US"/>
        </w:rPr>
      </w:pPr>
      <w:r w:rsidRPr="00A65474">
        <w:rPr>
          <w:lang w:eastAsia="en-US"/>
        </w:rPr>
        <w:t xml:space="preserve">De volledige werking van certificaten wordt behandeld in hoofdstuk </w:t>
      </w:r>
      <w:r w:rsidRPr="00A65474">
        <w:rPr>
          <w:i/>
          <w:iCs/>
          <w:lang w:eastAsia="en-US"/>
        </w:rPr>
        <w:t xml:space="preserve">“3.4.5 How do RED II </w:t>
      </w:r>
      <w:proofErr w:type="spellStart"/>
      <w:r w:rsidRPr="00A65474">
        <w:rPr>
          <w:i/>
          <w:iCs/>
          <w:lang w:eastAsia="en-US"/>
        </w:rPr>
        <w:t>certification</w:t>
      </w:r>
      <w:proofErr w:type="spellEnd"/>
      <w:r w:rsidRPr="00A65474">
        <w:rPr>
          <w:i/>
          <w:iCs/>
          <w:lang w:eastAsia="en-US"/>
        </w:rPr>
        <w:t xml:space="preserve"> </w:t>
      </w:r>
      <w:proofErr w:type="spellStart"/>
      <w:r w:rsidRPr="00A65474">
        <w:rPr>
          <w:i/>
          <w:iCs/>
          <w:lang w:eastAsia="en-US"/>
        </w:rPr>
        <w:t>schemes</w:t>
      </w:r>
      <w:proofErr w:type="spellEnd"/>
      <w:r w:rsidRPr="00A65474">
        <w:rPr>
          <w:i/>
          <w:iCs/>
          <w:lang w:eastAsia="en-US"/>
        </w:rPr>
        <w:t xml:space="preserve"> </w:t>
      </w:r>
      <w:proofErr w:type="spellStart"/>
      <w:r w:rsidRPr="00A65474">
        <w:rPr>
          <w:i/>
          <w:iCs/>
          <w:lang w:eastAsia="en-US"/>
        </w:rPr>
        <w:t>work</w:t>
      </w:r>
      <w:proofErr w:type="spellEnd"/>
      <w:r w:rsidRPr="00A65474">
        <w:rPr>
          <w:i/>
          <w:iCs/>
          <w:lang w:eastAsia="en-US"/>
        </w:rPr>
        <w:t>?”</w:t>
      </w:r>
      <w:r w:rsidR="00B963A6">
        <w:rPr>
          <w:i/>
          <w:iCs/>
          <w:lang w:eastAsia="en-US"/>
        </w:rPr>
        <w:t xml:space="preserve"> </w:t>
      </w:r>
      <w:r w:rsidR="00B963A6">
        <w:rPr>
          <w:lang w:eastAsia="en-US"/>
        </w:rPr>
        <w:t>van de Europese toelichting</w:t>
      </w:r>
      <w:r w:rsidRPr="00A65474">
        <w:rPr>
          <w:lang w:eastAsia="en-US"/>
        </w:rPr>
        <w:t>.</w:t>
      </w:r>
    </w:p>
    <w:p w14:paraId="19A55EE6" w14:textId="77777777" w:rsidR="00530534" w:rsidRDefault="00530534" w:rsidP="006647D9">
      <w:pPr>
        <w:jc w:val="both"/>
        <w:rPr>
          <w:lang w:eastAsia="en-US"/>
        </w:rPr>
      </w:pPr>
    </w:p>
    <w:p w14:paraId="2504F55C" w14:textId="53813635" w:rsidR="001F009B" w:rsidRPr="00904220" w:rsidRDefault="00530534" w:rsidP="006647D9">
      <w:pPr>
        <w:jc w:val="both"/>
        <w:rPr>
          <w:lang w:eastAsia="en-US"/>
        </w:rPr>
      </w:pPr>
      <w:r>
        <w:rPr>
          <w:lang w:eastAsia="en-US"/>
        </w:rPr>
        <w:t>Aangezien deze nogal uitgebreid is, vind je hier de vereenvoudigde uitleg over</w:t>
      </w:r>
      <w:r w:rsidRPr="00530534">
        <w:rPr>
          <w:lang w:eastAsia="en-US"/>
        </w:rPr>
        <w:t xml:space="preserve"> </w:t>
      </w:r>
      <w:r w:rsidR="00472028" w:rsidRPr="00904220">
        <w:rPr>
          <w:lang w:eastAsia="en-US"/>
        </w:rPr>
        <w:t xml:space="preserve">certificaten </w:t>
      </w:r>
      <w:r w:rsidR="008D0CC3" w:rsidRPr="00904220">
        <w:rPr>
          <w:lang w:eastAsia="en-US"/>
        </w:rPr>
        <w:t xml:space="preserve">en </w:t>
      </w:r>
      <w:r w:rsidR="00DE3B89" w:rsidRPr="00904220">
        <w:rPr>
          <w:lang w:eastAsia="en-US"/>
        </w:rPr>
        <w:t>het gebruik ervan voor</w:t>
      </w:r>
      <w:r w:rsidR="00DE3B89">
        <w:rPr>
          <w:lang w:eastAsia="en-US"/>
        </w:rPr>
        <w:t xml:space="preserve"> het genereren van een</w:t>
      </w:r>
      <w:r w:rsidRPr="00904220">
        <w:rPr>
          <w:lang w:eastAsia="en-US"/>
        </w:rPr>
        <w:t xml:space="preserve"> </w:t>
      </w:r>
      <w:r w:rsidR="00B629FF" w:rsidRPr="00B629FF">
        <w:rPr>
          <w:lang w:eastAsia="en-US"/>
        </w:rPr>
        <w:t>bewijs van duurzaamheid</w:t>
      </w:r>
      <w:r w:rsidR="00B629FF">
        <w:rPr>
          <w:lang w:eastAsia="en-US"/>
        </w:rPr>
        <w:t xml:space="preserve"> </w:t>
      </w:r>
      <w:r w:rsidR="00472028" w:rsidRPr="00904220">
        <w:rPr>
          <w:lang w:eastAsia="en-US"/>
        </w:rPr>
        <w:t>(</w:t>
      </w:r>
      <w:proofErr w:type="spellStart"/>
      <w:r w:rsidR="00472028" w:rsidRPr="00904220">
        <w:rPr>
          <w:lang w:eastAsia="en-US"/>
        </w:rPr>
        <w:t>PoS</w:t>
      </w:r>
      <w:proofErr w:type="spellEnd"/>
      <w:r w:rsidR="00472028" w:rsidRPr="00904220">
        <w:rPr>
          <w:lang w:eastAsia="en-US"/>
        </w:rPr>
        <w:t>)</w:t>
      </w:r>
      <w:r w:rsidRPr="00DE3B89">
        <w:rPr>
          <w:lang w:eastAsia="en-US"/>
        </w:rPr>
        <w:t>:</w:t>
      </w:r>
    </w:p>
    <w:p w14:paraId="6D59225C" w14:textId="77777777" w:rsidR="00955870" w:rsidRPr="00DE3B89" w:rsidRDefault="00955870" w:rsidP="006647D9">
      <w:pPr>
        <w:jc w:val="both"/>
        <w:rPr>
          <w:lang w:eastAsia="en-US"/>
        </w:rPr>
      </w:pPr>
    </w:p>
    <w:p w14:paraId="605AC464" w14:textId="44068A8B" w:rsidR="00472028" w:rsidRDefault="00996E06" w:rsidP="00996E06">
      <w:pPr>
        <w:pStyle w:val="Lijstalinea"/>
        <w:numPr>
          <w:ilvl w:val="0"/>
          <w:numId w:val="21"/>
        </w:numPr>
        <w:jc w:val="both"/>
        <w:rPr>
          <w:lang w:eastAsia="en-US"/>
        </w:rPr>
      </w:pPr>
      <w:r w:rsidRPr="00F81376">
        <w:rPr>
          <w:b/>
          <w:bCs/>
          <w:lang w:eastAsia="en-US"/>
        </w:rPr>
        <w:t>Certificat</w:t>
      </w:r>
      <w:r w:rsidR="00655E03">
        <w:rPr>
          <w:b/>
          <w:bCs/>
          <w:lang w:eastAsia="en-US"/>
        </w:rPr>
        <w:t>ie</w:t>
      </w:r>
      <w:r w:rsidR="00000505">
        <w:rPr>
          <w:b/>
          <w:bCs/>
          <w:lang w:eastAsia="en-US"/>
        </w:rPr>
        <w:t>regelingen</w:t>
      </w:r>
      <w:r>
        <w:rPr>
          <w:lang w:eastAsia="en-US"/>
        </w:rPr>
        <w:t xml:space="preserve"> (“</w:t>
      </w:r>
      <w:proofErr w:type="spellStart"/>
      <w:r w:rsidRPr="00904220">
        <w:rPr>
          <w:b/>
          <w:bCs/>
          <w:i/>
          <w:iCs/>
          <w:lang w:eastAsia="en-US"/>
        </w:rPr>
        <w:t>certification</w:t>
      </w:r>
      <w:proofErr w:type="spellEnd"/>
      <w:r w:rsidRPr="00904220">
        <w:rPr>
          <w:b/>
          <w:bCs/>
          <w:i/>
          <w:iCs/>
          <w:lang w:eastAsia="en-US"/>
        </w:rPr>
        <w:t xml:space="preserve"> </w:t>
      </w:r>
      <w:proofErr w:type="spellStart"/>
      <w:r w:rsidRPr="00904220">
        <w:rPr>
          <w:b/>
          <w:bCs/>
          <w:i/>
          <w:iCs/>
          <w:lang w:eastAsia="en-US"/>
        </w:rPr>
        <w:t>schemes</w:t>
      </w:r>
      <w:proofErr w:type="spellEnd"/>
      <w:r>
        <w:rPr>
          <w:lang w:eastAsia="en-US"/>
        </w:rPr>
        <w:t>”)</w:t>
      </w:r>
      <w:r w:rsidR="00E30A4E">
        <w:rPr>
          <w:lang w:eastAsia="en-US"/>
        </w:rPr>
        <w:t xml:space="preserve"> bevatten </w:t>
      </w:r>
      <w:r w:rsidR="00A879D0">
        <w:rPr>
          <w:lang w:eastAsia="en-US"/>
        </w:rPr>
        <w:t>specifieke regels waaraan voldaan moet worden om in aanmerking te komen voor een certificaat. Deze</w:t>
      </w:r>
      <w:r w:rsidR="00791116">
        <w:rPr>
          <w:lang w:eastAsia="en-US"/>
        </w:rPr>
        <w:t xml:space="preserve"> </w:t>
      </w:r>
      <w:r w:rsidR="00E05F0E">
        <w:rPr>
          <w:lang w:eastAsia="en-US"/>
        </w:rPr>
        <w:t xml:space="preserve">kunnen zowel nationaal als internationaal </w:t>
      </w:r>
      <w:r w:rsidR="007738D3">
        <w:rPr>
          <w:lang w:eastAsia="en-US"/>
        </w:rPr>
        <w:t>erkend zijn.</w:t>
      </w:r>
    </w:p>
    <w:p w14:paraId="5BC2CC98" w14:textId="1F0966EC" w:rsidR="007738D3" w:rsidRDefault="007738D3" w:rsidP="00996E06">
      <w:pPr>
        <w:pStyle w:val="Lijstalinea"/>
        <w:numPr>
          <w:ilvl w:val="0"/>
          <w:numId w:val="21"/>
        </w:numPr>
        <w:jc w:val="both"/>
        <w:rPr>
          <w:lang w:eastAsia="en-US"/>
        </w:rPr>
      </w:pPr>
      <w:r>
        <w:rPr>
          <w:lang w:eastAsia="en-US"/>
        </w:rPr>
        <w:t>“</w:t>
      </w:r>
      <w:r w:rsidRPr="00904220">
        <w:rPr>
          <w:b/>
          <w:bCs/>
          <w:lang w:eastAsia="en-US"/>
        </w:rPr>
        <w:t xml:space="preserve">Vrijwillige </w:t>
      </w:r>
      <w:r w:rsidR="00FF0305" w:rsidRPr="00904220">
        <w:rPr>
          <w:b/>
          <w:bCs/>
          <w:lang w:eastAsia="en-US"/>
        </w:rPr>
        <w:t>systemen</w:t>
      </w:r>
      <w:r>
        <w:rPr>
          <w:lang w:eastAsia="en-US"/>
        </w:rPr>
        <w:t xml:space="preserve">” </w:t>
      </w:r>
      <w:r w:rsidR="00B9106C">
        <w:rPr>
          <w:lang w:eastAsia="en-US"/>
        </w:rPr>
        <w:t>(</w:t>
      </w:r>
      <w:r>
        <w:rPr>
          <w:lang w:eastAsia="en-US"/>
        </w:rPr>
        <w:t>“</w:t>
      </w:r>
      <w:proofErr w:type="spellStart"/>
      <w:r w:rsidRPr="00904220">
        <w:rPr>
          <w:b/>
          <w:bCs/>
          <w:i/>
          <w:iCs/>
          <w:lang w:eastAsia="en-US"/>
        </w:rPr>
        <w:t>Voluntary</w:t>
      </w:r>
      <w:proofErr w:type="spellEnd"/>
      <w:r w:rsidRPr="00904220">
        <w:rPr>
          <w:b/>
          <w:bCs/>
          <w:i/>
          <w:iCs/>
          <w:lang w:eastAsia="en-US"/>
        </w:rPr>
        <w:t xml:space="preserve"> </w:t>
      </w:r>
      <w:proofErr w:type="spellStart"/>
      <w:r w:rsidR="00FF0305" w:rsidRPr="00904220">
        <w:rPr>
          <w:b/>
          <w:bCs/>
          <w:i/>
          <w:iCs/>
          <w:lang w:eastAsia="en-US"/>
        </w:rPr>
        <w:t>s</w:t>
      </w:r>
      <w:r w:rsidRPr="00904220">
        <w:rPr>
          <w:b/>
          <w:bCs/>
          <w:i/>
          <w:iCs/>
          <w:lang w:eastAsia="en-US"/>
        </w:rPr>
        <w:t>chemes</w:t>
      </w:r>
      <w:proofErr w:type="spellEnd"/>
      <w:r>
        <w:rPr>
          <w:lang w:eastAsia="en-US"/>
        </w:rPr>
        <w:t>”</w:t>
      </w:r>
      <w:r w:rsidR="00B9106C">
        <w:rPr>
          <w:lang w:eastAsia="en-US"/>
        </w:rPr>
        <w:t>)</w:t>
      </w:r>
      <w:r>
        <w:rPr>
          <w:lang w:eastAsia="en-US"/>
        </w:rPr>
        <w:t xml:space="preserve"> </w:t>
      </w:r>
      <w:r w:rsidR="00B7720F">
        <w:rPr>
          <w:lang w:eastAsia="en-US"/>
        </w:rPr>
        <w:t>zijn</w:t>
      </w:r>
      <w:r>
        <w:rPr>
          <w:lang w:eastAsia="en-US"/>
        </w:rPr>
        <w:t xml:space="preserve"> </w:t>
      </w:r>
      <w:r w:rsidR="006C59E5">
        <w:rPr>
          <w:lang w:eastAsia="en-US"/>
        </w:rPr>
        <w:t>certificatieregelingen</w:t>
      </w:r>
      <w:r>
        <w:rPr>
          <w:lang w:eastAsia="en-US"/>
        </w:rPr>
        <w:t xml:space="preserve"> die door de Europese Commissie</w:t>
      </w:r>
      <w:r w:rsidR="00DF0E98">
        <w:rPr>
          <w:lang w:eastAsia="en-US"/>
        </w:rPr>
        <w:t xml:space="preserve"> erkend zijn</w:t>
      </w:r>
      <w:r w:rsidR="006A489E">
        <w:rPr>
          <w:lang w:eastAsia="en-US"/>
        </w:rPr>
        <w:t xml:space="preserve"> en in alle lidstaten aanvaard zijn (</w:t>
      </w:r>
      <w:r w:rsidR="00DB7981">
        <w:rPr>
          <w:lang w:eastAsia="en-US"/>
        </w:rPr>
        <w:t>dus ook in Vlaanderen</w:t>
      </w:r>
      <w:r w:rsidR="006A489E">
        <w:rPr>
          <w:lang w:eastAsia="en-US"/>
        </w:rPr>
        <w:t>)</w:t>
      </w:r>
      <w:r w:rsidR="00DB7981">
        <w:rPr>
          <w:lang w:eastAsia="en-US"/>
        </w:rPr>
        <w:t>.</w:t>
      </w:r>
    </w:p>
    <w:p w14:paraId="23B7D818" w14:textId="1E177654" w:rsidR="00A113F3" w:rsidRDefault="00000505" w:rsidP="00A879D0">
      <w:pPr>
        <w:pStyle w:val="Lijstalinea"/>
        <w:numPr>
          <w:ilvl w:val="0"/>
          <w:numId w:val="21"/>
        </w:numPr>
        <w:jc w:val="both"/>
        <w:rPr>
          <w:lang w:eastAsia="en-US"/>
        </w:rPr>
      </w:pPr>
      <w:r>
        <w:rPr>
          <w:lang w:eastAsia="en-US"/>
        </w:rPr>
        <w:t>Certificatieregelingen</w:t>
      </w:r>
      <w:r w:rsidR="00E22EAE">
        <w:rPr>
          <w:lang w:eastAsia="en-US"/>
        </w:rPr>
        <w:t xml:space="preserve"> </w:t>
      </w:r>
      <w:r w:rsidR="000F3AD0">
        <w:rPr>
          <w:lang w:eastAsia="en-US"/>
        </w:rPr>
        <w:t>dekken</w:t>
      </w:r>
      <w:r w:rsidR="00384AB4">
        <w:rPr>
          <w:lang w:eastAsia="en-US"/>
        </w:rPr>
        <w:t xml:space="preserve"> ook een specifiek toepassingsgebi</w:t>
      </w:r>
      <w:r w:rsidR="00A879D0">
        <w:rPr>
          <w:lang w:eastAsia="en-US"/>
        </w:rPr>
        <w:t>e</w:t>
      </w:r>
      <w:r w:rsidR="00384AB4">
        <w:rPr>
          <w:lang w:eastAsia="en-US"/>
        </w:rPr>
        <w:t>d (</w:t>
      </w:r>
      <w:r w:rsidR="000F3AD0">
        <w:rPr>
          <w:lang w:eastAsia="en-US"/>
        </w:rPr>
        <w:t>of “</w:t>
      </w:r>
      <w:r w:rsidR="000F3AD0" w:rsidRPr="00D109FB">
        <w:rPr>
          <w:i/>
          <w:iCs/>
          <w:lang w:eastAsia="en-US"/>
        </w:rPr>
        <w:t>scope</w:t>
      </w:r>
      <w:r w:rsidR="000F3AD0">
        <w:rPr>
          <w:lang w:eastAsia="en-US"/>
        </w:rPr>
        <w:t>”).</w:t>
      </w:r>
      <w:r w:rsidR="00A879D0">
        <w:rPr>
          <w:lang w:eastAsia="en-US"/>
        </w:rPr>
        <w:t xml:space="preserve"> </w:t>
      </w:r>
      <w:r w:rsidR="00A113F3">
        <w:rPr>
          <w:lang w:eastAsia="en-US"/>
        </w:rPr>
        <w:t>Om de hele waardeketen</w:t>
      </w:r>
      <w:r w:rsidR="003B1383">
        <w:rPr>
          <w:lang w:eastAsia="en-US"/>
        </w:rPr>
        <w:t xml:space="preserve"> (bv. </w:t>
      </w:r>
      <w:r w:rsidR="001F2E2F">
        <w:rPr>
          <w:lang w:eastAsia="en-US"/>
        </w:rPr>
        <w:t>van akker naar eerste opslag, verwerking, transport</w:t>
      </w:r>
      <w:r w:rsidR="00B327D6">
        <w:rPr>
          <w:lang w:eastAsia="en-US"/>
        </w:rPr>
        <w:t xml:space="preserve"> tot finale opslag bij de ETS installatie) </w:t>
      </w:r>
      <w:r w:rsidR="00A113F3">
        <w:rPr>
          <w:lang w:eastAsia="en-US"/>
        </w:rPr>
        <w:t>te omvatten</w:t>
      </w:r>
      <w:r w:rsidR="008305D3">
        <w:rPr>
          <w:lang w:eastAsia="en-US"/>
        </w:rPr>
        <w:t>,</w:t>
      </w:r>
      <w:r w:rsidR="00A113F3">
        <w:rPr>
          <w:lang w:eastAsia="en-US"/>
        </w:rPr>
        <w:t xml:space="preserve"> kan het dus nodig zijn verschillende certificaten</w:t>
      </w:r>
      <w:r w:rsidR="00A879D0">
        <w:rPr>
          <w:lang w:eastAsia="en-US"/>
        </w:rPr>
        <w:t xml:space="preserve"> van verschillende certificatieregelingen</w:t>
      </w:r>
      <w:r w:rsidR="003B1383">
        <w:rPr>
          <w:lang w:eastAsia="en-US"/>
        </w:rPr>
        <w:t xml:space="preserve"> te combineren.</w:t>
      </w:r>
    </w:p>
    <w:p w14:paraId="6D78391F" w14:textId="6E3FE73D" w:rsidR="0025027C" w:rsidRDefault="00E40B50" w:rsidP="0025027C">
      <w:pPr>
        <w:pStyle w:val="Lijstalinea"/>
        <w:numPr>
          <w:ilvl w:val="0"/>
          <w:numId w:val="21"/>
        </w:numPr>
        <w:jc w:val="both"/>
        <w:rPr>
          <w:lang w:eastAsia="en-US"/>
        </w:rPr>
      </w:pPr>
      <w:r>
        <w:rPr>
          <w:lang w:eastAsia="en-US"/>
        </w:rPr>
        <w:t xml:space="preserve">Certificaten worden uitgereikt aan </w:t>
      </w:r>
      <w:r w:rsidR="00D1556E">
        <w:rPr>
          <w:b/>
          <w:bCs/>
          <w:lang w:eastAsia="en-US"/>
        </w:rPr>
        <w:t>marktdeelnemers</w:t>
      </w:r>
      <w:r w:rsidR="00834789">
        <w:rPr>
          <w:lang w:eastAsia="en-US"/>
        </w:rPr>
        <w:t xml:space="preserve"> (</w:t>
      </w:r>
      <w:r w:rsidR="00834789">
        <w:rPr>
          <w:i/>
          <w:iCs/>
          <w:lang w:eastAsia="en-US"/>
        </w:rPr>
        <w:t>“</w:t>
      </w:r>
      <w:proofErr w:type="spellStart"/>
      <w:r w:rsidR="00834789" w:rsidRPr="00904220">
        <w:rPr>
          <w:b/>
          <w:bCs/>
          <w:i/>
          <w:iCs/>
          <w:lang w:eastAsia="en-US"/>
        </w:rPr>
        <w:t>economic</w:t>
      </w:r>
      <w:proofErr w:type="spellEnd"/>
      <w:r w:rsidR="00834789" w:rsidRPr="00904220">
        <w:rPr>
          <w:b/>
          <w:bCs/>
          <w:i/>
          <w:iCs/>
          <w:lang w:eastAsia="en-US"/>
        </w:rPr>
        <w:t xml:space="preserve"> operators</w:t>
      </w:r>
      <w:r w:rsidR="00834789">
        <w:rPr>
          <w:i/>
          <w:iCs/>
          <w:lang w:eastAsia="en-US"/>
        </w:rPr>
        <w:t>”</w:t>
      </w:r>
      <w:r w:rsidR="00834789">
        <w:rPr>
          <w:lang w:eastAsia="en-US"/>
        </w:rPr>
        <w:t>).</w:t>
      </w:r>
      <w:r w:rsidR="002F2693">
        <w:rPr>
          <w:lang w:eastAsia="en-US"/>
        </w:rPr>
        <w:t xml:space="preserve"> </w:t>
      </w:r>
      <w:r w:rsidR="00916A14">
        <w:rPr>
          <w:lang w:eastAsia="en-US"/>
        </w:rPr>
        <w:t>Marktdeelnemers</w:t>
      </w:r>
      <w:r w:rsidR="002F2693">
        <w:rPr>
          <w:lang w:eastAsia="en-US"/>
        </w:rPr>
        <w:t xml:space="preserve"> k</w:t>
      </w:r>
      <w:r w:rsidR="00D959B4">
        <w:rPr>
          <w:lang w:eastAsia="en-US"/>
        </w:rPr>
        <w:t xml:space="preserve">unnen zowel ETS-bedrijven zijn als </w:t>
      </w:r>
      <w:r w:rsidR="00AF0BB0">
        <w:rPr>
          <w:lang w:eastAsia="en-US"/>
        </w:rPr>
        <w:t>aanbieders</w:t>
      </w:r>
      <w:r w:rsidR="00D959B4">
        <w:rPr>
          <w:lang w:eastAsia="en-US"/>
        </w:rPr>
        <w:t xml:space="preserve"> van </w:t>
      </w:r>
      <w:r w:rsidR="00967E92">
        <w:rPr>
          <w:lang w:eastAsia="en-US"/>
        </w:rPr>
        <w:t>de biomassa</w:t>
      </w:r>
      <w:r w:rsidR="00CA6C1A">
        <w:rPr>
          <w:lang w:eastAsia="en-US"/>
        </w:rPr>
        <w:t>.</w:t>
      </w:r>
      <w:r w:rsidR="00AF0BB0">
        <w:rPr>
          <w:lang w:eastAsia="en-US"/>
        </w:rPr>
        <w:t xml:space="preserve"> Certificaten </w:t>
      </w:r>
      <w:r w:rsidR="002F73A0">
        <w:rPr>
          <w:lang w:eastAsia="en-US"/>
        </w:rPr>
        <w:t xml:space="preserve">worden enkel toegekend aan de </w:t>
      </w:r>
      <w:r w:rsidR="00916A14">
        <w:rPr>
          <w:lang w:eastAsia="en-US"/>
        </w:rPr>
        <w:t>marktdeelnemers</w:t>
      </w:r>
      <w:r w:rsidR="002F73A0">
        <w:rPr>
          <w:lang w:eastAsia="en-US"/>
        </w:rPr>
        <w:t xml:space="preserve"> voor de delen uit de waardeketen waar ze zelf voor verantwoordelijk zijn</w:t>
      </w:r>
      <w:r w:rsidR="00CB386C">
        <w:rPr>
          <w:lang w:eastAsia="en-US"/>
        </w:rPr>
        <w:t xml:space="preserve"> (bv: het oogsten van </w:t>
      </w:r>
      <w:r w:rsidR="0025027C">
        <w:rPr>
          <w:lang w:eastAsia="en-US"/>
        </w:rPr>
        <w:t xml:space="preserve">planten op het veld of de productie van </w:t>
      </w:r>
      <w:r w:rsidR="000A0593">
        <w:rPr>
          <w:lang w:eastAsia="en-US"/>
        </w:rPr>
        <w:t>biomassabrandstof</w:t>
      </w:r>
      <w:r w:rsidR="0025027C">
        <w:rPr>
          <w:lang w:eastAsia="en-US"/>
        </w:rPr>
        <w:t xml:space="preserve"> </w:t>
      </w:r>
      <w:r w:rsidR="00E638ED">
        <w:rPr>
          <w:lang w:eastAsia="en-US"/>
        </w:rPr>
        <w:t>a.d.h.v.</w:t>
      </w:r>
      <w:r w:rsidR="0025027C">
        <w:rPr>
          <w:lang w:eastAsia="en-US"/>
        </w:rPr>
        <w:t xml:space="preserve"> die planten)</w:t>
      </w:r>
      <w:r w:rsidR="00315697">
        <w:rPr>
          <w:lang w:eastAsia="en-US"/>
        </w:rPr>
        <w:t>.</w:t>
      </w:r>
    </w:p>
    <w:p w14:paraId="7D6E0D34" w14:textId="26D543DA" w:rsidR="000A0593" w:rsidRDefault="00735A4C" w:rsidP="0025027C">
      <w:pPr>
        <w:pStyle w:val="Lijstalinea"/>
        <w:numPr>
          <w:ilvl w:val="0"/>
          <w:numId w:val="21"/>
        </w:numPr>
        <w:jc w:val="both"/>
        <w:rPr>
          <w:lang w:eastAsia="en-US"/>
        </w:rPr>
      </w:pPr>
      <w:r>
        <w:rPr>
          <w:lang w:eastAsia="en-US"/>
        </w:rPr>
        <w:t xml:space="preserve">Een belangrijk onderdeel van </w:t>
      </w:r>
      <w:r w:rsidR="00F07B4B">
        <w:rPr>
          <w:lang w:eastAsia="en-US"/>
        </w:rPr>
        <w:t xml:space="preserve">de regels van de </w:t>
      </w:r>
      <w:r w:rsidR="00916A14">
        <w:rPr>
          <w:lang w:eastAsia="en-US"/>
        </w:rPr>
        <w:t>certificatieregelingen</w:t>
      </w:r>
      <w:r w:rsidR="00F07B4B">
        <w:rPr>
          <w:lang w:eastAsia="en-US"/>
        </w:rPr>
        <w:t xml:space="preserve"> is het </w:t>
      </w:r>
      <w:r w:rsidR="002D7DB1">
        <w:rPr>
          <w:lang w:eastAsia="en-US"/>
        </w:rPr>
        <w:t>raamwerk</w:t>
      </w:r>
      <w:r w:rsidR="0086619D">
        <w:rPr>
          <w:lang w:eastAsia="en-US"/>
        </w:rPr>
        <w:t xml:space="preserve"> </w:t>
      </w:r>
      <w:r w:rsidR="00672050">
        <w:rPr>
          <w:lang w:eastAsia="en-US"/>
        </w:rPr>
        <w:t>voor</w:t>
      </w:r>
      <w:r w:rsidR="002D7DB1">
        <w:rPr>
          <w:lang w:eastAsia="en-US"/>
        </w:rPr>
        <w:t xml:space="preserve"> </w:t>
      </w:r>
      <w:proofErr w:type="gramStart"/>
      <w:r w:rsidR="002D7DB1">
        <w:rPr>
          <w:lang w:eastAsia="en-US"/>
        </w:rPr>
        <w:t xml:space="preserve">de </w:t>
      </w:r>
      <w:r w:rsidR="00672050">
        <w:rPr>
          <w:lang w:eastAsia="en-US"/>
        </w:rPr>
        <w:t xml:space="preserve"> </w:t>
      </w:r>
      <w:r w:rsidR="00672050" w:rsidRPr="00F81376">
        <w:rPr>
          <w:b/>
          <w:bCs/>
          <w:lang w:eastAsia="en-US"/>
        </w:rPr>
        <w:t>REDII</w:t>
      </w:r>
      <w:proofErr w:type="gramEnd"/>
      <w:r w:rsidR="00672050" w:rsidRPr="00F81376">
        <w:rPr>
          <w:b/>
          <w:bCs/>
          <w:lang w:eastAsia="en-US"/>
        </w:rPr>
        <w:t>-audits</w:t>
      </w:r>
      <w:r w:rsidR="00672050">
        <w:rPr>
          <w:lang w:eastAsia="en-US"/>
        </w:rPr>
        <w:t>.</w:t>
      </w:r>
    </w:p>
    <w:p w14:paraId="0C1DFE4D" w14:textId="249709BF" w:rsidR="00CC602F" w:rsidRDefault="00CC602F" w:rsidP="0025027C">
      <w:pPr>
        <w:pStyle w:val="Lijstalinea"/>
        <w:numPr>
          <w:ilvl w:val="0"/>
          <w:numId w:val="21"/>
        </w:numPr>
        <w:jc w:val="both"/>
        <w:rPr>
          <w:lang w:eastAsia="en-US"/>
        </w:rPr>
      </w:pPr>
      <w:r>
        <w:rPr>
          <w:lang w:eastAsia="en-US"/>
        </w:rPr>
        <w:t xml:space="preserve">Een REDII-audit is een ex-ante audit, waarbij nagegaan wordt of </w:t>
      </w:r>
      <w:r w:rsidR="00C10FF2">
        <w:rPr>
          <w:lang w:eastAsia="en-US"/>
        </w:rPr>
        <w:t>op een correcte manier omgegaan kan worden met de REDII-criteria</w:t>
      </w:r>
      <w:r w:rsidR="00A61A4B">
        <w:rPr>
          <w:lang w:eastAsia="en-US"/>
        </w:rPr>
        <w:t xml:space="preserve"> volgens de regels van </w:t>
      </w:r>
      <w:r w:rsidR="00EC3864">
        <w:rPr>
          <w:lang w:eastAsia="en-US"/>
        </w:rPr>
        <w:t>de</w:t>
      </w:r>
      <w:r w:rsidR="00A61A4B">
        <w:rPr>
          <w:lang w:eastAsia="en-US"/>
        </w:rPr>
        <w:t xml:space="preserve"> </w:t>
      </w:r>
      <w:r w:rsidR="00EC3864">
        <w:rPr>
          <w:lang w:eastAsia="en-US"/>
        </w:rPr>
        <w:t>certificatieregelingen</w:t>
      </w:r>
      <w:r w:rsidR="00A61A4B">
        <w:rPr>
          <w:lang w:eastAsia="en-US"/>
        </w:rPr>
        <w:t>.</w:t>
      </w:r>
      <w:r w:rsidR="002D7DB1">
        <w:rPr>
          <w:lang w:eastAsia="en-US"/>
        </w:rPr>
        <w:t xml:space="preserve"> De audit wordt uitgevoer</w:t>
      </w:r>
      <w:r w:rsidR="00B37061">
        <w:rPr>
          <w:lang w:eastAsia="en-US"/>
        </w:rPr>
        <w:t xml:space="preserve">d </w:t>
      </w:r>
      <w:r w:rsidR="00223F4C">
        <w:rPr>
          <w:lang w:eastAsia="en-US"/>
        </w:rPr>
        <w:t xml:space="preserve">vóórdat </w:t>
      </w:r>
      <w:r w:rsidR="00B37061">
        <w:rPr>
          <w:lang w:eastAsia="en-US"/>
        </w:rPr>
        <w:t>het certificaat uitgereikt wordt en wordt daarna regelmatig herhaald.</w:t>
      </w:r>
    </w:p>
    <w:p w14:paraId="67FDAE2F" w14:textId="0F894019" w:rsidR="00672050" w:rsidRDefault="003B270C" w:rsidP="0025027C">
      <w:pPr>
        <w:pStyle w:val="Lijstalinea"/>
        <w:numPr>
          <w:ilvl w:val="0"/>
          <w:numId w:val="21"/>
        </w:numPr>
        <w:jc w:val="both"/>
        <w:rPr>
          <w:lang w:eastAsia="en-US"/>
        </w:rPr>
      </w:pPr>
      <w:r>
        <w:rPr>
          <w:lang w:eastAsia="en-US"/>
        </w:rPr>
        <w:t xml:space="preserve">Een REDII-audit is een </w:t>
      </w:r>
      <w:r w:rsidR="00916A14">
        <w:rPr>
          <w:lang w:eastAsia="en-US"/>
        </w:rPr>
        <w:t>andere</w:t>
      </w:r>
      <w:r>
        <w:rPr>
          <w:lang w:eastAsia="en-US"/>
        </w:rPr>
        <w:t xml:space="preserve"> audit </w:t>
      </w:r>
      <w:r w:rsidR="00D95EF2">
        <w:rPr>
          <w:lang w:eastAsia="en-US"/>
        </w:rPr>
        <w:t>dan de reeds bestaande ETS</w:t>
      </w:r>
      <w:r w:rsidR="00070103">
        <w:rPr>
          <w:lang w:eastAsia="en-US"/>
        </w:rPr>
        <w:t>-</w:t>
      </w:r>
      <w:r w:rsidR="00D95EF2">
        <w:rPr>
          <w:lang w:eastAsia="en-US"/>
        </w:rPr>
        <w:t>verificatie</w:t>
      </w:r>
      <w:r w:rsidR="000577AA">
        <w:rPr>
          <w:lang w:eastAsia="en-US"/>
        </w:rPr>
        <w:t xml:space="preserve"> van het emissiejaarrapport</w:t>
      </w:r>
      <w:r w:rsidR="00D46C54">
        <w:rPr>
          <w:lang w:eastAsia="en-US"/>
        </w:rPr>
        <w:t xml:space="preserve"> (</w:t>
      </w:r>
      <w:r w:rsidR="00916A14">
        <w:rPr>
          <w:lang w:eastAsia="en-US"/>
        </w:rPr>
        <w:t>o</w:t>
      </w:r>
      <w:r w:rsidR="00D46C54">
        <w:rPr>
          <w:lang w:eastAsia="en-US"/>
        </w:rPr>
        <w:t xml:space="preserve">ok al </w:t>
      </w:r>
      <w:r w:rsidR="00D95EF2">
        <w:rPr>
          <w:lang w:eastAsia="en-US"/>
        </w:rPr>
        <w:t xml:space="preserve">kan </w:t>
      </w:r>
      <w:r w:rsidR="000577AA">
        <w:rPr>
          <w:lang w:eastAsia="en-US"/>
        </w:rPr>
        <w:t xml:space="preserve">dit </w:t>
      </w:r>
      <w:r w:rsidR="00D95EF2">
        <w:rPr>
          <w:lang w:eastAsia="en-US"/>
        </w:rPr>
        <w:t>eventueel uitgevoerd worden tijdens dezelfde site-</w:t>
      </w:r>
      <w:proofErr w:type="spellStart"/>
      <w:r w:rsidR="00D95EF2">
        <w:rPr>
          <w:lang w:eastAsia="en-US"/>
        </w:rPr>
        <w:t>visit</w:t>
      </w:r>
      <w:proofErr w:type="spellEnd"/>
      <w:r w:rsidR="00D46C54">
        <w:rPr>
          <w:lang w:eastAsia="en-US"/>
        </w:rPr>
        <w:t xml:space="preserve">). Dit leidt ook tot een </w:t>
      </w:r>
      <w:r w:rsidR="00AA4005">
        <w:rPr>
          <w:lang w:eastAsia="en-US"/>
        </w:rPr>
        <w:t>afzonderlijk audit rapport.</w:t>
      </w:r>
    </w:p>
    <w:p w14:paraId="5A0DB822" w14:textId="6E757131" w:rsidR="00D713B6" w:rsidRDefault="00AA4005" w:rsidP="00D713B6">
      <w:pPr>
        <w:pStyle w:val="Lijstalinea"/>
        <w:numPr>
          <w:ilvl w:val="0"/>
          <w:numId w:val="21"/>
        </w:numPr>
        <w:jc w:val="both"/>
        <w:rPr>
          <w:lang w:eastAsia="en-US"/>
        </w:rPr>
      </w:pPr>
      <w:r>
        <w:rPr>
          <w:lang w:eastAsia="en-US"/>
        </w:rPr>
        <w:t xml:space="preserve">REDII-audits worden uitgevoerd door een REDII-auditor </w:t>
      </w:r>
      <w:r w:rsidR="00D713B6">
        <w:rPr>
          <w:lang w:eastAsia="en-US"/>
        </w:rPr>
        <w:t>die hiervoor gecertificeerd is. Dit vereist andere certificering dan een ETS-verificateur.</w:t>
      </w:r>
    </w:p>
    <w:p w14:paraId="1936671E" w14:textId="54FA4BF0" w:rsidR="00F81376" w:rsidRDefault="00F81376" w:rsidP="00D713B6">
      <w:pPr>
        <w:pStyle w:val="Lijstalinea"/>
        <w:numPr>
          <w:ilvl w:val="0"/>
          <w:numId w:val="21"/>
        </w:numPr>
        <w:jc w:val="both"/>
        <w:rPr>
          <w:lang w:eastAsia="en-US"/>
        </w:rPr>
      </w:pPr>
      <w:r w:rsidRPr="006B34FF">
        <w:rPr>
          <w:lang w:eastAsia="en-US"/>
        </w:rPr>
        <w:t>Een</w:t>
      </w:r>
      <w:r w:rsidR="006B34FF" w:rsidRPr="006B34FF">
        <w:rPr>
          <w:lang w:eastAsia="en-US"/>
        </w:rPr>
        <w:t xml:space="preserve"> certificaat</w:t>
      </w:r>
      <w:r w:rsidR="00470157">
        <w:rPr>
          <w:lang w:eastAsia="en-US"/>
        </w:rPr>
        <w:t>, uitgereikt aan een marktdeelnemer,</w:t>
      </w:r>
      <w:r w:rsidR="006B34FF" w:rsidRPr="006B34FF">
        <w:rPr>
          <w:lang w:eastAsia="en-US"/>
        </w:rPr>
        <w:t xml:space="preserve"> is dus hetgeen bewijst dat </w:t>
      </w:r>
      <w:r w:rsidR="00DC67C7">
        <w:rPr>
          <w:lang w:eastAsia="en-US"/>
        </w:rPr>
        <w:t xml:space="preserve">deze </w:t>
      </w:r>
      <w:r w:rsidR="006B34FF">
        <w:rPr>
          <w:lang w:eastAsia="en-US"/>
        </w:rPr>
        <w:t xml:space="preserve">aan de regels van </w:t>
      </w:r>
      <w:r w:rsidR="00916A14">
        <w:rPr>
          <w:lang w:eastAsia="en-US"/>
        </w:rPr>
        <w:t xml:space="preserve">de certificatieregeling </w:t>
      </w:r>
      <w:r w:rsidR="006B34FF">
        <w:rPr>
          <w:lang w:eastAsia="en-US"/>
        </w:rPr>
        <w:t xml:space="preserve">kan voldoen. Dit stelt de </w:t>
      </w:r>
      <w:r w:rsidR="00DC67C7">
        <w:rPr>
          <w:lang w:eastAsia="en-US"/>
        </w:rPr>
        <w:t>marktdeelnemer</w:t>
      </w:r>
      <w:r w:rsidR="006B34FF">
        <w:rPr>
          <w:lang w:eastAsia="en-US"/>
        </w:rPr>
        <w:t xml:space="preserve"> in staat om een</w:t>
      </w:r>
      <w:r w:rsidR="00D109FB">
        <w:rPr>
          <w:lang w:eastAsia="en-US"/>
        </w:rPr>
        <w:t xml:space="preserve"> </w:t>
      </w:r>
      <w:r w:rsidR="00D109FB" w:rsidRPr="00904220">
        <w:rPr>
          <w:b/>
          <w:bCs/>
          <w:lang w:eastAsia="en-US"/>
        </w:rPr>
        <w:t>bewijs van duurzaamheid</w:t>
      </w:r>
      <w:r w:rsidRPr="006B34FF">
        <w:rPr>
          <w:lang w:eastAsia="en-US"/>
        </w:rPr>
        <w:t xml:space="preserve"> </w:t>
      </w:r>
      <w:r w:rsidRPr="006B34FF">
        <w:rPr>
          <w:b/>
          <w:bCs/>
          <w:lang w:eastAsia="en-US"/>
        </w:rPr>
        <w:t>(</w:t>
      </w:r>
      <w:proofErr w:type="spellStart"/>
      <w:r w:rsidRPr="006B34FF">
        <w:rPr>
          <w:b/>
          <w:bCs/>
          <w:lang w:eastAsia="en-US"/>
        </w:rPr>
        <w:t>PoS</w:t>
      </w:r>
      <w:proofErr w:type="spellEnd"/>
      <w:r w:rsidR="00D109FB">
        <w:rPr>
          <w:b/>
          <w:bCs/>
          <w:lang w:eastAsia="en-US"/>
        </w:rPr>
        <w:t>)</w:t>
      </w:r>
      <w:r w:rsidR="006B34FF">
        <w:rPr>
          <w:b/>
          <w:bCs/>
          <w:lang w:eastAsia="en-US"/>
        </w:rPr>
        <w:t xml:space="preserve"> </w:t>
      </w:r>
      <w:r w:rsidR="006B34FF">
        <w:rPr>
          <w:lang w:eastAsia="en-US"/>
        </w:rPr>
        <w:t>uit te reike</w:t>
      </w:r>
      <w:r w:rsidR="00795885">
        <w:rPr>
          <w:lang w:eastAsia="en-US"/>
        </w:rPr>
        <w:t xml:space="preserve">n, die aangeeft dat een bepaalde </w:t>
      </w:r>
      <w:r w:rsidR="0091772A">
        <w:rPr>
          <w:lang w:eastAsia="en-US"/>
        </w:rPr>
        <w:t xml:space="preserve">batch </w:t>
      </w:r>
      <w:r w:rsidR="00795885">
        <w:rPr>
          <w:lang w:eastAsia="en-US"/>
        </w:rPr>
        <w:t>biomassa</w:t>
      </w:r>
      <w:r w:rsidR="00D018D4">
        <w:rPr>
          <w:lang w:eastAsia="en-US"/>
        </w:rPr>
        <w:t xml:space="preserve"> aan de duurzaamheidscriteria </w:t>
      </w:r>
      <w:r w:rsidR="008F6EB2">
        <w:rPr>
          <w:lang w:eastAsia="en-US"/>
        </w:rPr>
        <w:t>en/</w:t>
      </w:r>
      <w:r w:rsidR="00D018D4">
        <w:rPr>
          <w:lang w:eastAsia="en-US"/>
        </w:rPr>
        <w:t>of broeikasgasemissiereductiecriteria voldoet</w:t>
      </w:r>
      <w:r w:rsidR="009B17E8">
        <w:rPr>
          <w:lang w:eastAsia="en-US"/>
        </w:rPr>
        <w:t>.</w:t>
      </w:r>
    </w:p>
    <w:p w14:paraId="22D79A35" w14:textId="30607D7A" w:rsidR="009B17E8" w:rsidRPr="006B34FF" w:rsidRDefault="004C42B1" w:rsidP="00D713B6">
      <w:pPr>
        <w:pStyle w:val="Lijstalinea"/>
        <w:numPr>
          <w:ilvl w:val="0"/>
          <w:numId w:val="21"/>
        </w:numPr>
        <w:jc w:val="both"/>
        <w:rPr>
          <w:lang w:eastAsia="en-US"/>
        </w:rPr>
      </w:pPr>
      <w:r>
        <w:rPr>
          <w:lang w:eastAsia="en-US"/>
        </w:rPr>
        <w:t xml:space="preserve">Het is </w:t>
      </w:r>
      <w:proofErr w:type="gramStart"/>
      <w:r>
        <w:rPr>
          <w:lang w:eastAsia="en-US"/>
        </w:rPr>
        <w:t>d</w:t>
      </w:r>
      <w:r w:rsidR="002C0553">
        <w:rPr>
          <w:lang w:eastAsia="en-US"/>
        </w:rPr>
        <w:t xml:space="preserve">it </w:t>
      </w:r>
      <w:r w:rsidR="002C0553" w:rsidRPr="002C0553">
        <w:rPr>
          <w:lang w:eastAsia="en-US"/>
        </w:rPr>
        <w:t xml:space="preserve"> </w:t>
      </w:r>
      <w:r w:rsidR="002C0553" w:rsidRPr="00B629FF">
        <w:rPr>
          <w:lang w:eastAsia="en-US"/>
        </w:rPr>
        <w:t>bewijs</w:t>
      </w:r>
      <w:proofErr w:type="gramEnd"/>
      <w:r w:rsidR="002C0553" w:rsidRPr="00B629FF">
        <w:rPr>
          <w:lang w:eastAsia="en-US"/>
        </w:rPr>
        <w:t xml:space="preserve"> van duurzaamheid</w:t>
      </w:r>
      <w:r>
        <w:rPr>
          <w:lang w:eastAsia="en-US"/>
        </w:rPr>
        <w:t xml:space="preserve"> </w:t>
      </w:r>
      <w:r w:rsidR="00D76796">
        <w:rPr>
          <w:lang w:eastAsia="en-US"/>
        </w:rPr>
        <w:t>(</w:t>
      </w:r>
      <w:proofErr w:type="spellStart"/>
      <w:r>
        <w:rPr>
          <w:lang w:eastAsia="en-US"/>
        </w:rPr>
        <w:t>PoS</w:t>
      </w:r>
      <w:proofErr w:type="spellEnd"/>
      <w:r w:rsidR="00D76796">
        <w:rPr>
          <w:lang w:eastAsia="en-US"/>
        </w:rPr>
        <w:t>)</w:t>
      </w:r>
      <w:r>
        <w:rPr>
          <w:lang w:eastAsia="en-US"/>
        </w:rPr>
        <w:t xml:space="preserve"> die dus uiteindelijk </w:t>
      </w:r>
      <w:r w:rsidR="00ED23E3">
        <w:rPr>
          <w:lang w:eastAsia="en-US"/>
        </w:rPr>
        <w:t>gebruikt wordt om aan te geven dat de emissiefactor</w:t>
      </w:r>
      <w:r w:rsidR="008F6EB2">
        <w:rPr>
          <w:lang w:eastAsia="en-US"/>
        </w:rPr>
        <w:t xml:space="preserve"> van de biomassafractie</w:t>
      </w:r>
      <w:r w:rsidR="00ED23E3">
        <w:rPr>
          <w:lang w:eastAsia="en-US"/>
        </w:rPr>
        <w:t xml:space="preserve"> op </w:t>
      </w:r>
      <w:r w:rsidR="00EC52B6">
        <w:rPr>
          <w:lang w:eastAsia="en-US"/>
        </w:rPr>
        <w:t>nul</w:t>
      </w:r>
      <w:r w:rsidR="00ED23E3">
        <w:rPr>
          <w:lang w:eastAsia="en-US"/>
        </w:rPr>
        <w:t xml:space="preserve"> kan gezet worden </w:t>
      </w:r>
      <w:r w:rsidR="00EC52B6">
        <w:rPr>
          <w:lang w:eastAsia="en-US"/>
        </w:rPr>
        <w:t>in</w:t>
      </w:r>
      <w:r w:rsidR="00ED23E3">
        <w:rPr>
          <w:lang w:eastAsia="en-US"/>
        </w:rPr>
        <w:t xml:space="preserve"> </w:t>
      </w:r>
      <w:r w:rsidR="00EC52B6">
        <w:rPr>
          <w:lang w:eastAsia="en-US"/>
        </w:rPr>
        <w:t xml:space="preserve">het </w:t>
      </w:r>
      <w:r w:rsidR="00EC52B6" w:rsidRPr="00221BEE">
        <w:rPr>
          <w:b/>
          <w:bCs/>
          <w:lang w:eastAsia="en-US"/>
        </w:rPr>
        <w:t>emissiejaarrapport</w:t>
      </w:r>
      <w:r w:rsidR="00602FB1">
        <w:rPr>
          <w:lang w:eastAsia="en-US"/>
        </w:rPr>
        <w:t xml:space="preserve">. Zoals hierboven reeds aangegeven is het belangrijk dat de hele waardeketen </w:t>
      </w:r>
      <w:r w:rsidR="00665DD5">
        <w:rPr>
          <w:lang w:eastAsia="en-US"/>
        </w:rPr>
        <w:t xml:space="preserve">door </w:t>
      </w:r>
      <w:r w:rsidR="00D76796">
        <w:rPr>
          <w:lang w:eastAsia="en-US"/>
        </w:rPr>
        <w:t xml:space="preserve">het </w:t>
      </w:r>
      <w:r w:rsidR="00D76796" w:rsidRPr="00B629FF">
        <w:rPr>
          <w:lang w:eastAsia="en-US"/>
        </w:rPr>
        <w:t>bewijs van duurzaamheid</w:t>
      </w:r>
      <w:r w:rsidR="00D76796">
        <w:rPr>
          <w:lang w:eastAsia="en-US"/>
        </w:rPr>
        <w:t xml:space="preserve"> </w:t>
      </w:r>
      <w:r w:rsidR="00AF3DD0">
        <w:rPr>
          <w:lang w:eastAsia="en-US"/>
        </w:rPr>
        <w:t>(</w:t>
      </w:r>
      <w:proofErr w:type="spellStart"/>
      <w:r w:rsidR="00665DD5">
        <w:rPr>
          <w:lang w:eastAsia="en-US"/>
        </w:rPr>
        <w:t>PoS</w:t>
      </w:r>
      <w:proofErr w:type="spellEnd"/>
      <w:r w:rsidR="00AF3DD0">
        <w:rPr>
          <w:lang w:eastAsia="en-US"/>
        </w:rPr>
        <w:t>)</w:t>
      </w:r>
      <w:r w:rsidR="00665DD5">
        <w:rPr>
          <w:lang w:eastAsia="en-US"/>
        </w:rPr>
        <w:t xml:space="preserve"> </w:t>
      </w:r>
      <w:r w:rsidR="00B56BA9">
        <w:rPr>
          <w:lang w:eastAsia="en-US"/>
        </w:rPr>
        <w:t xml:space="preserve">afgedekt is. Indien nodig gebeurt dit </w:t>
      </w:r>
      <w:r w:rsidR="00B56BA9">
        <w:rPr>
          <w:lang w:eastAsia="en-US"/>
        </w:rPr>
        <w:lastRenderedPageBreak/>
        <w:t xml:space="preserve">met een combinatie van meerdere </w:t>
      </w:r>
      <w:r w:rsidR="00EA297D">
        <w:rPr>
          <w:lang w:eastAsia="en-US"/>
        </w:rPr>
        <w:t xml:space="preserve">bewijzen van duurzaamheid </w:t>
      </w:r>
      <w:r w:rsidR="008319B6">
        <w:rPr>
          <w:lang w:eastAsia="en-US"/>
        </w:rPr>
        <w:t>(</w:t>
      </w:r>
      <w:proofErr w:type="spellStart"/>
      <w:r w:rsidR="00B56BA9">
        <w:rPr>
          <w:lang w:eastAsia="en-US"/>
        </w:rPr>
        <w:t>PoS</w:t>
      </w:r>
      <w:proofErr w:type="spellEnd"/>
      <w:r w:rsidR="008319B6">
        <w:rPr>
          <w:lang w:eastAsia="en-US"/>
        </w:rPr>
        <w:t>)</w:t>
      </w:r>
      <w:r w:rsidR="00070103">
        <w:rPr>
          <w:lang w:eastAsia="en-US"/>
        </w:rPr>
        <w:t xml:space="preserve"> van meerdere certificaten</w:t>
      </w:r>
      <w:r w:rsidR="00B56BA9">
        <w:rPr>
          <w:lang w:eastAsia="en-US"/>
        </w:rPr>
        <w:t>.</w:t>
      </w:r>
    </w:p>
    <w:p w14:paraId="525CC4F3" w14:textId="027B6A23" w:rsidR="00B84309" w:rsidRPr="00221BEE" w:rsidRDefault="00221BEE" w:rsidP="00B3054E">
      <w:pPr>
        <w:pStyle w:val="Kop1"/>
        <w:numPr>
          <w:ilvl w:val="0"/>
          <w:numId w:val="30"/>
        </w:numPr>
        <w:ind w:left="426" w:hanging="426"/>
        <w:rPr>
          <w:rFonts w:asciiTheme="minorHAnsi" w:hAnsiTheme="minorHAnsi" w:cstheme="minorBidi"/>
          <w:b w:val="0"/>
          <w:bCs/>
          <w:szCs w:val="28"/>
          <w:lang w:val="nl-BE"/>
        </w:rPr>
      </w:pPr>
      <w:bookmarkStart w:id="7" w:name="_Toc153442986"/>
      <w:r>
        <w:rPr>
          <w:rFonts w:asciiTheme="minorHAnsi" w:hAnsiTheme="minorHAnsi" w:cstheme="minorBidi"/>
          <w:bCs/>
          <w:szCs w:val="28"/>
          <w:lang w:val="nl-BE"/>
        </w:rPr>
        <w:t>ETS</w:t>
      </w:r>
      <w:r w:rsidR="002104EE">
        <w:rPr>
          <w:rFonts w:asciiTheme="minorHAnsi" w:hAnsiTheme="minorHAnsi" w:cstheme="minorBidi"/>
          <w:bCs/>
          <w:szCs w:val="28"/>
          <w:lang w:val="nl-BE"/>
        </w:rPr>
        <w:t>-</w:t>
      </w:r>
      <w:r>
        <w:rPr>
          <w:rFonts w:asciiTheme="minorHAnsi" w:hAnsiTheme="minorHAnsi" w:cstheme="minorBidi"/>
          <w:bCs/>
          <w:szCs w:val="28"/>
          <w:lang w:val="nl-BE"/>
        </w:rPr>
        <w:t>verificatie en REDII-audits</w:t>
      </w:r>
      <w:bookmarkEnd w:id="7"/>
    </w:p>
    <w:p w14:paraId="144F9A65" w14:textId="77777777" w:rsidR="00434ABA" w:rsidRDefault="00434ABA" w:rsidP="00434ABA">
      <w:pPr>
        <w:jc w:val="both"/>
        <w:rPr>
          <w:highlight w:val="yellow"/>
          <w:lang w:eastAsia="en-US"/>
        </w:rPr>
      </w:pPr>
    </w:p>
    <w:p w14:paraId="2C8C4826" w14:textId="63CD43D1" w:rsidR="0057386D" w:rsidRDefault="00221BEE" w:rsidP="00434ABA">
      <w:pPr>
        <w:jc w:val="both"/>
        <w:rPr>
          <w:lang w:eastAsia="en-US"/>
        </w:rPr>
      </w:pPr>
      <w:r>
        <w:rPr>
          <w:lang w:eastAsia="en-US"/>
        </w:rPr>
        <w:t>Zoals hierboven reeds aangegev</w:t>
      </w:r>
      <w:r w:rsidR="006F4D81">
        <w:rPr>
          <w:lang w:eastAsia="en-US"/>
        </w:rPr>
        <w:t>en is er een verschil tussen de ETS-verificatie</w:t>
      </w:r>
      <w:r w:rsidR="00346404">
        <w:rPr>
          <w:lang w:eastAsia="en-US"/>
        </w:rPr>
        <w:t xml:space="preserve"> (de verificatie die door een onafhankelijke verificatie</w:t>
      </w:r>
      <w:r w:rsidR="0027559F">
        <w:rPr>
          <w:lang w:eastAsia="en-US"/>
        </w:rPr>
        <w:t>-</w:t>
      </w:r>
      <w:r w:rsidR="00346404">
        <w:rPr>
          <w:lang w:eastAsia="en-US"/>
        </w:rPr>
        <w:t>instelling jaarlijks verricht wordt over het emissiejaarrapport)</w:t>
      </w:r>
      <w:r w:rsidR="006F4D81">
        <w:rPr>
          <w:lang w:eastAsia="en-US"/>
        </w:rPr>
        <w:t xml:space="preserve"> en een REDII-audit.</w:t>
      </w:r>
    </w:p>
    <w:p w14:paraId="6481CF83" w14:textId="77777777" w:rsidR="001E2B18" w:rsidRDefault="001E2B18" w:rsidP="00434ABA">
      <w:pPr>
        <w:jc w:val="both"/>
        <w:rPr>
          <w:lang w:eastAsia="en-US"/>
        </w:rPr>
      </w:pPr>
    </w:p>
    <w:p w14:paraId="7069C54E" w14:textId="5BDDBDC5" w:rsidR="0057386D" w:rsidRDefault="0057386D" w:rsidP="00434ABA">
      <w:pPr>
        <w:jc w:val="both"/>
        <w:rPr>
          <w:lang w:eastAsia="en-US"/>
        </w:rPr>
      </w:pPr>
      <w:r>
        <w:rPr>
          <w:lang w:eastAsia="en-US"/>
        </w:rPr>
        <w:t xml:space="preserve">Een </w:t>
      </w:r>
      <w:r w:rsidRPr="007742D5">
        <w:rPr>
          <w:b/>
          <w:bCs/>
          <w:lang w:eastAsia="en-US"/>
        </w:rPr>
        <w:t>REDII-audit</w:t>
      </w:r>
      <w:r>
        <w:rPr>
          <w:lang w:eastAsia="en-US"/>
        </w:rPr>
        <w:t xml:space="preserve"> is</w:t>
      </w:r>
      <w:r w:rsidR="00784F80">
        <w:rPr>
          <w:lang w:eastAsia="en-US"/>
        </w:rPr>
        <w:t xml:space="preserve"> bijkomend</w:t>
      </w:r>
      <w:r w:rsidR="005B6EEA">
        <w:rPr>
          <w:lang w:eastAsia="en-US"/>
        </w:rPr>
        <w:t xml:space="preserve"> nodig indien aan REDII-criteria moet voldaan worden. Dit is</w:t>
      </w:r>
      <w:r>
        <w:rPr>
          <w:lang w:eastAsia="en-US"/>
        </w:rPr>
        <w:t xml:space="preserve"> een audit die uitgevoerd wordt door een REDII-auditor en die </w:t>
      </w:r>
      <w:r w:rsidR="00A61A4B">
        <w:rPr>
          <w:lang w:eastAsia="en-US"/>
        </w:rPr>
        <w:t>nagaat of op een correcte manier omgegaan kan worden met de REDII-criteria volgens de</w:t>
      </w:r>
      <w:r w:rsidR="00EC3864">
        <w:rPr>
          <w:lang w:eastAsia="en-US"/>
        </w:rPr>
        <w:t xml:space="preserve"> regels van de</w:t>
      </w:r>
      <w:r w:rsidR="00A61A4B">
        <w:rPr>
          <w:lang w:eastAsia="en-US"/>
        </w:rPr>
        <w:t xml:space="preserve"> </w:t>
      </w:r>
      <w:r w:rsidR="00EC3864">
        <w:rPr>
          <w:lang w:eastAsia="en-US"/>
        </w:rPr>
        <w:t>certificatieregelingen.</w:t>
      </w:r>
      <w:r w:rsidR="00A2685B">
        <w:rPr>
          <w:lang w:eastAsia="en-US"/>
        </w:rPr>
        <w:t xml:space="preserve"> Dit is een ex-ante audit en wordt dus uitgevoerd </w:t>
      </w:r>
      <w:r w:rsidR="00B37061">
        <w:rPr>
          <w:lang w:eastAsia="en-US"/>
        </w:rPr>
        <w:t>voordat</w:t>
      </w:r>
      <w:r w:rsidR="00A2685B">
        <w:rPr>
          <w:lang w:eastAsia="en-US"/>
        </w:rPr>
        <w:t xml:space="preserve"> de marktdeelnemer het</w:t>
      </w:r>
      <w:r w:rsidR="000D64A9">
        <w:rPr>
          <w:lang w:eastAsia="en-US"/>
        </w:rPr>
        <w:t xml:space="preserve"> certificaat kan verkrijgen</w:t>
      </w:r>
      <w:r w:rsidR="00550BA3">
        <w:rPr>
          <w:lang w:eastAsia="en-US"/>
        </w:rPr>
        <w:t xml:space="preserve"> en zal </w:t>
      </w:r>
      <w:r w:rsidR="00A94716">
        <w:rPr>
          <w:lang w:eastAsia="en-US"/>
        </w:rPr>
        <w:t>daarna</w:t>
      </w:r>
      <w:r w:rsidR="004511DB">
        <w:rPr>
          <w:lang w:eastAsia="en-US"/>
        </w:rPr>
        <w:t xml:space="preserve"> minstens</w:t>
      </w:r>
      <w:r w:rsidR="00A94716">
        <w:rPr>
          <w:lang w:eastAsia="en-US"/>
        </w:rPr>
        <w:t xml:space="preserve"> </w:t>
      </w:r>
      <w:r w:rsidR="00465B8D">
        <w:rPr>
          <w:lang w:eastAsia="en-US"/>
        </w:rPr>
        <w:t>jaarlijks herhaald worden indien het certificaat langer geldig is dan één jaar.</w:t>
      </w:r>
      <w:r w:rsidR="004511DB">
        <w:rPr>
          <w:lang w:eastAsia="en-US"/>
        </w:rPr>
        <w:t xml:space="preserve"> De frequentie van audits hangt af van het risiconiveau</w:t>
      </w:r>
      <w:r w:rsidR="008150DD">
        <w:rPr>
          <w:lang w:eastAsia="en-US"/>
        </w:rPr>
        <w:t xml:space="preserve"> van de marktdeelnemer, </w:t>
      </w:r>
      <w:r w:rsidR="0022540E">
        <w:rPr>
          <w:lang w:eastAsia="en-US"/>
        </w:rPr>
        <w:t xml:space="preserve">het risiconiveau van </w:t>
      </w:r>
      <w:r w:rsidR="008150DD">
        <w:rPr>
          <w:lang w:eastAsia="en-US"/>
        </w:rPr>
        <w:t xml:space="preserve">de hele keten en de resultaten van </w:t>
      </w:r>
      <w:r w:rsidR="007742D5">
        <w:rPr>
          <w:lang w:eastAsia="en-US"/>
        </w:rPr>
        <w:t>vorige audits.</w:t>
      </w:r>
    </w:p>
    <w:p w14:paraId="3D4EF3AD" w14:textId="77777777" w:rsidR="00696853" w:rsidRDefault="00696853" w:rsidP="00434ABA">
      <w:pPr>
        <w:jc w:val="both"/>
        <w:rPr>
          <w:lang w:eastAsia="en-US"/>
        </w:rPr>
      </w:pPr>
    </w:p>
    <w:p w14:paraId="2398C5ED" w14:textId="20E34A41" w:rsidR="008F7F60" w:rsidRDefault="00696853" w:rsidP="00434ABA">
      <w:pPr>
        <w:jc w:val="both"/>
        <w:rPr>
          <w:lang w:eastAsia="en-US"/>
        </w:rPr>
      </w:pPr>
      <w:r>
        <w:rPr>
          <w:lang w:eastAsia="en-US"/>
        </w:rPr>
        <w:t xml:space="preserve">Een </w:t>
      </w:r>
      <w:r w:rsidRPr="002B4CE6">
        <w:rPr>
          <w:b/>
          <w:bCs/>
          <w:lang w:eastAsia="en-US"/>
        </w:rPr>
        <w:t>ETS-verificatie</w:t>
      </w:r>
      <w:r>
        <w:rPr>
          <w:lang w:eastAsia="en-US"/>
        </w:rPr>
        <w:t xml:space="preserve"> vindt </w:t>
      </w:r>
      <w:r w:rsidR="00D172D4">
        <w:rPr>
          <w:lang w:eastAsia="en-US"/>
        </w:rPr>
        <w:t xml:space="preserve">sowieso </w:t>
      </w:r>
      <w:r>
        <w:rPr>
          <w:lang w:eastAsia="en-US"/>
        </w:rPr>
        <w:t xml:space="preserve">voor alle bedrijven plaats in kader van de controle van </w:t>
      </w:r>
      <w:r w:rsidR="005444E6">
        <w:rPr>
          <w:lang w:eastAsia="en-US"/>
        </w:rPr>
        <w:t>de jaarlijkse emissies</w:t>
      </w:r>
      <w:r w:rsidR="00DA7B96">
        <w:rPr>
          <w:lang w:eastAsia="en-US"/>
        </w:rPr>
        <w:t>. Hierbij zal wat betreft de REDII-criteria in</w:t>
      </w:r>
      <w:r w:rsidR="00D172D4">
        <w:rPr>
          <w:lang w:eastAsia="en-US"/>
        </w:rPr>
        <w:t xml:space="preserve"> voorkomend geval</w:t>
      </w:r>
      <w:r w:rsidR="005444E6">
        <w:rPr>
          <w:lang w:eastAsia="en-US"/>
        </w:rPr>
        <w:t xml:space="preserve"> ook</w:t>
      </w:r>
      <w:r w:rsidR="006326B2">
        <w:rPr>
          <w:lang w:eastAsia="en-US"/>
        </w:rPr>
        <w:t xml:space="preserve"> </w:t>
      </w:r>
      <w:r w:rsidR="003A5B9F">
        <w:rPr>
          <w:lang w:eastAsia="en-US"/>
        </w:rPr>
        <w:t>nag</w:t>
      </w:r>
      <w:r w:rsidR="00DA7B96">
        <w:rPr>
          <w:lang w:eastAsia="en-US"/>
        </w:rPr>
        <w:t>eg</w:t>
      </w:r>
      <w:r w:rsidR="003A5B9F">
        <w:rPr>
          <w:lang w:eastAsia="en-US"/>
        </w:rPr>
        <w:t>aan</w:t>
      </w:r>
      <w:r w:rsidR="00DA7B96">
        <w:rPr>
          <w:lang w:eastAsia="en-US"/>
        </w:rPr>
        <w:t xml:space="preserve"> worden</w:t>
      </w:r>
      <w:r w:rsidR="00165AFE">
        <w:rPr>
          <w:rStyle w:val="Voetnootmarkering"/>
          <w:lang w:eastAsia="en-US"/>
        </w:rPr>
        <w:footnoteReference w:id="8"/>
      </w:r>
      <w:r w:rsidR="003A5B9F">
        <w:rPr>
          <w:lang w:eastAsia="en-US"/>
        </w:rPr>
        <w:t>:</w:t>
      </w:r>
    </w:p>
    <w:p w14:paraId="54F95861" w14:textId="77777777" w:rsidR="00DA7B96" w:rsidRDefault="00DA7B96" w:rsidP="00434ABA">
      <w:pPr>
        <w:jc w:val="both"/>
        <w:rPr>
          <w:lang w:eastAsia="en-US"/>
        </w:rPr>
      </w:pPr>
    </w:p>
    <w:p w14:paraId="7356ACD9" w14:textId="1B0CFBCC" w:rsidR="006326B2" w:rsidRDefault="00EF3579" w:rsidP="006326B2">
      <w:pPr>
        <w:pStyle w:val="Lijstalinea"/>
        <w:numPr>
          <w:ilvl w:val="0"/>
          <w:numId w:val="22"/>
        </w:numPr>
        <w:jc w:val="both"/>
        <w:rPr>
          <w:lang w:eastAsia="en-US"/>
        </w:rPr>
      </w:pPr>
      <w:r>
        <w:rPr>
          <w:lang w:eastAsia="en-US"/>
        </w:rPr>
        <w:t>Is het certificaat erkend door de Europese Commissie?</w:t>
      </w:r>
    </w:p>
    <w:p w14:paraId="7E7CE50A" w14:textId="00BA7E47" w:rsidR="00704FC1" w:rsidRDefault="00704FC1" w:rsidP="006326B2">
      <w:pPr>
        <w:pStyle w:val="Lijstalinea"/>
        <w:numPr>
          <w:ilvl w:val="0"/>
          <w:numId w:val="22"/>
        </w:numPr>
        <w:jc w:val="both"/>
        <w:rPr>
          <w:lang w:eastAsia="en-US"/>
        </w:rPr>
      </w:pPr>
      <w:r>
        <w:rPr>
          <w:lang w:eastAsia="en-US"/>
        </w:rPr>
        <w:t xml:space="preserve">Was het certificaat nog geldig wanneer </w:t>
      </w:r>
      <w:r w:rsidR="008319B6">
        <w:rPr>
          <w:lang w:eastAsia="en-US"/>
        </w:rPr>
        <w:t>het</w:t>
      </w:r>
      <w:r w:rsidR="008319B6" w:rsidRPr="008319B6">
        <w:rPr>
          <w:lang w:eastAsia="en-US"/>
        </w:rPr>
        <w:t xml:space="preserve"> </w:t>
      </w:r>
      <w:r w:rsidR="008319B6" w:rsidRPr="00B629FF">
        <w:rPr>
          <w:lang w:eastAsia="en-US"/>
        </w:rPr>
        <w:t>bewijs van duurzaamheid</w:t>
      </w:r>
      <w:r w:rsidR="008319B6">
        <w:rPr>
          <w:lang w:eastAsia="en-US"/>
        </w:rPr>
        <w:t xml:space="preserve"> </w:t>
      </w:r>
      <w:r w:rsidR="00723E77">
        <w:rPr>
          <w:lang w:eastAsia="en-US"/>
        </w:rPr>
        <w:t>(</w:t>
      </w:r>
      <w:proofErr w:type="spellStart"/>
      <w:r>
        <w:rPr>
          <w:lang w:eastAsia="en-US"/>
        </w:rPr>
        <w:t>PoS</w:t>
      </w:r>
      <w:proofErr w:type="spellEnd"/>
      <w:r w:rsidR="00723E77">
        <w:rPr>
          <w:lang w:eastAsia="en-US"/>
        </w:rPr>
        <w:t>)</w:t>
      </w:r>
      <w:r>
        <w:rPr>
          <w:lang w:eastAsia="en-US"/>
        </w:rPr>
        <w:t xml:space="preserve"> gegenereerd werd?</w:t>
      </w:r>
      <w:r w:rsidR="005567F4">
        <w:rPr>
          <w:rStyle w:val="Voetnootmarkering"/>
          <w:lang w:eastAsia="en-US"/>
        </w:rPr>
        <w:footnoteReference w:id="9"/>
      </w:r>
    </w:p>
    <w:p w14:paraId="00623D25" w14:textId="0D8B0BD0" w:rsidR="00704FC1" w:rsidRDefault="00177806" w:rsidP="00704FC1">
      <w:pPr>
        <w:pStyle w:val="Lijstalinea"/>
        <w:numPr>
          <w:ilvl w:val="0"/>
          <w:numId w:val="22"/>
        </w:numPr>
        <w:jc w:val="both"/>
        <w:rPr>
          <w:lang w:eastAsia="en-US"/>
        </w:rPr>
      </w:pPr>
      <w:r>
        <w:rPr>
          <w:lang w:eastAsia="en-US"/>
        </w:rPr>
        <w:t xml:space="preserve">Was </w:t>
      </w:r>
      <w:r w:rsidR="00723E77">
        <w:rPr>
          <w:lang w:eastAsia="en-US"/>
        </w:rPr>
        <w:t>het</w:t>
      </w:r>
      <w:r w:rsidR="00723E77" w:rsidRPr="008319B6">
        <w:rPr>
          <w:lang w:eastAsia="en-US"/>
        </w:rPr>
        <w:t xml:space="preserve"> </w:t>
      </w:r>
      <w:r w:rsidR="00723E77" w:rsidRPr="00B629FF">
        <w:rPr>
          <w:lang w:eastAsia="en-US"/>
        </w:rPr>
        <w:t>bewijs van duurzaamheid</w:t>
      </w:r>
      <w:r w:rsidR="00F0020F">
        <w:rPr>
          <w:lang w:eastAsia="en-US"/>
        </w:rPr>
        <w:t xml:space="preserve"> </w:t>
      </w:r>
      <w:r w:rsidR="00864916">
        <w:rPr>
          <w:lang w:eastAsia="en-US"/>
        </w:rPr>
        <w:t>(</w:t>
      </w:r>
      <w:proofErr w:type="spellStart"/>
      <w:r w:rsidR="00F0020F" w:rsidRPr="00CC69A6">
        <w:rPr>
          <w:lang w:eastAsia="en-US"/>
        </w:rPr>
        <w:t>PoS</w:t>
      </w:r>
      <w:proofErr w:type="spellEnd"/>
      <w:r w:rsidR="00864916">
        <w:rPr>
          <w:lang w:eastAsia="en-US"/>
        </w:rPr>
        <w:t>)</w:t>
      </w:r>
      <w:r w:rsidR="00F0020F">
        <w:rPr>
          <w:lang w:eastAsia="en-US"/>
        </w:rPr>
        <w:t xml:space="preserve"> </w:t>
      </w:r>
      <w:r>
        <w:rPr>
          <w:lang w:eastAsia="en-US"/>
        </w:rPr>
        <w:t>nog geldig wanneer de biomassa gebruikt werd?</w:t>
      </w:r>
    </w:p>
    <w:p w14:paraId="2D78BBF9" w14:textId="1F751D14" w:rsidR="00D3343A" w:rsidRDefault="00D3343A" w:rsidP="00704FC1">
      <w:pPr>
        <w:pStyle w:val="Lijstalinea"/>
        <w:numPr>
          <w:ilvl w:val="0"/>
          <w:numId w:val="22"/>
        </w:numPr>
        <w:jc w:val="both"/>
        <w:rPr>
          <w:lang w:eastAsia="en-US"/>
        </w:rPr>
      </w:pPr>
      <w:r>
        <w:rPr>
          <w:lang w:eastAsia="en-US"/>
        </w:rPr>
        <w:t xml:space="preserve">Kan het certificaat gebruikt worden voor dit type biomassa en kan het dienen als bewijs voor </w:t>
      </w:r>
      <w:r w:rsidR="009110C4">
        <w:rPr>
          <w:lang w:eastAsia="en-US"/>
        </w:rPr>
        <w:t>duurzaamheidscriteria en/of broeikasgasemissiereductiecriteria?</w:t>
      </w:r>
    </w:p>
    <w:p w14:paraId="19F42808" w14:textId="737BC11A" w:rsidR="00322EDE" w:rsidRDefault="00322EDE" w:rsidP="00704FC1">
      <w:pPr>
        <w:pStyle w:val="Lijstalinea"/>
        <w:numPr>
          <w:ilvl w:val="0"/>
          <w:numId w:val="22"/>
        </w:numPr>
        <w:jc w:val="both"/>
        <w:rPr>
          <w:lang w:eastAsia="en-US"/>
        </w:rPr>
      </w:pPr>
      <w:r>
        <w:rPr>
          <w:lang w:eastAsia="en-US"/>
        </w:rPr>
        <w:t>Komt de geografische scope van de biomassa overeen met de scope van de certificatieregeling?</w:t>
      </w:r>
    </w:p>
    <w:p w14:paraId="32177A3D" w14:textId="6B65D83E" w:rsidR="00EF3579" w:rsidRDefault="0013133A" w:rsidP="006326B2">
      <w:pPr>
        <w:pStyle w:val="Lijstalinea"/>
        <w:numPr>
          <w:ilvl w:val="0"/>
          <w:numId w:val="22"/>
        </w:numPr>
        <w:jc w:val="both"/>
        <w:rPr>
          <w:lang w:eastAsia="en-US"/>
        </w:rPr>
      </w:pPr>
      <w:r>
        <w:rPr>
          <w:lang w:eastAsia="en-US"/>
        </w:rPr>
        <w:t xml:space="preserve">Is er een </w:t>
      </w:r>
      <w:r w:rsidR="00864916" w:rsidRPr="00B629FF">
        <w:rPr>
          <w:lang w:eastAsia="en-US"/>
        </w:rPr>
        <w:t>bewijs van duurzaamheid</w:t>
      </w:r>
      <w:r w:rsidR="00864916">
        <w:rPr>
          <w:lang w:eastAsia="en-US"/>
        </w:rPr>
        <w:t xml:space="preserve"> (</w:t>
      </w:r>
      <w:proofErr w:type="spellStart"/>
      <w:r>
        <w:rPr>
          <w:lang w:eastAsia="en-US"/>
        </w:rPr>
        <w:t>PoS</w:t>
      </w:r>
      <w:proofErr w:type="spellEnd"/>
      <w:r w:rsidR="00864916">
        <w:rPr>
          <w:lang w:eastAsia="en-US"/>
        </w:rPr>
        <w:t>)</w:t>
      </w:r>
      <w:r>
        <w:rPr>
          <w:lang w:eastAsia="en-US"/>
        </w:rPr>
        <w:t xml:space="preserve"> aanwezig voor elke partij biomassa?</w:t>
      </w:r>
    </w:p>
    <w:p w14:paraId="73D6E56A" w14:textId="6D950060" w:rsidR="00135867" w:rsidRDefault="00135867" w:rsidP="006326B2">
      <w:pPr>
        <w:pStyle w:val="Lijstalinea"/>
        <w:numPr>
          <w:ilvl w:val="0"/>
          <w:numId w:val="22"/>
        </w:numPr>
        <w:jc w:val="both"/>
        <w:rPr>
          <w:lang w:eastAsia="en-US"/>
        </w:rPr>
      </w:pPr>
      <w:r>
        <w:rPr>
          <w:lang w:eastAsia="en-US"/>
        </w:rPr>
        <w:t xml:space="preserve">Zijn de REDII-criteria </w:t>
      </w:r>
      <w:r w:rsidR="006D627D">
        <w:rPr>
          <w:lang w:eastAsia="en-US"/>
        </w:rPr>
        <w:t xml:space="preserve">afgecheckt </w:t>
      </w:r>
      <w:r>
        <w:rPr>
          <w:lang w:eastAsia="en-US"/>
        </w:rPr>
        <w:t>door deze certificatieregeling</w:t>
      </w:r>
      <w:r w:rsidR="006D627D">
        <w:rPr>
          <w:lang w:eastAsia="en-US"/>
        </w:rPr>
        <w:t>?</w:t>
      </w:r>
    </w:p>
    <w:p w14:paraId="676D1694" w14:textId="7BB829C9" w:rsidR="00DA7B96" w:rsidRDefault="002250B1" w:rsidP="006326B2">
      <w:pPr>
        <w:pStyle w:val="Lijstalinea"/>
        <w:numPr>
          <w:ilvl w:val="0"/>
          <w:numId w:val="22"/>
        </w:numPr>
        <w:jc w:val="both"/>
        <w:rPr>
          <w:lang w:eastAsia="en-US"/>
        </w:rPr>
      </w:pPr>
      <w:r>
        <w:rPr>
          <w:lang w:eastAsia="en-US"/>
        </w:rPr>
        <w:t>Is de hele waardeketen afgedekt door dit certificaat/deze certificaten?</w:t>
      </w:r>
    </w:p>
    <w:p w14:paraId="4E4A35E7" w14:textId="68117CFA" w:rsidR="00550BA3" w:rsidRPr="00550BA3" w:rsidRDefault="00F4772F" w:rsidP="00B3054E">
      <w:pPr>
        <w:pStyle w:val="Lijstalinea"/>
        <w:numPr>
          <w:ilvl w:val="0"/>
          <w:numId w:val="22"/>
        </w:numPr>
        <w:jc w:val="both"/>
        <w:rPr>
          <w:lang w:eastAsia="en-US"/>
        </w:rPr>
      </w:pPr>
      <w:r>
        <w:rPr>
          <w:lang w:eastAsia="en-US"/>
        </w:rPr>
        <w:t>Is er een REDII-audit geweest en wat waren de conclusies?</w:t>
      </w:r>
    </w:p>
    <w:p w14:paraId="16AC1586" w14:textId="77777777" w:rsidR="00955870" w:rsidRDefault="00955870" w:rsidP="00955870">
      <w:pPr>
        <w:rPr>
          <w:lang w:eastAsia="en-US"/>
        </w:rPr>
      </w:pPr>
      <w:bookmarkStart w:id="8" w:name="_Toc120114893"/>
      <w:bookmarkStart w:id="9" w:name="_Toc120114894"/>
      <w:bookmarkStart w:id="10" w:name="_Toc120114896"/>
      <w:bookmarkStart w:id="11" w:name="_Toc120114897"/>
      <w:bookmarkStart w:id="12" w:name="_Toc120114898"/>
      <w:bookmarkStart w:id="13" w:name="_Toc120114899"/>
      <w:bookmarkStart w:id="14" w:name="_Toc120114900"/>
      <w:bookmarkStart w:id="15" w:name="_Toc120114901"/>
      <w:bookmarkStart w:id="16" w:name="_Toc120114902"/>
      <w:bookmarkStart w:id="17" w:name="_Toc120114903"/>
      <w:bookmarkStart w:id="18" w:name="_Toc120114904"/>
      <w:bookmarkStart w:id="19" w:name="_Toc120114905"/>
      <w:bookmarkStart w:id="20" w:name="_Toc120114906"/>
      <w:bookmarkStart w:id="21" w:name="_Toc120114907"/>
      <w:bookmarkStart w:id="22" w:name="_Toc120114908"/>
      <w:bookmarkStart w:id="23" w:name="_Toc120114909"/>
      <w:bookmarkStart w:id="24" w:name="_Toc120114910"/>
      <w:bookmarkStart w:id="25" w:name="_Toc120114911"/>
      <w:bookmarkStart w:id="26" w:name="_Toc120114912"/>
      <w:bookmarkStart w:id="27" w:name="_Toc120114913"/>
      <w:bookmarkStart w:id="28" w:name="_Toc120114914"/>
      <w:bookmarkStart w:id="29" w:name="_Toc12011491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0B0E2F37" w14:textId="703004BB" w:rsidR="00752436" w:rsidRDefault="00752436" w:rsidP="0035749E">
      <w:pPr>
        <w:pStyle w:val="Kop1"/>
        <w:numPr>
          <w:ilvl w:val="0"/>
          <w:numId w:val="30"/>
        </w:numPr>
        <w:rPr>
          <w:rFonts w:asciiTheme="minorHAnsi" w:hAnsiTheme="minorHAnsi" w:cstheme="minorBidi"/>
          <w:bCs/>
          <w:szCs w:val="28"/>
          <w:lang w:val="nl-BE"/>
        </w:rPr>
      </w:pPr>
      <w:bookmarkStart w:id="30" w:name="_Toc153442987"/>
      <w:r>
        <w:rPr>
          <w:rFonts w:asciiTheme="minorHAnsi" w:hAnsiTheme="minorHAnsi" w:cstheme="minorBidi"/>
          <w:bCs/>
          <w:szCs w:val="28"/>
          <w:lang w:val="nl-BE"/>
        </w:rPr>
        <w:t>Bepalingen voor het gebruik van biomassa</w:t>
      </w:r>
      <w:bookmarkEnd w:id="30"/>
    </w:p>
    <w:p w14:paraId="3A360E7F" w14:textId="77777777" w:rsidR="00752436" w:rsidRDefault="00752436" w:rsidP="00752436">
      <w:pPr>
        <w:jc w:val="both"/>
        <w:rPr>
          <w:lang w:eastAsia="en-US"/>
        </w:rPr>
      </w:pPr>
    </w:p>
    <w:p w14:paraId="46D6FCD9" w14:textId="44C3BFFC" w:rsidR="00752436" w:rsidRDefault="00752436" w:rsidP="00752436">
      <w:pPr>
        <w:jc w:val="both"/>
        <w:rPr>
          <w:lang w:eastAsia="en-US"/>
        </w:rPr>
      </w:pPr>
      <w:r>
        <w:rPr>
          <w:lang w:eastAsia="en-US"/>
        </w:rPr>
        <w:t>Voor biomassa gebruikt vanaf 1 januari 2023, dient naleving van REDII-criteria aangetoond te worden via een bewijs van duurzaamheid (</w:t>
      </w:r>
      <w:proofErr w:type="spellStart"/>
      <w:r w:rsidRPr="00095917">
        <w:rPr>
          <w:lang w:eastAsia="en-US"/>
        </w:rPr>
        <w:t>PoS</w:t>
      </w:r>
      <w:proofErr w:type="spellEnd"/>
      <w:r>
        <w:rPr>
          <w:lang w:eastAsia="en-US"/>
        </w:rPr>
        <w:t xml:space="preserve">). Een </w:t>
      </w:r>
      <w:proofErr w:type="spellStart"/>
      <w:r>
        <w:rPr>
          <w:lang w:eastAsia="en-US"/>
        </w:rPr>
        <w:t>PoS</w:t>
      </w:r>
      <w:proofErr w:type="spellEnd"/>
      <w:r w:rsidRPr="00095917">
        <w:rPr>
          <w:lang w:eastAsia="en-US"/>
        </w:rPr>
        <w:t xml:space="preserve"> kan niet retroactief aangemaakt worden</w:t>
      </w:r>
      <w:r>
        <w:rPr>
          <w:lang w:eastAsia="en-US"/>
        </w:rPr>
        <w:t xml:space="preserve"> voor een reeds bestaande hoeveelheid biomassa</w:t>
      </w:r>
      <w:r w:rsidRPr="00095917">
        <w:rPr>
          <w:lang w:eastAsia="en-US"/>
        </w:rPr>
        <w:t xml:space="preserve"> op het tijdstip dat een certificaat verleend wordt. Het is dus van groot belang dat de operator over de nodige certificaten beschikt </w:t>
      </w:r>
      <w:r w:rsidRPr="002326D1">
        <w:rPr>
          <w:u w:val="single"/>
          <w:lang w:eastAsia="en-US"/>
        </w:rPr>
        <w:t>voordat</w:t>
      </w:r>
      <w:r w:rsidRPr="00095917">
        <w:rPr>
          <w:lang w:eastAsia="en-US"/>
        </w:rPr>
        <w:t xml:space="preserve"> er gebruik gemaakt wordt van biomassa.</w:t>
      </w:r>
    </w:p>
    <w:p w14:paraId="33B20676" w14:textId="77777777" w:rsidR="0083159E" w:rsidRDefault="0083159E" w:rsidP="00752436">
      <w:pPr>
        <w:jc w:val="both"/>
        <w:rPr>
          <w:lang w:eastAsia="en-US"/>
        </w:rPr>
      </w:pPr>
    </w:p>
    <w:p w14:paraId="0A2BF5A4" w14:textId="3BA6A614" w:rsidR="00F82401" w:rsidRDefault="008F764A" w:rsidP="0035749E">
      <w:pPr>
        <w:pStyle w:val="Kop1"/>
        <w:numPr>
          <w:ilvl w:val="0"/>
          <w:numId w:val="30"/>
        </w:numPr>
        <w:rPr>
          <w:rFonts w:asciiTheme="minorHAnsi" w:hAnsiTheme="minorHAnsi" w:cstheme="minorBidi"/>
          <w:bCs/>
          <w:szCs w:val="28"/>
          <w:lang w:val="nl-BE"/>
        </w:rPr>
      </w:pPr>
      <w:bookmarkStart w:id="31" w:name="_Toc153442728"/>
      <w:bookmarkStart w:id="32" w:name="_Toc153442729"/>
      <w:bookmarkStart w:id="33" w:name="_Toc153442730"/>
      <w:bookmarkStart w:id="34" w:name="_Toc153442731"/>
      <w:bookmarkStart w:id="35" w:name="_Toc153442988"/>
      <w:bookmarkEnd w:id="31"/>
      <w:bookmarkEnd w:id="32"/>
      <w:bookmarkEnd w:id="33"/>
      <w:bookmarkEnd w:id="34"/>
      <w:r>
        <w:rPr>
          <w:rFonts w:asciiTheme="minorHAnsi" w:hAnsiTheme="minorHAnsi" w:cstheme="minorBidi"/>
          <w:bCs/>
          <w:szCs w:val="28"/>
          <w:lang w:val="nl-BE"/>
        </w:rPr>
        <w:lastRenderedPageBreak/>
        <w:t xml:space="preserve">Specifieke </w:t>
      </w:r>
      <w:r w:rsidR="0083159E">
        <w:rPr>
          <w:rFonts w:asciiTheme="minorHAnsi" w:hAnsiTheme="minorHAnsi" w:cstheme="minorBidi"/>
          <w:bCs/>
          <w:szCs w:val="28"/>
          <w:lang w:val="nl-BE"/>
        </w:rPr>
        <w:t>o</w:t>
      </w:r>
      <w:r w:rsidR="00D70C3B">
        <w:rPr>
          <w:rFonts w:asciiTheme="minorHAnsi" w:hAnsiTheme="minorHAnsi" w:cstheme="minorBidi"/>
          <w:bCs/>
          <w:szCs w:val="28"/>
          <w:lang w:val="nl-BE"/>
        </w:rPr>
        <w:t xml:space="preserve">vergangsbepaling </w:t>
      </w:r>
      <w:r>
        <w:rPr>
          <w:rFonts w:asciiTheme="minorHAnsi" w:hAnsiTheme="minorHAnsi" w:cstheme="minorBidi"/>
          <w:bCs/>
          <w:szCs w:val="28"/>
          <w:lang w:val="nl-BE"/>
        </w:rPr>
        <w:t xml:space="preserve">voor </w:t>
      </w:r>
      <w:r w:rsidR="00D70C3B">
        <w:rPr>
          <w:rFonts w:asciiTheme="minorHAnsi" w:hAnsiTheme="minorHAnsi" w:cstheme="minorBidi"/>
          <w:bCs/>
          <w:szCs w:val="28"/>
          <w:lang w:val="nl-BE"/>
        </w:rPr>
        <w:t>biomassa gebruikt in 2023</w:t>
      </w:r>
      <w:bookmarkEnd w:id="35"/>
    </w:p>
    <w:p w14:paraId="537B5038" w14:textId="77777777" w:rsidR="00F82401" w:rsidRPr="00692DB6" w:rsidRDefault="00F82401" w:rsidP="00F82401">
      <w:pPr>
        <w:rPr>
          <w:lang w:eastAsia="en-US"/>
        </w:rPr>
      </w:pPr>
    </w:p>
    <w:p w14:paraId="436A006A" w14:textId="51A1A863" w:rsidR="00072035" w:rsidRDefault="00072035" w:rsidP="00072035">
      <w:pPr>
        <w:jc w:val="both"/>
        <w:rPr>
          <w:rFonts w:eastAsia="FlandersArtSans-Regular" w:cs="FlandersArtSans-Regular"/>
        </w:rPr>
      </w:pPr>
      <w:r w:rsidRPr="5D5E88B6">
        <w:rPr>
          <w:rFonts w:eastAsia="FlandersArtSans-Regular" w:cs="FlandersArtSans-Regular"/>
        </w:rPr>
        <w:t xml:space="preserve">De exploitanten van BKG-installaties waarvoor de indiening van een bewijs van duurzaamheid verplicht is, zullen bij de aanbieding van </w:t>
      </w:r>
      <w:r w:rsidR="00F82401" w:rsidRPr="5D5E88B6">
        <w:rPr>
          <w:rFonts w:eastAsia="FlandersArtSans-Regular" w:cs="FlandersArtSans-Regular"/>
        </w:rPr>
        <w:t xml:space="preserve">het </w:t>
      </w:r>
      <w:r w:rsidRPr="5D5E88B6">
        <w:rPr>
          <w:rFonts w:eastAsia="FlandersArtSans-Regular" w:cs="FlandersArtSans-Regular"/>
        </w:rPr>
        <w:t>eerstvolgende emissiejaarrapport bij een externe verificatie-instelling (deadline voor indiening door exploitanten van het geverifieerde emissiejaarrapport is 14 maart 2024) in sommige gevallen echter geen bewijs van duurzaamheid kunnen voorleggen voor</w:t>
      </w:r>
      <w:r w:rsidR="00A26657">
        <w:rPr>
          <w:rFonts w:eastAsia="FlandersArtSans-Regular" w:cs="FlandersArtSans-Regular"/>
        </w:rPr>
        <w:t xml:space="preserve"> in 2023</w:t>
      </w:r>
      <w:r w:rsidRPr="5D5E88B6">
        <w:rPr>
          <w:rFonts w:eastAsia="FlandersArtSans-Regular" w:cs="FlandersArtSans-Regular"/>
        </w:rPr>
        <w:t xml:space="preserve"> gebruikte loten biomassa</w:t>
      </w:r>
      <w:r w:rsidR="00A26657">
        <w:rPr>
          <w:rFonts w:eastAsia="FlandersArtSans-Regular" w:cs="FlandersArtSans-Regular"/>
        </w:rPr>
        <w:t>, alhoewel dit volgens bovenstaande regeling verplicht is</w:t>
      </w:r>
      <w:r w:rsidRPr="5D5E88B6">
        <w:rPr>
          <w:rFonts w:eastAsia="FlandersArtSans-Regular" w:cs="FlandersArtSans-Regular"/>
        </w:rPr>
        <w:t xml:space="preserve">. </w:t>
      </w:r>
    </w:p>
    <w:p w14:paraId="3434076C" w14:textId="77777777" w:rsidR="00E974DA" w:rsidRDefault="00E974DA" w:rsidP="00F82401">
      <w:pPr>
        <w:rPr>
          <w:lang w:eastAsia="en-US"/>
        </w:rPr>
      </w:pPr>
    </w:p>
    <w:p w14:paraId="3CC164A9" w14:textId="4D01E36E" w:rsidR="00F82401" w:rsidRDefault="00AC4FDB" w:rsidP="00F82401">
      <w:pPr>
        <w:spacing w:line="276" w:lineRule="auto"/>
        <w:jc w:val="both"/>
        <w:rPr>
          <w:lang w:eastAsia="en-US"/>
        </w:rPr>
      </w:pPr>
      <w:r>
        <w:rPr>
          <w:lang w:eastAsia="en-US"/>
        </w:rPr>
        <w:t>H</w:t>
      </w:r>
      <w:r w:rsidR="00F82401" w:rsidRPr="00692DB6">
        <w:rPr>
          <w:lang w:eastAsia="en-US"/>
        </w:rPr>
        <w:t xml:space="preserve">et </w:t>
      </w:r>
      <w:r w:rsidR="000C415F">
        <w:rPr>
          <w:lang w:eastAsia="en-US"/>
        </w:rPr>
        <w:t>b</w:t>
      </w:r>
      <w:r w:rsidR="00F82401">
        <w:rPr>
          <w:lang w:eastAsia="en-US"/>
        </w:rPr>
        <w:t>esluit van de Vlaamse Regering</w:t>
      </w:r>
      <w:r w:rsidR="002F1396" w:rsidRPr="002F1396">
        <w:t xml:space="preserve"> </w:t>
      </w:r>
      <w:r w:rsidR="002F1396" w:rsidRPr="002F1396">
        <w:rPr>
          <w:lang w:eastAsia="en-US"/>
        </w:rPr>
        <w:t>van 8 december 2023 tot wijziging van het besluit van de Vlaamse Regering van 1 juni 1995 houdende algemene en sectorale bepalingen inzake milieuhygiëne, het besluit van de Vlaamse Regering van 12 december 2008 tot uitvoering van titel XVI van het decreet van 5 april 1995 houdende algemene bepalingen inzake milieubeleid en het besluit van de Vlaamse Regering van 6 september 2019 over verhandelbare emissierechten voor broeikasgassen voor vaste installaties voor de periode 2021-2030</w:t>
      </w:r>
      <w:r w:rsidR="008D3540">
        <w:rPr>
          <w:rStyle w:val="Voetnootmarkering"/>
          <w:lang w:eastAsia="en-US"/>
        </w:rPr>
        <w:footnoteReference w:id="10"/>
      </w:r>
      <w:r w:rsidR="00F82401">
        <w:rPr>
          <w:lang w:eastAsia="en-US"/>
        </w:rPr>
        <w:t xml:space="preserve"> </w:t>
      </w:r>
      <w:r w:rsidR="00D06133">
        <w:rPr>
          <w:lang w:eastAsia="en-US"/>
        </w:rPr>
        <w:t>voorziet</w:t>
      </w:r>
      <w:r w:rsidR="00F82401">
        <w:rPr>
          <w:lang w:eastAsia="en-US"/>
        </w:rPr>
        <w:t xml:space="preserve"> </w:t>
      </w:r>
      <w:r w:rsidR="00A26657">
        <w:rPr>
          <w:lang w:eastAsia="en-US"/>
        </w:rPr>
        <w:t xml:space="preserve">daarom </w:t>
      </w:r>
      <w:r w:rsidR="00F82401">
        <w:rPr>
          <w:lang w:eastAsia="en-US"/>
        </w:rPr>
        <w:t xml:space="preserve">een overgangsbepaling voor biomassa die van 1 januari 2023 tot en met 31 december 2023 wordt gebruikt en waarvoor een bewijs van duurzaamheid noodzakelijk is, maar niet kon worden verkregen. </w:t>
      </w:r>
    </w:p>
    <w:p w14:paraId="6DBE67B4" w14:textId="77777777" w:rsidR="00CC2F65" w:rsidRDefault="00CC2F65" w:rsidP="00F82401">
      <w:pPr>
        <w:spacing w:line="276" w:lineRule="auto"/>
        <w:jc w:val="both"/>
        <w:rPr>
          <w:lang w:eastAsia="en-US"/>
        </w:rPr>
      </w:pPr>
    </w:p>
    <w:p w14:paraId="7A722747" w14:textId="4F510F3C" w:rsidR="00F82401" w:rsidRDefault="00F82401" w:rsidP="00F82401">
      <w:pPr>
        <w:spacing w:line="276" w:lineRule="auto"/>
        <w:jc w:val="both"/>
        <w:rPr>
          <w:rFonts w:ascii="Verdana" w:eastAsia="Verdana" w:hAnsi="Verdana" w:cs="Verdana"/>
          <w:b/>
          <w:bCs/>
          <w:sz w:val="20"/>
        </w:rPr>
      </w:pPr>
      <w:r>
        <w:rPr>
          <w:lang w:eastAsia="en-US"/>
        </w:rPr>
        <w:t>De voorwaarden om aanspraak te kunnen maken op deze overgangsbepaling zijn uiteengezet in artikel 14 van het wijzigingsbesluit:</w:t>
      </w:r>
    </w:p>
    <w:p w14:paraId="3AE8B9FA" w14:textId="77777777" w:rsidR="00F82401" w:rsidRDefault="00F82401" w:rsidP="00F82401">
      <w:pPr>
        <w:spacing w:line="276" w:lineRule="auto"/>
        <w:jc w:val="both"/>
        <w:rPr>
          <w:rFonts w:ascii="Verdana" w:eastAsia="Verdana" w:hAnsi="Verdana" w:cs="Verdana"/>
          <w:b/>
          <w:bCs/>
          <w:sz w:val="20"/>
        </w:rPr>
      </w:pPr>
    </w:p>
    <w:p w14:paraId="0D33775A" w14:textId="0FDE8700" w:rsidR="00F82401" w:rsidRPr="0035749E" w:rsidRDefault="74B835DE" w:rsidP="0035749E">
      <w:pPr>
        <w:spacing w:line="276" w:lineRule="auto"/>
        <w:ind w:left="480"/>
        <w:jc w:val="both"/>
        <w:rPr>
          <w:rFonts w:ascii="Verdana" w:eastAsia="Verdana" w:hAnsi="Verdana" w:cs="Verdana"/>
          <w:sz w:val="18"/>
          <w:szCs w:val="18"/>
          <w:lang w:val="nl"/>
        </w:rPr>
      </w:pPr>
      <w:r w:rsidRPr="5E1E3122">
        <w:rPr>
          <w:rFonts w:ascii="Verdana" w:eastAsia="Verdana" w:hAnsi="Verdana" w:cs="Verdana"/>
          <w:b/>
          <w:bCs/>
          <w:sz w:val="18"/>
          <w:szCs w:val="18"/>
        </w:rPr>
        <w:t>“</w:t>
      </w:r>
      <w:r w:rsidR="00F82401" w:rsidRPr="0035749E">
        <w:rPr>
          <w:rFonts w:ascii="Verdana" w:eastAsia="Verdana" w:hAnsi="Verdana" w:cs="Verdana"/>
          <w:b/>
          <w:sz w:val="18"/>
          <w:szCs w:val="18"/>
        </w:rPr>
        <w:t>Art</w:t>
      </w:r>
      <w:r w:rsidR="654A1F82" w:rsidRPr="5E1E3122">
        <w:rPr>
          <w:rFonts w:ascii="Verdana" w:eastAsia="Verdana" w:hAnsi="Verdana" w:cs="Verdana"/>
          <w:b/>
          <w:bCs/>
          <w:sz w:val="18"/>
          <w:szCs w:val="18"/>
        </w:rPr>
        <w:t>.</w:t>
      </w:r>
      <w:r w:rsidR="00F82401" w:rsidRPr="0035749E">
        <w:rPr>
          <w:rFonts w:ascii="Verdana" w:eastAsia="Verdana" w:hAnsi="Verdana" w:cs="Verdana"/>
          <w:b/>
          <w:sz w:val="18"/>
          <w:szCs w:val="18"/>
        </w:rPr>
        <w:t xml:space="preserve"> 14. </w:t>
      </w:r>
      <w:r w:rsidR="00F82401" w:rsidRPr="0035749E">
        <w:rPr>
          <w:rFonts w:ascii="Verdana" w:eastAsia="Verdana" w:hAnsi="Verdana" w:cs="Verdana"/>
          <w:sz w:val="18"/>
          <w:szCs w:val="18"/>
          <w:lang w:val="nl"/>
        </w:rPr>
        <w:t>Voor biomassa die van 1 januari 2023 tot en met 31 december 2023 in een BKG-installatie wordt gebruikt en waarvoor een bewijs van duurzaamheid noodzakelijk is, kan, als geen bewijs van duurzaamheid in de zin van een van de vrijwillige certificeringen die door de Europese Commissie overeenkomstig artikel 30, §§ 4 en 5, van Richtlijn (EU) 2018/2001 zijn erkend kan worden voorgelegd, voor het bewijs van duurzaamheid als bedoeld in de Uitvoeringsverordening (EU) 2018/2066 van de Commissie van 19 december 2018 inzake de monitoring en rapportage van de emissies van broeikasgassen overeenkomstig Richtlijn 2003/87/EG van het Europees Parlement en de Raad en tot wijziging van Verordening (EU) nr. 601/2012 van de Commissie en via verwijzing ervan in de Uitvoeringsverordening (EU) 2022/996 van de Commissie van 14 juni 2022 betreffende de voorschriften om de duurzaamheids- en broeikasgasemissiereductiecriteria alsmede de criteria inzake laag risico op indirecte veranderingen in landgebruik te controleren, gebruik worden gemaakt van de hierna volgende regeling.</w:t>
      </w:r>
    </w:p>
    <w:p w14:paraId="0A766EC5" w14:textId="77777777" w:rsidR="00F82401" w:rsidRPr="0035749E" w:rsidRDefault="00F82401" w:rsidP="0035749E">
      <w:pPr>
        <w:spacing w:line="276" w:lineRule="auto"/>
        <w:ind w:left="480"/>
        <w:jc w:val="both"/>
        <w:rPr>
          <w:rFonts w:ascii="Verdana" w:eastAsia="Verdana" w:hAnsi="Verdana" w:cs="Verdana"/>
          <w:sz w:val="18"/>
          <w:szCs w:val="20"/>
          <w:lang w:val="nl"/>
        </w:rPr>
      </w:pPr>
    </w:p>
    <w:p w14:paraId="7C844272" w14:textId="77777777" w:rsidR="00F82401" w:rsidRPr="0035749E" w:rsidRDefault="00F82401" w:rsidP="00EE32A5">
      <w:pPr>
        <w:spacing w:line="276" w:lineRule="auto"/>
        <w:ind w:left="492"/>
        <w:jc w:val="both"/>
        <w:rPr>
          <w:rFonts w:ascii="Verdana" w:eastAsia="Verdana" w:hAnsi="Verdana" w:cs="Verdana"/>
          <w:color w:val="000000" w:themeColor="text1"/>
          <w:sz w:val="18"/>
          <w:szCs w:val="20"/>
        </w:rPr>
      </w:pPr>
      <w:r w:rsidRPr="0035749E">
        <w:rPr>
          <w:rFonts w:ascii="Verdana" w:eastAsia="Verdana" w:hAnsi="Verdana" w:cs="Verdana"/>
          <w:color w:val="000000" w:themeColor="text1"/>
          <w:sz w:val="18"/>
          <w:szCs w:val="20"/>
        </w:rPr>
        <w:t>Voor elke partij biomassa waarvoor geen bewijs van duurzaamheid, vermeld in het eerste lid, kon worden verkregen, worden de volgende bewijsstukken verstrekt:</w:t>
      </w:r>
    </w:p>
    <w:p w14:paraId="78F6092B" w14:textId="77777777" w:rsidR="00F82401" w:rsidRPr="0035749E" w:rsidRDefault="00F82401" w:rsidP="0035749E">
      <w:pPr>
        <w:pStyle w:val="Lijstalinea"/>
        <w:numPr>
          <w:ilvl w:val="0"/>
          <w:numId w:val="32"/>
        </w:numPr>
        <w:spacing w:line="276" w:lineRule="auto"/>
        <w:ind w:left="1200"/>
        <w:contextualSpacing/>
        <w:jc w:val="both"/>
        <w:rPr>
          <w:rFonts w:ascii="Verdana" w:eastAsia="Verdana" w:hAnsi="Verdana" w:cs="Verdana"/>
          <w:color w:val="000000" w:themeColor="text1"/>
          <w:sz w:val="18"/>
          <w:szCs w:val="20"/>
        </w:rPr>
      </w:pPr>
      <w:proofErr w:type="gramStart"/>
      <w:r w:rsidRPr="0035749E">
        <w:rPr>
          <w:rFonts w:ascii="Verdana" w:eastAsia="Verdana" w:hAnsi="Verdana" w:cs="Verdana"/>
          <w:color w:val="000000" w:themeColor="text1"/>
          <w:sz w:val="18"/>
          <w:szCs w:val="18"/>
        </w:rPr>
        <w:t>waaruit</w:t>
      </w:r>
      <w:proofErr w:type="gramEnd"/>
      <w:r w:rsidRPr="0035749E">
        <w:rPr>
          <w:rFonts w:ascii="Verdana" w:eastAsia="Verdana" w:hAnsi="Verdana" w:cs="Verdana"/>
          <w:color w:val="000000" w:themeColor="text1"/>
          <w:sz w:val="18"/>
          <w:szCs w:val="18"/>
        </w:rPr>
        <w:t xml:space="preserve"> blijkt dat de exploitant alles wat redelijkerwijs mogelijk is heeft gedaan om zo snel mogelijk een bewijs van duurzaamheid, vermeld in het eerste lid, te verkrijgen, en de redenen waarom het redelijkerwijs niet mogelijk was een dergelijk bewijs te verkrijgen;</w:t>
      </w:r>
    </w:p>
    <w:p w14:paraId="11CABD45" w14:textId="77777777" w:rsidR="00F82401" w:rsidRPr="0035749E" w:rsidRDefault="00F82401" w:rsidP="0035749E">
      <w:pPr>
        <w:pStyle w:val="Lijstalinea"/>
        <w:numPr>
          <w:ilvl w:val="0"/>
          <w:numId w:val="32"/>
        </w:numPr>
        <w:spacing w:line="276" w:lineRule="auto"/>
        <w:ind w:left="1200"/>
        <w:contextualSpacing/>
        <w:jc w:val="both"/>
        <w:rPr>
          <w:rFonts w:ascii="Verdana" w:eastAsia="Verdana" w:hAnsi="Verdana" w:cs="Verdana"/>
          <w:color w:val="000000" w:themeColor="text1"/>
          <w:sz w:val="18"/>
          <w:szCs w:val="20"/>
        </w:rPr>
      </w:pPr>
      <w:proofErr w:type="gramStart"/>
      <w:r w:rsidRPr="0035749E">
        <w:rPr>
          <w:rFonts w:ascii="Verdana" w:eastAsia="Verdana" w:hAnsi="Verdana" w:cs="Verdana"/>
          <w:color w:val="000000" w:themeColor="text1"/>
          <w:sz w:val="18"/>
          <w:szCs w:val="18"/>
        </w:rPr>
        <w:t>die</w:t>
      </w:r>
      <w:proofErr w:type="gramEnd"/>
      <w:r w:rsidRPr="0035749E">
        <w:rPr>
          <w:rFonts w:ascii="Verdana" w:eastAsia="Verdana" w:hAnsi="Verdana" w:cs="Verdana"/>
          <w:color w:val="000000" w:themeColor="text1"/>
          <w:sz w:val="18"/>
          <w:szCs w:val="18"/>
        </w:rPr>
        <w:t xml:space="preserve"> aantonen waarom de exploitant er niet in geslaagd is redelijke alternatieven te ontwikkelen om toegang te krijgen tot andere biomassabronnen waarvoor een bewijs van duurzaamheid had kunnen worden verkregen;</w:t>
      </w:r>
    </w:p>
    <w:p w14:paraId="29CBC347" w14:textId="77777777" w:rsidR="00F82401" w:rsidRPr="0035749E" w:rsidRDefault="00F82401" w:rsidP="0035749E">
      <w:pPr>
        <w:pStyle w:val="Lijstalinea"/>
        <w:numPr>
          <w:ilvl w:val="0"/>
          <w:numId w:val="32"/>
        </w:numPr>
        <w:spacing w:line="276" w:lineRule="auto"/>
        <w:ind w:left="1200"/>
        <w:contextualSpacing/>
        <w:jc w:val="both"/>
        <w:rPr>
          <w:rFonts w:ascii="Verdana" w:eastAsia="Verdana" w:hAnsi="Verdana" w:cs="Verdana"/>
          <w:color w:val="000000" w:themeColor="text1"/>
          <w:sz w:val="18"/>
          <w:szCs w:val="20"/>
          <w:lang w:val="nl"/>
        </w:rPr>
      </w:pPr>
      <w:proofErr w:type="gramStart"/>
      <w:r w:rsidRPr="0035749E">
        <w:rPr>
          <w:rFonts w:ascii="Verdana" w:eastAsia="Verdana" w:hAnsi="Verdana" w:cs="Verdana"/>
          <w:color w:val="000000" w:themeColor="text1"/>
          <w:sz w:val="18"/>
          <w:szCs w:val="18"/>
        </w:rPr>
        <w:t>die</w:t>
      </w:r>
      <w:proofErr w:type="gramEnd"/>
      <w:r w:rsidRPr="0035749E">
        <w:rPr>
          <w:rFonts w:ascii="Verdana" w:eastAsia="Verdana" w:hAnsi="Verdana" w:cs="Verdana"/>
          <w:color w:val="000000" w:themeColor="text1"/>
          <w:sz w:val="18"/>
          <w:szCs w:val="18"/>
        </w:rPr>
        <w:t xml:space="preserve"> aantonen dat de betrokken biomassa voldoet aan de criteria, vermeld in artikel 38, lid 5 van de </w:t>
      </w:r>
      <w:r w:rsidRPr="0035749E">
        <w:rPr>
          <w:rFonts w:ascii="Verdana" w:eastAsia="Verdana" w:hAnsi="Verdana" w:cs="Verdana"/>
          <w:sz w:val="18"/>
          <w:szCs w:val="18"/>
        </w:rPr>
        <w:t>Uitvoeringsverordening (EU) 2018/2066 van de Commissie van 19 december 2018 inzake de monitoring en rapportage van de emissies van broeikasgassen overeenkomstig Richtlijn 2003/87/EG van het Europees Parlement en de Raad en tot wijziging van Verordening (EU) nr. 601/2012 van de Commissie</w:t>
      </w:r>
      <w:r w:rsidRPr="0035749E">
        <w:rPr>
          <w:rFonts w:ascii="Verdana" w:eastAsia="Verdana" w:hAnsi="Verdana" w:cs="Verdana"/>
          <w:color w:val="000000" w:themeColor="text1"/>
          <w:sz w:val="18"/>
          <w:szCs w:val="18"/>
        </w:rPr>
        <w:t>.</w:t>
      </w:r>
    </w:p>
    <w:p w14:paraId="090F5203" w14:textId="77777777" w:rsidR="00F82401" w:rsidRPr="0035749E" w:rsidRDefault="00F82401" w:rsidP="0035749E">
      <w:pPr>
        <w:spacing w:line="276" w:lineRule="auto"/>
        <w:ind w:left="480"/>
        <w:jc w:val="both"/>
        <w:rPr>
          <w:rFonts w:ascii="Verdana" w:eastAsia="Verdana" w:hAnsi="Verdana" w:cs="Verdana"/>
          <w:color w:val="000000" w:themeColor="text1"/>
          <w:sz w:val="18"/>
          <w:szCs w:val="20"/>
          <w:lang w:val="nl"/>
        </w:rPr>
      </w:pPr>
    </w:p>
    <w:p w14:paraId="2BCA010D" w14:textId="7DF1A63D" w:rsidR="00F82401" w:rsidRDefault="00F82401" w:rsidP="00A17ED3">
      <w:pPr>
        <w:spacing w:line="276" w:lineRule="auto"/>
        <w:ind w:left="480"/>
        <w:jc w:val="both"/>
        <w:rPr>
          <w:rFonts w:ascii="Verdana" w:eastAsia="Verdana" w:hAnsi="Verdana" w:cs="Verdana"/>
          <w:color w:val="000000" w:themeColor="text1"/>
          <w:sz w:val="18"/>
          <w:szCs w:val="18"/>
          <w:lang w:val="nl"/>
        </w:rPr>
      </w:pPr>
      <w:r w:rsidRPr="0035749E">
        <w:rPr>
          <w:rFonts w:ascii="Verdana" w:eastAsia="Verdana" w:hAnsi="Verdana" w:cs="Verdana"/>
          <w:color w:val="000000" w:themeColor="text1"/>
          <w:sz w:val="18"/>
          <w:szCs w:val="18"/>
          <w:lang w:val="nl"/>
        </w:rPr>
        <w:t>Het verstrekte bewijs, vermeld in het tweede lid, wordt geverifieerd en opgenomen in het geverifieerd emissiejaarrapport dat uiterlijk 14 maart 2024 bij het VEKA wordt ingediend conform artikel 4.10.1.5, §2</w:t>
      </w:r>
      <w:r w:rsidR="00A17ED3">
        <w:rPr>
          <w:rFonts w:ascii="Verdana" w:eastAsia="Verdana" w:hAnsi="Verdana" w:cs="Verdana"/>
          <w:color w:val="000000" w:themeColor="text1"/>
          <w:sz w:val="18"/>
          <w:szCs w:val="18"/>
          <w:lang w:val="nl"/>
        </w:rPr>
        <w:t>,</w:t>
      </w:r>
      <w:r w:rsidRPr="0035749E">
        <w:rPr>
          <w:rFonts w:ascii="Verdana" w:eastAsia="Verdana" w:hAnsi="Verdana" w:cs="Verdana"/>
          <w:color w:val="000000" w:themeColor="text1"/>
          <w:sz w:val="18"/>
          <w:szCs w:val="18"/>
          <w:lang w:val="nl"/>
        </w:rPr>
        <w:t xml:space="preserve"> van het VLAREM II.</w:t>
      </w:r>
      <w:r w:rsidR="06D30B21" w:rsidRPr="5E1E3122">
        <w:rPr>
          <w:rFonts w:ascii="Verdana" w:eastAsia="Verdana" w:hAnsi="Verdana" w:cs="Verdana"/>
          <w:color w:val="000000" w:themeColor="text1"/>
          <w:sz w:val="18"/>
          <w:szCs w:val="18"/>
          <w:lang w:val="nl"/>
        </w:rPr>
        <w:t>”</w:t>
      </w:r>
    </w:p>
    <w:p w14:paraId="72507BDE" w14:textId="1D5CA841" w:rsidR="36587886" w:rsidRDefault="36587886" w:rsidP="36587886">
      <w:pPr>
        <w:spacing w:line="276" w:lineRule="auto"/>
        <w:ind w:left="480"/>
        <w:jc w:val="both"/>
        <w:rPr>
          <w:rFonts w:ascii="Verdana" w:eastAsia="Verdana" w:hAnsi="Verdana" w:cs="Verdana"/>
          <w:color w:val="000000" w:themeColor="text1"/>
          <w:sz w:val="18"/>
          <w:szCs w:val="18"/>
          <w:lang w:val="nl"/>
        </w:rPr>
      </w:pPr>
    </w:p>
    <w:p w14:paraId="648B674F" w14:textId="25E91EBE" w:rsidR="003B33BA" w:rsidRDefault="002064BE" w:rsidP="003B33BA">
      <w:pPr>
        <w:jc w:val="both"/>
        <w:rPr>
          <w:rFonts w:ascii="FlandersArtSans-Regular" w:eastAsia="FlandersArtSans-Regular" w:hAnsi="FlandersArtSans-Regular" w:cs="FlandersArtSans-Regular"/>
        </w:rPr>
      </w:pPr>
      <w:r>
        <w:rPr>
          <w:rFonts w:eastAsia="FlandersArtSans-Regular" w:cs="FlandersArtSans-Regular"/>
        </w:rPr>
        <w:t xml:space="preserve">Samengevat </w:t>
      </w:r>
      <w:r w:rsidR="003B33BA">
        <w:rPr>
          <w:rFonts w:eastAsia="FlandersArtSans-Regular" w:cs="FlandersArtSans-Regular"/>
        </w:rPr>
        <w:t xml:space="preserve">dient de exploitant van een BKG-installatie aan te tonen dat al het mogelijke werd gedaan om het bewijs van duurzaamheid </w:t>
      </w:r>
      <w:r w:rsidR="00FB4DEF">
        <w:rPr>
          <w:rFonts w:eastAsia="FlandersArtSans-Regular" w:cs="FlandersArtSans-Regular"/>
        </w:rPr>
        <w:t>(</w:t>
      </w:r>
      <w:proofErr w:type="spellStart"/>
      <w:r w:rsidR="00FB4DEF">
        <w:rPr>
          <w:rFonts w:eastAsia="FlandersArtSans-Regular" w:cs="FlandersArtSans-Regular"/>
        </w:rPr>
        <w:t>PoS</w:t>
      </w:r>
      <w:proofErr w:type="spellEnd"/>
      <w:r w:rsidR="00FB4DEF">
        <w:rPr>
          <w:rFonts w:eastAsia="FlandersArtSans-Regular" w:cs="FlandersArtSans-Regular"/>
        </w:rPr>
        <w:t xml:space="preserve">) </w:t>
      </w:r>
      <w:r w:rsidR="003B33BA">
        <w:rPr>
          <w:rFonts w:eastAsia="FlandersArtSans-Regular" w:cs="FlandersArtSans-Regular"/>
        </w:rPr>
        <w:t xml:space="preserve">te verkrijgen, maar dat dit buiten zijn toedoen, niet mogelijk was. Daarnaast dient de exploitant aan te tonen dat hij er niet in geslaagd is redelijke alternatieven te ontwikkelen om toegang te krijgen tot andere biomassabronnen waarvoor een bewijs van duurzaamheid </w:t>
      </w:r>
      <w:r w:rsidR="00FB4DEF">
        <w:rPr>
          <w:rFonts w:eastAsia="FlandersArtSans-Regular" w:cs="FlandersArtSans-Regular"/>
        </w:rPr>
        <w:t>(</w:t>
      </w:r>
      <w:proofErr w:type="spellStart"/>
      <w:proofErr w:type="gramStart"/>
      <w:r w:rsidR="00FB4DEF">
        <w:rPr>
          <w:rFonts w:eastAsia="FlandersArtSans-Regular" w:cs="FlandersArtSans-Regular"/>
        </w:rPr>
        <w:t>PoS</w:t>
      </w:r>
      <w:proofErr w:type="spellEnd"/>
      <w:r w:rsidR="00FB4DEF">
        <w:rPr>
          <w:rFonts w:eastAsia="FlandersArtSans-Regular" w:cs="FlandersArtSans-Regular"/>
        </w:rPr>
        <w:t xml:space="preserve">)  </w:t>
      </w:r>
      <w:r w:rsidR="003B33BA">
        <w:rPr>
          <w:rFonts w:eastAsia="FlandersArtSans-Regular" w:cs="FlandersArtSans-Regular"/>
        </w:rPr>
        <w:t>had</w:t>
      </w:r>
      <w:proofErr w:type="gramEnd"/>
      <w:r w:rsidR="003B33BA">
        <w:rPr>
          <w:rFonts w:eastAsia="FlandersArtSans-Regular" w:cs="FlandersArtSans-Regular"/>
        </w:rPr>
        <w:t xml:space="preserve"> kunnen worden verkregen. Tot slot dient de exploitant van de BKG-installatie aan te tonen dat de betrokken biomassa in de feiten voldoet aan de RED</w:t>
      </w:r>
      <w:r w:rsidR="00FB4DEF">
        <w:rPr>
          <w:rFonts w:eastAsia="FlandersArtSans-Regular" w:cs="FlandersArtSans-Regular"/>
        </w:rPr>
        <w:t>II</w:t>
      </w:r>
      <w:r w:rsidR="003B33BA">
        <w:rPr>
          <w:rFonts w:eastAsia="FlandersArtSans-Regular" w:cs="FlandersArtSans-Regular"/>
        </w:rPr>
        <w:t>-criteria. Dit bewijs moet samen met het emissiejaarrapport geverifieerd worden door een externe verificatie-instelling</w:t>
      </w:r>
      <w:r w:rsidR="008F764A">
        <w:rPr>
          <w:rFonts w:eastAsia="FlandersArtSans-Regular" w:cs="FlandersArtSans-Regular"/>
        </w:rPr>
        <w:t xml:space="preserve">, </w:t>
      </w:r>
      <w:r w:rsidR="0035749E">
        <w:rPr>
          <w:rFonts w:eastAsia="FlandersArtSans-Regular" w:cs="FlandersArtSans-Regular"/>
        </w:rPr>
        <w:t>waarna het emissiejaarrapport t</w:t>
      </w:r>
      <w:r w:rsidR="008F764A">
        <w:rPr>
          <w:rFonts w:eastAsia="FlandersArtSans-Regular" w:cs="FlandersArtSans-Regular"/>
        </w:rPr>
        <w:t xml:space="preserve">er goedkeuring </w:t>
      </w:r>
      <w:r w:rsidR="0035749E">
        <w:rPr>
          <w:rFonts w:eastAsia="FlandersArtSans-Regular" w:cs="FlandersArtSans-Regular"/>
        </w:rPr>
        <w:t>wordt</w:t>
      </w:r>
      <w:r w:rsidR="008F764A">
        <w:rPr>
          <w:rFonts w:eastAsia="FlandersArtSans-Regular" w:cs="FlandersArtSans-Regular"/>
        </w:rPr>
        <w:t xml:space="preserve"> ingediend bij het VEKA</w:t>
      </w:r>
      <w:r w:rsidR="003B33BA">
        <w:rPr>
          <w:rFonts w:eastAsia="FlandersArtSans-Regular" w:cs="FlandersArtSans-Regular"/>
        </w:rPr>
        <w:t xml:space="preserve">. </w:t>
      </w:r>
    </w:p>
    <w:p w14:paraId="17AE23BB" w14:textId="1D5CA841" w:rsidR="003B33BA" w:rsidRPr="00216C30" w:rsidRDefault="003B33BA" w:rsidP="00A17ED3">
      <w:pPr>
        <w:spacing w:line="276" w:lineRule="auto"/>
        <w:ind w:left="480"/>
        <w:jc w:val="both"/>
        <w:rPr>
          <w:rFonts w:ascii="Verdana" w:eastAsia="Verdana" w:hAnsi="Verdana" w:cs="Verdana"/>
          <w:color w:val="000000" w:themeColor="text1"/>
          <w:sz w:val="18"/>
          <w:szCs w:val="18"/>
        </w:rPr>
      </w:pPr>
    </w:p>
    <w:p w14:paraId="20E36476" w14:textId="77777777" w:rsidR="00CC2F65" w:rsidRPr="00CC2F65" w:rsidRDefault="00CC2F65" w:rsidP="00CC2F65">
      <w:pPr>
        <w:jc w:val="both"/>
        <w:rPr>
          <w:lang w:eastAsia="en-US"/>
        </w:rPr>
      </w:pPr>
    </w:p>
    <w:p w14:paraId="03B5D65E" w14:textId="6B1015F9" w:rsidR="00167B98" w:rsidRDefault="00167B98" w:rsidP="0035749E">
      <w:pPr>
        <w:pStyle w:val="Kop1"/>
        <w:numPr>
          <w:ilvl w:val="0"/>
          <w:numId w:val="35"/>
        </w:numPr>
        <w:rPr>
          <w:rFonts w:asciiTheme="minorHAnsi" w:hAnsiTheme="minorHAnsi" w:cstheme="minorBidi"/>
          <w:b w:val="0"/>
          <w:bCs/>
          <w:szCs w:val="28"/>
          <w:lang w:val="nl-BE"/>
        </w:rPr>
      </w:pPr>
      <w:bookmarkStart w:id="36" w:name="_Toc120044312"/>
      <w:bookmarkStart w:id="37" w:name="_Toc120107396"/>
      <w:bookmarkStart w:id="38" w:name="_Toc120114917"/>
      <w:bookmarkStart w:id="39" w:name="_Toc153442989"/>
      <w:bookmarkEnd w:id="36"/>
      <w:bookmarkEnd w:id="37"/>
      <w:bookmarkEnd w:id="38"/>
      <w:r w:rsidRPr="5E1E3122">
        <w:rPr>
          <w:rFonts w:asciiTheme="minorHAnsi" w:hAnsiTheme="minorHAnsi" w:cstheme="minorBidi"/>
          <w:lang w:val="nl-BE"/>
        </w:rPr>
        <w:t>Bijlagen</w:t>
      </w:r>
      <w:bookmarkEnd w:id="39"/>
    </w:p>
    <w:p w14:paraId="0AE81AC1" w14:textId="5F305778" w:rsidR="00167B98" w:rsidRDefault="00167B98" w:rsidP="00167B98">
      <w:pPr>
        <w:rPr>
          <w:lang w:eastAsia="en-US"/>
        </w:rPr>
      </w:pPr>
    </w:p>
    <w:p w14:paraId="5FD8FB97" w14:textId="0C5C65D3" w:rsidR="00167B98" w:rsidRPr="00B3054E" w:rsidRDefault="00327E5A" w:rsidP="00B3054E">
      <w:pPr>
        <w:pStyle w:val="Kop2"/>
        <w:rPr>
          <w:rFonts w:asciiTheme="minorHAnsi" w:hAnsiTheme="minorHAnsi" w:cstheme="minorHAnsi"/>
        </w:rPr>
      </w:pPr>
      <w:bookmarkStart w:id="40" w:name="_Ref120200781"/>
      <w:bookmarkStart w:id="41" w:name="_Ref120200799"/>
      <w:bookmarkStart w:id="42" w:name="_Ref120200825"/>
      <w:bookmarkStart w:id="43" w:name="_Toc153442990"/>
      <w:r>
        <w:rPr>
          <w:rFonts w:asciiTheme="minorHAnsi" w:hAnsiTheme="minorHAnsi" w:cstheme="minorHAnsi"/>
          <w:color w:val="auto"/>
          <w:lang w:val="nl-BE"/>
        </w:rPr>
        <w:t>7</w:t>
      </w:r>
      <w:r w:rsidR="002369AB" w:rsidRPr="00B3054E">
        <w:rPr>
          <w:rFonts w:asciiTheme="minorHAnsi" w:hAnsiTheme="minorHAnsi" w:cstheme="minorHAnsi"/>
          <w:color w:val="auto"/>
          <w:lang w:val="nl-BE"/>
        </w:rPr>
        <w:t xml:space="preserve">.1. </w:t>
      </w:r>
      <w:r w:rsidR="00167B98" w:rsidRPr="00B3054E">
        <w:rPr>
          <w:rFonts w:asciiTheme="minorHAnsi" w:hAnsiTheme="minorHAnsi" w:cstheme="minorHAnsi"/>
          <w:color w:val="auto"/>
        </w:rPr>
        <w:t>Bijlage 1: Voorbeeldprocedure met certificaten</w:t>
      </w:r>
      <w:bookmarkEnd w:id="40"/>
      <w:bookmarkEnd w:id="41"/>
      <w:bookmarkEnd w:id="42"/>
      <w:bookmarkEnd w:id="43"/>
    </w:p>
    <w:p w14:paraId="409D815A" w14:textId="77777777" w:rsidR="00B25C5A" w:rsidRDefault="00B25C5A" w:rsidP="00B25C5A">
      <w:pPr>
        <w:rPr>
          <w:sz w:val="26"/>
          <w:szCs w:val="26"/>
        </w:rPr>
      </w:pPr>
    </w:p>
    <w:p w14:paraId="16A40851" w14:textId="77777777" w:rsidR="00B25C5A" w:rsidRDefault="00B25C5A" w:rsidP="00E6597D">
      <w:pPr>
        <w:jc w:val="both"/>
      </w:pPr>
      <w:r>
        <w:t>Een installatie met “</w:t>
      </w:r>
      <w:r w:rsidRPr="00F729F7">
        <w:rPr>
          <w:i/>
          <w:iCs/>
        </w:rPr>
        <w:t xml:space="preserve">start of </w:t>
      </w:r>
      <w:proofErr w:type="spellStart"/>
      <w:r w:rsidRPr="00F729F7">
        <w:rPr>
          <w:i/>
          <w:iCs/>
        </w:rPr>
        <w:t>operation</w:t>
      </w:r>
      <w:proofErr w:type="spellEnd"/>
      <w:r>
        <w:t xml:space="preserve">” in mei 2021 maakt in een WKK gebruik van hout afkomstig van bosbouw. </w:t>
      </w:r>
    </w:p>
    <w:p w14:paraId="5CA7BF85" w14:textId="77777777" w:rsidR="00BF11E3" w:rsidRDefault="00BF11E3" w:rsidP="00E6597D">
      <w:pPr>
        <w:jc w:val="both"/>
      </w:pPr>
    </w:p>
    <w:p w14:paraId="2DDFD7EE" w14:textId="77777777" w:rsidR="00B25C5A" w:rsidRDefault="00B25C5A" w:rsidP="00E6597D">
      <w:pPr>
        <w:jc w:val="both"/>
      </w:pPr>
      <w:r>
        <w:t xml:space="preserve">Met behulp van bovenstaande uitleg identificeert de exploitant de volgende relevante RED II-criteria: </w:t>
      </w:r>
    </w:p>
    <w:p w14:paraId="05820C04" w14:textId="77777777" w:rsidR="008B0EA6" w:rsidRDefault="008B0EA6" w:rsidP="00E6597D">
      <w:pPr>
        <w:jc w:val="both"/>
      </w:pPr>
    </w:p>
    <w:p w14:paraId="7F6B8A64" w14:textId="77777777" w:rsidR="00B25C5A" w:rsidRDefault="00B25C5A" w:rsidP="00E6597D">
      <w:pPr>
        <w:pStyle w:val="Lijstalinea"/>
        <w:numPr>
          <w:ilvl w:val="0"/>
          <w:numId w:val="26"/>
        </w:numPr>
        <w:spacing w:after="160" w:line="259" w:lineRule="auto"/>
        <w:contextualSpacing/>
        <w:jc w:val="both"/>
      </w:pPr>
      <w:r>
        <w:t xml:space="preserve">De duurzaamheidscriteria zijn relevant, aangezien het hout geen afval of residu is, maar het hoofdproduct van de bosbouwactiviteit; </w:t>
      </w:r>
    </w:p>
    <w:p w14:paraId="3378164C" w14:textId="77777777" w:rsidR="008B0EA6" w:rsidRDefault="008B0EA6" w:rsidP="00B3054E">
      <w:pPr>
        <w:pStyle w:val="Lijstalinea"/>
        <w:spacing w:after="160" w:line="259" w:lineRule="auto"/>
        <w:contextualSpacing/>
        <w:jc w:val="both"/>
      </w:pPr>
    </w:p>
    <w:p w14:paraId="5BA922BA" w14:textId="77777777" w:rsidR="00B25C5A" w:rsidRDefault="00B25C5A" w:rsidP="00E6597D">
      <w:pPr>
        <w:pStyle w:val="Lijstalinea"/>
        <w:numPr>
          <w:ilvl w:val="0"/>
          <w:numId w:val="26"/>
        </w:numPr>
        <w:spacing w:after="160" w:line="259" w:lineRule="auto"/>
        <w:contextualSpacing/>
        <w:jc w:val="both"/>
      </w:pPr>
      <w:r>
        <w:t xml:space="preserve">De biomassa is vast, maar de installatie is na begin 2021 in gebruik genomen. Daarom moet worden voldaan aan de broeikasgasemissiereductiecriteria. </w:t>
      </w:r>
    </w:p>
    <w:p w14:paraId="02A611EA" w14:textId="7C51B039" w:rsidR="00B25C5A" w:rsidRDefault="00B25C5A" w:rsidP="00E6597D">
      <w:pPr>
        <w:pStyle w:val="Lijstalinea"/>
        <w:numPr>
          <w:ilvl w:val="1"/>
          <w:numId w:val="26"/>
        </w:numPr>
        <w:spacing w:after="160" w:line="259" w:lineRule="auto"/>
        <w:contextualSpacing/>
        <w:jc w:val="both"/>
      </w:pPr>
      <w:r>
        <w:t xml:space="preserve">Na bespreking met een consultant die vertrouwd is met REDII-biomassacertificeringen, concludeert de exploitant dat de volgende informatie vereist is: </w:t>
      </w:r>
    </w:p>
    <w:p w14:paraId="3809F767" w14:textId="77777777" w:rsidR="00B25C5A" w:rsidRDefault="00B25C5A" w:rsidP="00E6597D">
      <w:pPr>
        <w:pStyle w:val="Lijstalinea"/>
        <w:numPr>
          <w:ilvl w:val="2"/>
          <w:numId w:val="26"/>
        </w:numPr>
        <w:spacing w:after="160" w:line="259" w:lineRule="auto"/>
        <w:contextualSpacing/>
        <w:jc w:val="both"/>
      </w:pPr>
      <w:r>
        <w:t>Emissies van teelt en kappen van de bomen;</w:t>
      </w:r>
    </w:p>
    <w:p w14:paraId="71650980" w14:textId="77777777" w:rsidR="00B25C5A" w:rsidRDefault="00B25C5A" w:rsidP="00E6597D">
      <w:pPr>
        <w:pStyle w:val="Lijstalinea"/>
        <w:numPr>
          <w:ilvl w:val="2"/>
          <w:numId w:val="26"/>
        </w:numPr>
        <w:spacing w:after="160" w:line="259" w:lineRule="auto"/>
        <w:contextualSpacing/>
        <w:jc w:val="both"/>
      </w:pPr>
      <w:r>
        <w:t>Emissies van wijzigingen in koolstofvoorraden als gevolg van veranderingen in landgebruik;</w:t>
      </w:r>
    </w:p>
    <w:p w14:paraId="4C2A7799" w14:textId="77777777" w:rsidR="00B25C5A" w:rsidRDefault="00B25C5A" w:rsidP="00E6597D">
      <w:pPr>
        <w:pStyle w:val="Lijstalinea"/>
        <w:numPr>
          <w:ilvl w:val="2"/>
          <w:numId w:val="26"/>
        </w:numPr>
        <w:spacing w:after="160" w:line="259" w:lineRule="auto"/>
        <w:contextualSpacing/>
        <w:jc w:val="both"/>
      </w:pPr>
      <w:r>
        <w:t>Eventuele emissies van verwerking van de ruwe houtblokken;</w:t>
      </w:r>
    </w:p>
    <w:p w14:paraId="143B0B6A" w14:textId="77777777" w:rsidR="00B25C5A" w:rsidRDefault="00B25C5A" w:rsidP="00E6597D">
      <w:pPr>
        <w:pStyle w:val="Lijstalinea"/>
        <w:numPr>
          <w:ilvl w:val="2"/>
          <w:numId w:val="26"/>
        </w:numPr>
        <w:spacing w:after="160" w:line="259" w:lineRule="auto"/>
        <w:contextualSpacing/>
        <w:jc w:val="both"/>
      </w:pPr>
      <w:r>
        <w:t>Emissies van vervoer (inclusief van het eerste inzamelpunt naar een opslagbedrijf, en vervolgens van het magazijn naar de EU ETS-installatie);</w:t>
      </w:r>
    </w:p>
    <w:p w14:paraId="3831AB63" w14:textId="77777777" w:rsidR="00B25C5A" w:rsidRDefault="00B25C5A" w:rsidP="00E6597D">
      <w:pPr>
        <w:pStyle w:val="Lijstalinea"/>
        <w:numPr>
          <w:ilvl w:val="2"/>
          <w:numId w:val="26"/>
        </w:numPr>
        <w:spacing w:after="160" w:line="259" w:lineRule="auto"/>
        <w:contextualSpacing/>
        <w:jc w:val="both"/>
      </w:pPr>
      <w:r>
        <w:t>Emissies van gebruik (hiervoor zijn operationele gegevens van de WKK-installatie nodig).</w:t>
      </w:r>
    </w:p>
    <w:p w14:paraId="7002400A" w14:textId="0420B9C3" w:rsidR="00B25C5A" w:rsidRDefault="00C77ECE" w:rsidP="00E6597D">
      <w:pPr>
        <w:jc w:val="both"/>
      </w:pPr>
      <w:r>
        <w:t xml:space="preserve">Om te bewijzen dat de biomassabronstroom voldoet aan de duurzaamheids- en broeikasgasemissiereductiecriteria </w:t>
      </w:r>
      <w:r w:rsidR="001C59FF">
        <w:t>moet</w:t>
      </w:r>
      <w:r w:rsidR="00B25C5A">
        <w:t xml:space="preserve"> de volledig</w:t>
      </w:r>
      <w:r w:rsidR="001C59FF">
        <w:t>e waardeketen</w:t>
      </w:r>
      <w:r w:rsidR="00B25C5A">
        <w:t xml:space="preserve"> onder een vrijwillige certificeringsregeling (“</w:t>
      </w:r>
      <w:proofErr w:type="spellStart"/>
      <w:r w:rsidR="00B25C5A" w:rsidRPr="00011444">
        <w:rPr>
          <w:i/>
          <w:iCs/>
        </w:rPr>
        <w:t>Voluntary</w:t>
      </w:r>
      <w:proofErr w:type="spellEnd"/>
      <w:r w:rsidR="00B25C5A" w:rsidRPr="00011444">
        <w:rPr>
          <w:i/>
          <w:iCs/>
        </w:rPr>
        <w:t xml:space="preserve"> </w:t>
      </w:r>
      <w:proofErr w:type="spellStart"/>
      <w:r w:rsidR="00B25C5A" w:rsidRPr="00011444">
        <w:rPr>
          <w:i/>
          <w:iCs/>
        </w:rPr>
        <w:t>Scheme</w:t>
      </w:r>
      <w:proofErr w:type="spellEnd"/>
      <w:r w:rsidR="00B25C5A">
        <w:t xml:space="preserve">”) vallen. Na opzoekwerk op de website van de Commissie wordt gekozen voor </w:t>
      </w:r>
      <w:proofErr w:type="gramStart"/>
      <w:r w:rsidR="00B25C5A">
        <w:t>het  (</w:t>
      </w:r>
      <w:proofErr w:type="gramEnd"/>
      <w:r w:rsidR="00B25C5A">
        <w:t>fictieve) CERT-systeem, dat begin 2022 door de Commissie is erkend.</w:t>
      </w:r>
    </w:p>
    <w:p w14:paraId="6D0AF2D6" w14:textId="77777777" w:rsidR="00B25C5A" w:rsidRDefault="00B25C5A" w:rsidP="00E6597D">
      <w:pPr>
        <w:jc w:val="both"/>
      </w:pPr>
    </w:p>
    <w:p w14:paraId="14B7D065" w14:textId="517E9C55" w:rsidR="00B25C5A" w:rsidRDefault="00B25C5A" w:rsidP="00E6597D">
      <w:pPr>
        <w:jc w:val="both"/>
      </w:pPr>
      <w:r>
        <w:t>Bij CERT wordt het magazijn van waaruit het hout geleverd wordt als marktdeelnemer (“</w:t>
      </w:r>
      <w:proofErr w:type="spellStart"/>
      <w:r w:rsidRPr="00011444">
        <w:rPr>
          <w:i/>
          <w:iCs/>
        </w:rPr>
        <w:t>economic</w:t>
      </w:r>
      <w:proofErr w:type="spellEnd"/>
      <w:r w:rsidRPr="00011444">
        <w:rPr>
          <w:i/>
          <w:iCs/>
        </w:rPr>
        <w:t xml:space="preserve"> operator</w:t>
      </w:r>
      <w:r>
        <w:t xml:space="preserve">”) gecertificeerd door de fictieve certificatie-instelling VERIFIC. VERIFIC </w:t>
      </w:r>
      <w:r w:rsidR="00A75328">
        <w:t xml:space="preserve">beslist dat de </w:t>
      </w:r>
      <w:r>
        <w:t xml:space="preserve">magazijnexploitant bewijzen </w:t>
      </w:r>
      <w:r w:rsidR="000826AA">
        <w:t xml:space="preserve">van duurzaamheid </w:t>
      </w:r>
      <w:r>
        <w:t>(</w:t>
      </w:r>
      <w:proofErr w:type="spellStart"/>
      <w:r>
        <w:t>PoS</w:t>
      </w:r>
      <w:proofErr w:type="spellEnd"/>
      <w:r>
        <w:t xml:space="preserve">) mag </w:t>
      </w:r>
      <w:r w:rsidR="008934D6">
        <w:t>genereren</w:t>
      </w:r>
      <w:r>
        <w:t xml:space="preserve"> die het bewijs leveren van de </w:t>
      </w:r>
      <w:r>
        <w:lastRenderedPageBreak/>
        <w:t xml:space="preserve">naleving van alle relevante duurzaamheids- en broeikasgasemissiereductiecriteria. Deze bevatten eveneens de informatie over transport en gebruiksemissies, op voorwaarde dat de vervoerswijze (trein of vrachtwagen) altijd wordt bevestigd op de leveringsbonnen, en dat de EU-ETS-exploitant operationele gegevens verstrekt over de WKK-installatie. </w:t>
      </w:r>
    </w:p>
    <w:p w14:paraId="410F77B0" w14:textId="77777777" w:rsidR="00B25C5A" w:rsidRDefault="00B25C5A" w:rsidP="00E6597D">
      <w:pPr>
        <w:jc w:val="both"/>
      </w:pPr>
    </w:p>
    <w:p w14:paraId="215FB127" w14:textId="6AC27500" w:rsidR="00B25C5A" w:rsidRDefault="00B25C5A" w:rsidP="00E6597D">
      <w:pPr>
        <w:jc w:val="both"/>
      </w:pPr>
      <w:r>
        <w:t>De auditor van VERIFIC brengt voor de initiële audit een bezoek aan de EU ETS-installatie en aan het magazijn. Op basis van een risicobeoordeling vereist VERIFIC verdere audits om de twee jaar.</w:t>
      </w:r>
    </w:p>
    <w:p w14:paraId="200992B6" w14:textId="77777777" w:rsidR="00B25C5A" w:rsidRDefault="00B25C5A" w:rsidP="00E6597D">
      <w:pPr>
        <w:jc w:val="both"/>
      </w:pPr>
    </w:p>
    <w:p w14:paraId="6F1BDFD6" w14:textId="77777777" w:rsidR="00B25C5A" w:rsidRDefault="00B25C5A" w:rsidP="00E6597D">
      <w:pPr>
        <w:jc w:val="both"/>
      </w:pPr>
      <w:r>
        <w:rPr>
          <w:b/>
          <w:bCs/>
        </w:rPr>
        <w:t>Voorbeeldp</w:t>
      </w:r>
      <w:r w:rsidRPr="00CD5503">
        <w:rPr>
          <w:b/>
          <w:bCs/>
        </w:rPr>
        <w:t>rocedure</w:t>
      </w:r>
      <w:r>
        <w:t>:</w:t>
      </w:r>
    </w:p>
    <w:p w14:paraId="1B66F733" w14:textId="77777777" w:rsidR="00B25C5A" w:rsidRDefault="00B25C5A" w:rsidP="00E6597D">
      <w:pPr>
        <w:pStyle w:val="Lijstalinea"/>
        <w:numPr>
          <w:ilvl w:val="0"/>
          <w:numId w:val="27"/>
        </w:numPr>
        <w:spacing w:after="160" w:line="259" w:lineRule="auto"/>
        <w:contextualSpacing/>
        <w:jc w:val="both"/>
      </w:pPr>
      <w:r>
        <w:t>Het ploegpersoneel bij de toegangspoort wordt geïnstrueerd om elke levering van een partij hout aan de verantwoordelijke manager te melden.</w:t>
      </w:r>
    </w:p>
    <w:p w14:paraId="58262D14" w14:textId="77777777" w:rsidR="00B25C5A" w:rsidRDefault="00B25C5A" w:rsidP="00E6597D">
      <w:pPr>
        <w:pStyle w:val="Lijstalinea"/>
        <w:numPr>
          <w:ilvl w:val="0"/>
          <w:numId w:val="27"/>
        </w:numPr>
        <w:spacing w:after="160" w:line="259" w:lineRule="auto"/>
        <w:contextualSpacing/>
        <w:jc w:val="both"/>
      </w:pPr>
      <w:r>
        <w:t>De verantwoordelijke manager verzamelt de leveringsnota's, die met name de hoeveelheid, de vervoerswijze en een uniek referentienummer bevat zodanig dat de massabalans van het magazijn gecontroleerd kan worden.</w:t>
      </w:r>
    </w:p>
    <w:p w14:paraId="4B9C3208" w14:textId="01404A5D" w:rsidR="00B25C5A" w:rsidRDefault="00B25C5A" w:rsidP="00E6597D">
      <w:pPr>
        <w:pStyle w:val="Lijstalinea"/>
        <w:numPr>
          <w:ilvl w:val="0"/>
          <w:numId w:val="27"/>
        </w:numPr>
        <w:spacing w:after="160" w:line="259" w:lineRule="auto"/>
        <w:contextualSpacing/>
        <w:jc w:val="both"/>
      </w:pPr>
      <w:r>
        <w:t>Elke 2</w:t>
      </w:r>
      <w:r w:rsidRPr="00CD5503">
        <w:rPr>
          <w:vertAlign w:val="superscript"/>
        </w:rPr>
        <w:t>e</w:t>
      </w:r>
      <w:r>
        <w:t xml:space="preserve"> werkdag van de maand vraagt de milieudienst van het ETS-bedrijf de </w:t>
      </w:r>
      <w:r w:rsidR="000826AA">
        <w:t xml:space="preserve">bewijzen van duurzaamheid </w:t>
      </w:r>
      <w:r>
        <w:t>(</w:t>
      </w:r>
      <w:proofErr w:type="spellStart"/>
      <w:r>
        <w:t>PoS</w:t>
      </w:r>
      <w:proofErr w:type="spellEnd"/>
      <w:r>
        <w:t xml:space="preserve">) op bij het magazijn. Na ontvangst wordt gecontroleerd of alle </w:t>
      </w:r>
      <w:proofErr w:type="spellStart"/>
      <w:r>
        <w:t>PoS</w:t>
      </w:r>
      <w:proofErr w:type="spellEnd"/>
      <w:r>
        <w:t xml:space="preserve"> aanwezig zijn. Indien bewijzen ontbreken, wordt de massa van die levering genoteerd als "</w:t>
      </w:r>
      <w:r w:rsidRPr="0077759A">
        <w:rPr>
          <w:i/>
          <w:iCs/>
        </w:rPr>
        <w:t>niet RED II-conform</w:t>
      </w:r>
      <w:r>
        <w:t>", en worden de emissies ervan in het jaarlijkse emissieverslag gezien als fossiel (a.d.h.v. de standaardemissiefactor in het monitoringplan).</w:t>
      </w:r>
    </w:p>
    <w:p w14:paraId="4238279C" w14:textId="77777777" w:rsidR="00B25C5A" w:rsidRDefault="00B25C5A" w:rsidP="00E6597D">
      <w:pPr>
        <w:pStyle w:val="Lijstalinea"/>
        <w:numPr>
          <w:ilvl w:val="0"/>
          <w:numId w:val="27"/>
        </w:numPr>
        <w:spacing w:after="160" w:line="259" w:lineRule="auto"/>
        <w:contextualSpacing/>
        <w:jc w:val="both"/>
      </w:pPr>
      <w:r>
        <w:t>Elk jaar, drie weken voor het einde van de geldigheidsduur van het certificaat, neemt de milieudienst van het ETS-bedrijf contact op met het magazijn met het verzoek om een kopie van het laatste/nieuwe certificaat. Er wordt een herinnering ingesteld voor de volgende dergelijke gebeurtenis in de kalender van de milieudienst van het ETS-bedrijf.</w:t>
      </w:r>
    </w:p>
    <w:p w14:paraId="7F54692E" w14:textId="77777777" w:rsidR="00B25C5A" w:rsidRDefault="00B25C5A" w:rsidP="00E6597D">
      <w:pPr>
        <w:pStyle w:val="Lijstalinea"/>
        <w:numPr>
          <w:ilvl w:val="0"/>
          <w:numId w:val="27"/>
        </w:numPr>
        <w:spacing w:after="160" w:line="259" w:lineRule="auto"/>
        <w:contextualSpacing/>
        <w:jc w:val="both"/>
      </w:pPr>
      <w:r>
        <w:t>Elk jaar, zes maanden voor het einde van de geldigheidsduur van het certificaat, neemt de milieudienst van het ETS-bedrijf contact op met het magazijn met de vraag naar de planning van de volgende audit, d.w.z. of het opnieuw VERIFIC zal zijn die de audit uitvoert, en of en wanneer een bezoek ter plaatse bij de EU ETS-installatie is gepland. In de kalender van de milieudienst van het ETS-bedrijf worden herinneringen ingesteld.</w:t>
      </w:r>
    </w:p>
    <w:p w14:paraId="6453FDEC" w14:textId="77777777" w:rsidR="00B25C5A" w:rsidRDefault="00B25C5A" w:rsidP="00E6597D">
      <w:pPr>
        <w:pStyle w:val="Lijstalinea"/>
        <w:numPr>
          <w:ilvl w:val="0"/>
          <w:numId w:val="27"/>
        </w:numPr>
        <w:spacing w:after="160" w:line="259" w:lineRule="auto"/>
        <w:contextualSpacing/>
        <w:jc w:val="both"/>
      </w:pPr>
      <w:r>
        <w:t>Elk jaar in november neemt de milieudienst van het ETS-bedrijf contact op met CERT, om na te gaan of de erkenning van de Commissie nog steeds geldig is. Zo niet, zal de milieudienst van het ETS-bedrijf verslag uitbrengen aan de CEO met het verzoek om een mandaat om een nieuwe certificeringsregeling te zoeken.</w:t>
      </w:r>
    </w:p>
    <w:p w14:paraId="05413C73" w14:textId="77777777" w:rsidR="00B25C5A" w:rsidRPr="00F729F7" w:rsidRDefault="00B25C5A" w:rsidP="00E6597D">
      <w:pPr>
        <w:pStyle w:val="Lijstalinea"/>
        <w:numPr>
          <w:ilvl w:val="0"/>
          <w:numId w:val="27"/>
        </w:numPr>
        <w:spacing w:after="160" w:line="259" w:lineRule="auto"/>
        <w:contextualSpacing/>
        <w:jc w:val="both"/>
      </w:pPr>
      <w:r w:rsidRPr="006C3948">
        <w:t xml:space="preserve">Elk jaar op de </w:t>
      </w:r>
      <w:r>
        <w:t>2</w:t>
      </w:r>
      <w:r w:rsidRPr="006C3948">
        <w:rPr>
          <w:vertAlign w:val="superscript"/>
        </w:rPr>
        <w:t>e</w:t>
      </w:r>
      <w:r>
        <w:t xml:space="preserve"> week van </w:t>
      </w:r>
      <w:proofErr w:type="gramStart"/>
      <w:r>
        <w:t>januari  compileert</w:t>
      </w:r>
      <w:proofErr w:type="gramEnd"/>
      <w:r>
        <w:t xml:space="preserve"> de milieudienst van het ETS-bedrijf alle voorgaande stappen en geeft deze aan de ETS verificateur die instaat voor de verificatie van het emissiejaarrapport (EJR). De milieudienst van het ETS-bedrijf bewaart alle gerelateerde informatie gedurende een periode van 10 jaar.</w:t>
      </w:r>
    </w:p>
    <w:p w14:paraId="37BADC59" w14:textId="77777777" w:rsidR="00B25C5A" w:rsidRPr="00904220" w:rsidRDefault="00B25C5A" w:rsidP="00E6597D">
      <w:pPr>
        <w:jc w:val="both"/>
        <w:rPr>
          <w:sz w:val="26"/>
          <w:szCs w:val="26"/>
        </w:rPr>
      </w:pPr>
    </w:p>
    <w:p w14:paraId="78CC3D62" w14:textId="77777777" w:rsidR="00A256ED" w:rsidRDefault="00A256ED" w:rsidP="00A256ED">
      <w:pPr>
        <w:rPr>
          <w:sz w:val="26"/>
          <w:szCs w:val="26"/>
        </w:rPr>
      </w:pPr>
    </w:p>
    <w:p w14:paraId="0F903EDE" w14:textId="77777777" w:rsidR="00A256ED" w:rsidRPr="00904220" w:rsidRDefault="00A256ED" w:rsidP="00904220">
      <w:pPr>
        <w:rPr>
          <w:sz w:val="26"/>
          <w:szCs w:val="26"/>
        </w:rPr>
      </w:pPr>
    </w:p>
    <w:p w14:paraId="771F9A1E" w14:textId="7D940E91" w:rsidR="003F53CC" w:rsidRPr="00904220" w:rsidRDefault="00353601" w:rsidP="00904220">
      <w:pPr>
        <w:spacing w:after="160" w:line="259" w:lineRule="auto"/>
        <w:rPr>
          <w:sz w:val="26"/>
          <w:szCs w:val="26"/>
        </w:rPr>
      </w:pPr>
      <w:r>
        <w:rPr>
          <w:sz w:val="26"/>
          <w:szCs w:val="26"/>
        </w:rPr>
        <w:br w:type="page"/>
      </w:r>
    </w:p>
    <w:p w14:paraId="700C98B7" w14:textId="477A8552" w:rsidR="002A65FD" w:rsidRDefault="002A65FD" w:rsidP="0035749E">
      <w:pPr>
        <w:pStyle w:val="Kop1"/>
        <w:numPr>
          <w:ilvl w:val="0"/>
          <w:numId w:val="35"/>
        </w:numPr>
        <w:rPr>
          <w:rFonts w:asciiTheme="minorHAnsi" w:hAnsiTheme="minorHAnsi" w:cstheme="minorBidi"/>
          <w:b w:val="0"/>
          <w:bCs/>
          <w:szCs w:val="28"/>
          <w:lang w:val="nl-BE"/>
        </w:rPr>
      </w:pPr>
      <w:bookmarkStart w:id="44" w:name="_Toc120044314"/>
      <w:bookmarkStart w:id="45" w:name="_Toc120107398"/>
      <w:bookmarkStart w:id="46" w:name="_Toc120114919"/>
      <w:bookmarkStart w:id="47" w:name="_Toc153442991"/>
      <w:bookmarkEnd w:id="44"/>
      <w:bookmarkEnd w:id="45"/>
      <w:bookmarkEnd w:id="46"/>
      <w:r w:rsidRPr="5E1E3122">
        <w:rPr>
          <w:rFonts w:asciiTheme="minorHAnsi" w:hAnsiTheme="minorHAnsi" w:cstheme="minorBidi"/>
          <w:lang w:val="nl-BE"/>
        </w:rPr>
        <w:lastRenderedPageBreak/>
        <w:t>Versiebeheer van deze toelichting</w:t>
      </w:r>
      <w:bookmarkEnd w:id="47"/>
    </w:p>
    <w:p w14:paraId="307A2D72" w14:textId="77777777" w:rsidR="002A65FD" w:rsidRPr="00804584" w:rsidRDefault="002A65FD" w:rsidP="00804584"/>
    <w:tbl>
      <w:tblPr>
        <w:tblStyle w:val="Tabelraster"/>
        <w:tblW w:w="0" w:type="auto"/>
        <w:tblLook w:val="04A0" w:firstRow="1" w:lastRow="0" w:firstColumn="1" w:lastColumn="0" w:noHBand="0" w:noVBand="1"/>
      </w:tblPr>
      <w:tblGrid>
        <w:gridCol w:w="988"/>
        <w:gridCol w:w="1984"/>
        <w:gridCol w:w="6044"/>
      </w:tblGrid>
      <w:tr w:rsidR="002A65FD" w14:paraId="286FE3A7" w14:textId="77777777" w:rsidTr="00E6597D">
        <w:tc>
          <w:tcPr>
            <w:tcW w:w="988" w:type="dxa"/>
            <w:tcBorders>
              <w:top w:val="single" w:sz="4" w:space="0" w:color="auto"/>
              <w:left w:val="single" w:sz="4" w:space="0" w:color="auto"/>
              <w:bottom w:val="single" w:sz="4" w:space="0" w:color="auto"/>
              <w:right w:val="single" w:sz="4" w:space="0" w:color="auto"/>
            </w:tcBorders>
            <w:shd w:val="pct10" w:color="auto" w:fill="auto"/>
            <w:hideMark/>
          </w:tcPr>
          <w:p w14:paraId="27D135B3" w14:textId="77777777" w:rsidR="002A65FD" w:rsidRPr="0066724E" w:rsidRDefault="002A65FD" w:rsidP="00E6597D">
            <w:pPr>
              <w:jc w:val="both"/>
              <w:rPr>
                <w:rFonts w:cstheme="minorHAnsi"/>
                <w:b/>
                <w:bCs/>
              </w:rPr>
            </w:pPr>
            <w:r w:rsidRPr="0066724E">
              <w:rPr>
                <w:rFonts w:cstheme="minorHAnsi"/>
                <w:b/>
                <w:bCs/>
              </w:rPr>
              <w:t>Versie</w:t>
            </w:r>
          </w:p>
        </w:tc>
        <w:tc>
          <w:tcPr>
            <w:tcW w:w="1984" w:type="dxa"/>
            <w:tcBorders>
              <w:top w:val="single" w:sz="4" w:space="0" w:color="auto"/>
              <w:left w:val="single" w:sz="4" w:space="0" w:color="auto"/>
              <w:bottom w:val="single" w:sz="4" w:space="0" w:color="auto"/>
              <w:right w:val="single" w:sz="4" w:space="0" w:color="auto"/>
            </w:tcBorders>
            <w:shd w:val="pct10" w:color="auto" w:fill="auto"/>
            <w:hideMark/>
          </w:tcPr>
          <w:p w14:paraId="2005D2D2" w14:textId="77777777" w:rsidR="002A65FD" w:rsidRPr="0066724E" w:rsidRDefault="002A65FD" w:rsidP="00E6597D">
            <w:pPr>
              <w:jc w:val="both"/>
              <w:rPr>
                <w:rFonts w:cstheme="minorHAnsi"/>
                <w:b/>
                <w:bCs/>
              </w:rPr>
            </w:pPr>
            <w:r w:rsidRPr="0066724E">
              <w:rPr>
                <w:rFonts w:cstheme="minorHAnsi"/>
                <w:b/>
                <w:bCs/>
              </w:rPr>
              <w:t>Datum</w:t>
            </w:r>
          </w:p>
        </w:tc>
        <w:tc>
          <w:tcPr>
            <w:tcW w:w="6044" w:type="dxa"/>
            <w:tcBorders>
              <w:top w:val="single" w:sz="4" w:space="0" w:color="auto"/>
              <w:left w:val="single" w:sz="4" w:space="0" w:color="auto"/>
              <w:bottom w:val="single" w:sz="4" w:space="0" w:color="auto"/>
              <w:right w:val="single" w:sz="4" w:space="0" w:color="auto"/>
            </w:tcBorders>
            <w:shd w:val="pct10" w:color="auto" w:fill="auto"/>
            <w:hideMark/>
          </w:tcPr>
          <w:p w14:paraId="1A757E02" w14:textId="77777777" w:rsidR="002A65FD" w:rsidRPr="0066724E" w:rsidRDefault="002A65FD" w:rsidP="00E6597D">
            <w:pPr>
              <w:jc w:val="both"/>
              <w:rPr>
                <w:rFonts w:cstheme="minorHAnsi"/>
                <w:b/>
                <w:bCs/>
              </w:rPr>
            </w:pPr>
            <w:r w:rsidRPr="0066724E">
              <w:rPr>
                <w:rFonts w:cstheme="minorHAnsi"/>
                <w:b/>
                <w:bCs/>
              </w:rPr>
              <w:t>Omschrijving</w:t>
            </w:r>
          </w:p>
        </w:tc>
      </w:tr>
      <w:tr w:rsidR="002A65FD" w14:paraId="09BEAB2B" w14:textId="77777777" w:rsidTr="00E6597D">
        <w:tc>
          <w:tcPr>
            <w:tcW w:w="988" w:type="dxa"/>
            <w:tcBorders>
              <w:top w:val="single" w:sz="4" w:space="0" w:color="auto"/>
              <w:left w:val="single" w:sz="4" w:space="0" w:color="auto"/>
              <w:bottom w:val="single" w:sz="4" w:space="0" w:color="auto"/>
              <w:right w:val="single" w:sz="4" w:space="0" w:color="auto"/>
            </w:tcBorders>
            <w:hideMark/>
          </w:tcPr>
          <w:p w14:paraId="677D37BC" w14:textId="77777777" w:rsidR="002A65FD" w:rsidRDefault="002A65FD" w:rsidP="00E6597D">
            <w:pPr>
              <w:jc w:val="both"/>
              <w:rPr>
                <w:rFonts w:cstheme="minorHAnsi"/>
              </w:rPr>
            </w:pPr>
            <w:r>
              <w:rPr>
                <w:rFonts w:cstheme="minorHAnsi"/>
              </w:rPr>
              <w:t>1</w:t>
            </w:r>
          </w:p>
        </w:tc>
        <w:tc>
          <w:tcPr>
            <w:tcW w:w="1984" w:type="dxa"/>
            <w:tcBorders>
              <w:top w:val="single" w:sz="4" w:space="0" w:color="auto"/>
              <w:left w:val="single" w:sz="4" w:space="0" w:color="auto"/>
              <w:bottom w:val="single" w:sz="4" w:space="0" w:color="auto"/>
              <w:right w:val="single" w:sz="4" w:space="0" w:color="auto"/>
            </w:tcBorders>
            <w:hideMark/>
          </w:tcPr>
          <w:p w14:paraId="49D01EBB" w14:textId="05903979" w:rsidR="002A65FD" w:rsidRPr="002827C1" w:rsidRDefault="00B3054E" w:rsidP="00E6597D">
            <w:pPr>
              <w:jc w:val="both"/>
              <w:rPr>
                <w:rFonts w:cstheme="minorHAnsi"/>
                <w:lang w:val="nl-BE"/>
              </w:rPr>
            </w:pPr>
            <w:r>
              <w:rPr>
                <w:rFonts w:cstheme="minorHAnsi"/>
                <w:lang w:val="nl-BE"/>
              </w:rPr>
              <w:t>1</w:t>
            </w:r>
            <w:r w:rsidR="00904220">
              <w:rPr>
                <w:rFonts w:cstheme="minorHAnsi"/>
                <w:lang w:val="nl-BE"/>
              </w:rPr>
              <w:t xml:space="preserve"> </w:t>
            </w:r>
            <w:r>
              <w:rPr>
                <w:rFonts w:cstheme="minorHAnsi"/>
                <w:lang w:val="nl-BE"/>
              </w:rPr>
              <w:t>december</w:t>
            </w:r>
            <w:r w:rsidR="004305CF">
              <w:rPr>
                <w:rFonts w:cstheme="minorHAnsi"/>
              </w:rPr>
              <w:t xml:space="preserve"> </w:t>
            </w:r>
            <w:r w:rsidR="004305CF">
              <w:rPr>
                <w:rFonts w:cstheme="minorHAnsi"/>
                <w:lang w:val="nl-BE"/>
              </w:rPr>
              <w:t>20</w:t>
            </w:r>
            <w:r w:rsidR="002827C1">
              <w:rPr>
                <w:rFonts w:cstheme="minorHAnsi"/>
                <w:lang w:val="nl-BE"/>
              </w:rPr>
              <w:t>22</w:t>
            </w:r>
          </w:p>
        </w:tc>
        <w:tc>
          <w:tcPr>
            <w:tcW w:w="6044" w:type="dxa"/>
            <w:tcBorders>
              <w:top w:val="single" w:sz="4" w:space="0" w:color="auto"/>
              <w:left w:val="single" w:sz="4" w:space="0" w:color="auto"/>
              <w:bottom w:val="single" w:sz="4" w:space="0" w:color="auto"/>
              <w:right w:val="single" w:sz="4" w:space="0" w:color="auto"/>
            </w:tcBorders>
            <w:hideMark/>
          </w:tcPr>
          <w:p w14:paraId="5037DA4D" w14:textId="60F21921" w:rsidR="002A65FD" w:rsidRPr="00A004AB" w:rsidRDefault="002A65FD" w:rsidP="00E6597D">
            <w:pPr>
              <w:jc w:val="both"/>
              <w:rPr>
                <w:rFonts w:cstheme="minorHAnsi"/>
                <w:lang w:val="nl-BE"/>
              </w:rPr>
            </w:pPr>
            <w:r>
              <w:rPr>
                <w:rFonts w:cstheme="minorHAnsi"/>
              </w:rPr>
              <w:t>Initiële toelichting</w:t>
            </w:r>
            <w:r w:rsidR="004305CF">
              <w:rPr>
                <w:rFonts w:cstheme="minorHAnsi"/>
                <w:lang w:val="nl-BE"/>
              </w:rPr>
              <w:t>.</w:t>
            </w:r>
          </w:p>
        </w:tc>
      </w:tr>
      <w:tr w:rsidR="00E64F56" w:rsidRPr="004305CF" w14:paraId="76F95F13" w14:textId="77777777" w:rsidTr="00E6597D">
        <w:tc>
          <w:tcPr>
            <w:tcW w:w="988" w:type="dxa"/>
            <w:tcBorders>
              <w:top w:val="single" w:sz="4" w:space="0" w:color="auto"/>
              <w:left w:val="single" w:sz="4" w:space="0" w:color="auto"/>
              <w:bottom w:val="single" w:sz="4" w:space="0" w:color="auto"/>
              <w:right w:val="single" w:sz="4" w:space="0" w:color="auto"/>
            </w:tcBorders>
          </w:tcPr>
          <w:p w14:paraId="7EBE34A8" w14:textId="1BB3583D" w:rsidR="00E64F56" w:rsidRPr="00A004AB" w:rsidRDefault="004305CF" w:rsidP="00E6597D">
            <w:pPr>
              <w:jc w:val="both"/>
              <w:rPr>
                <w:rFonts w:cstheme="minorHAnsi"/>
                <w:lang w:val="nl-BE"/>
              </w:rPr>
            </w:pPr>
            <w:r>
              <w:rPr>
                <w:rFonts w:cstheme="minorHAnsi"/>
                <w:lang w:val="nl-BE"/>
              </w:rPr>
              <w:t>2</w:t>
            </w:r>
          </w:p>
        </w:tc>
        <w:tc>
          <w:tcPr>
            <w:tcW w:w="1984" w:type="dxa"/>
            <w:tcBorders>
              <w:top w:val="single" w:sz="4" w:space="0" w:color="auto"/>
              <w:left w:val="single" w:sz="4" w:space="0" w:color="auto"/>
              <w:bottom w:val="single" w:sz="4" w:space="0" w:color="auto"/>
              <w:right w:val="single" w:sz="4" w:space="0" w:color="auto"/>
            </w:tcBorders>
          </w:tcPr>
          <w:p w14:paraId="61F71AAC" w14:textId="3794347F" w:rsidR="00E64F56" w:rsidRPr="00A004AB" w:rsidRDefault="004305CF" w:rsidP="00E6597D">
            <w:pPr>
              <w:jc w:val="both"/>
              <w:rPr>
                <w:rFonts w:cstheme="minorHAnsi"/>
                <w:lang w:val="nl-BE"/>
              </w:rPr>
            </w:pPr>
            <w:r>
              <w:rPr>
                <w:rFonts w:cstheme="minorHAnsi"/>
                <w:lang w:val="nl-BE"/>
              </w:rPr>
              <w:t>19 januari 2023</w:t>
            </w:r>
          </w:p>
        </w:tc>
        <w:tc>
          <w:tcPr>
            <w:tcW w:w="6044" w:type="dxa"/>
            <w:tcBorders>
              <w:top w:val="single" w:sz="4" w:space="0" w:color="auto"/>
              <w:left w:val="single" w:sz="4" w:space="0" w:color="auto"/>
              <w:bottom w:val="single" w:sz="4" w:space="0" w:color="auto"/>
              <w:right w:val="single" w:sz="4" w:space="0" w:color="auto"/>
            </w:tcBorders>
          </w:tcPr>
          <w:p w14:paraId="5FC72C3F" w14:textId="2BC9348F" w:rsidR="00E64F56" w:rsidRPr="00A004AB" w:rsidRDefault="004305CF" w:rsidP="00E6597D">
            <w:pPr>
              <w:jc w:val="both"/>
              <w:rPr>
                <w:rFonts w:cstheme="minorHAnsi"/>
                <w:lang w:val="nl-BE"/>
              </w:rPr>
            </w:pPr>
            <w:r w:rsidRPr="004305CF">
              <w:rPr>
                <w:rFonts w:cstheme="minorHAnsi"/>
              </w:rPr>
              <w:t xml:space="preserve">Toevoeging </w:t>
            </w:r>
            <w:r w:rsidRPr="00A004AB">
              <w:rPr>
                <w:rFonts w:cstheme="minorHAnsi"/>
                <w:lang w:val="nl-BE"/>
              </w:rPr>
              <w:t xml:space="preserve">van een </w:t>
            </w:r>
            <w:r w:rsidRPr="004305CF">
              <w:rPr>
                <w:rFonts w:cstheme="minorHAnsi"/>
              </w:rPr>
              <w:t>voetnoot i</w:t>
            </w:r>
            <w:r w:rsidRPr="00A004AB">
              <w:rPr>
                <w:rFonts w:cstheme="minorHAnsi"/>
                <w:lang w:val="nl-BE"/>
              </w:rPr>
              <w:t xml:space="preserve">.v.m. </w:t>
            </w:r>
            <w:proofErr w:type="gramStart"/>
            <w:r>
              <w:rPr>
                <w:rFonts w:cstheme="minorHAnsi"/>
                <w:lang w:val="nl-BE"/>
              </w:rPr>
              <w:t>de</w:t>
            </w:r>
            <w:proofErr w:type="gramEnd"/>
            <w:r>
              <w:rPr>
                <w:rFonts w:cstheme="minorHAnsi"/>
                <w:lang w:val="nl-BE"/>
              </w:rPr>
              <w:t xml:space="preserve"> </w:t>
            </w:r>
            <w:r w:rsidRPr="00A004AB">
              <w:rPr>
                <w:rFonts w:cstheme="minorHAnsi"/>
                <w:lang w:val="nl-BE"/>
              </w:rPr>
              <w:t xml:space="preserve">Europese toelichting </w:t>
            </w:r>
            <w:r w:rsidRPr="004305CF">
              <w:rPr>
                <w:rFonts w:cstheme="minorHAnsi"/>
              </w:rPr>
              <w:t>“</w:t>
            </w:r>
            <w:proofErr w:type="spellStart"/>
            <w:r w:rsidRPr="004305CF">
              <w:rPr>
                <w:rFonts w:cstheme="minorHAnsi"/>
              </w:rPr>
              <w:t>Key</w:t>
            </w:r>
            <w:proofErr w:type="spellEnd"/>
            <w:r w:rsidRPr="004305CF">
              <w:rPr>
                <w:rFonts w:cstheme="minorHAnsi"/>
              </w:rPr>
              <w:t xml:space="preserve"> </w:t>
            </w:r>
            <w:proofErr w:type="spellStart"/>
            <w:r w:rsidRPr="004305CF">
              <w:rPr>
                <w:rFonts w:cstheme="minorHAnsi"/>
              </w:rPr>
              <w:t>guidance</w:t>
            </w:r>
            <w:proofErr w:type="spellEnd"/>
            <w:r w:rsidRPr="004305CF">
              <w:rPr>
                <w:rFonts w:cstheme="minorHAnsi"/>
              </w:rPr>
              <w:t xml:space="preserve"> </w:t>
            </w:r>
            <w:proofErr w:type="spellStart"/>
            <w:r w:rsidRPr="004305CF">
              <w:rPr>
                <w:rFonts w:cstheme="minorHAnsi"/>
              </w:rPr>
              <w:t>note</w:t>
            </w:r>
            <w:proofErr w:type="spellEnd"/>
            <w:r w:rsidRPr="004305CF">
              <w:rPr>
                <w:rFonts w:cstheme="minorHAnsi"/>
              </w:rPr>
              <w:t xml:space="preserve"> II.3 on </w:t>
            </w:r>
            <w:proofErr w:type="spellStart"/>
            <w:r w:rsidRPr="004305CF">
              <w:rPr>
                <w:rFonts w:cstheme="minorHAnsi"/>
              </w:rPr>
              <w:t>process</w:t>
            </w:r>
            <w:proofErr w:type="spellEnd"/>
            <w:r w:rsidRPr="004305CF">
              <w:rPr>
                <w:rFonts w:cstheme="minorHAnsi"/>
              </w:rPr>
              <w:t xml:space="preserve"> analysis”</w:t>
            </w:r>
            <w:r>
              <w:rPr>
                <w:rFonts w:cstheme="minorHAnsi"/>
                <w:lang w:val="nl-BE"/>
              </w:rPr>
              <w:t>.</w:t>
            </w:r>
          </w:p>
        </w:tc>
      </w:tr>
      <w:tr w:rsidR="008A4F2A" w:rsidRPr="004305CF" w14:paraId="528B86B4" w14:textId="77777777" w:rsidTr="00E6597D">
        <w:tc>
          <w:tcPr>
            <w:tcW w:w="988" w:type="dxa"/>
            <w:tcBorders>
              <w:top w:val="single" w:sz="4" w:space="0" w:color="auto"/>
              <w:left w:val="single" w:sz="4" w:space="0" w:color="auto"/>
              <w:bottom w:val="single" w:sz="4" w:space="0" w:color="auto"/>
              <w:right w:val="single" w:sz="4" w:space="0" w:color="auto"/>
            </w:tcBorders>
          </w:tcPr>
          <w:p w14:paraId="74A36E7C" w14:textId="3FA3C2E8" w:rsidR="008A4F2A" w:rsidRPr="007C3E43" w:rsidRDefault="008A4F2A" w:rsidP="00E6597D">
            <w:pPr>
              <w:jc w:val="both"/>
              <w:rPr>
                <w:rFonts w:cstheme="minorHAnsi"/>
                <w:lang w:val="nl-BE"/>
              </w:rPr>
            </w:pPr>
            <w:r>
              <w:rPr>
                <w:rFonts w:cstheme="minorHAnsi"/>
                <w:lang w:val="nl-BE"/>
              </w:rPr>
              <w:t>3</w:t>
            </w:r>
          </w:p>
        </w:tc>
        <w:tc>
          <w:tcPr>
            <w:tcW w:w="1984" w:type="dxa"/>
            <w:tcBorders>
              <w:top w:val="single" w:sz="4" w:space="0" w:color="auto"/>
              <w:left w:val="single" w:sz="4" w:space="0" w:color="auto"/>
              <w:bottom w:val="single" w:sz="4" w:space="0" w:color="auto"/>
              <w:right w:val="single" w:sz="4" w:space="0" w:color="auto"/>
            </w:tcBorders>
          </w:tcPr>
          <w:p w14:paraId="3CD27A51" w14:textId="3E8224AF" w:rsidR="008A4F2A" w:rsidRPr="007C3E43" w:rsidRDefault="00302B8E" w:rsidP="00E6597D">
            <w:pPr>
              <w:jc w:val="both"/>
              <w:rPr>
                <w:rFonts w:cstheme="minorHAnsi"/>
                <w:lang w:val="nl-BE"/>
              </w:rPr>
            </w:pPr>
            <w:r>
              <w:rPr>
                <w:rFonts w:cstheme="minorHAnsi"/>
                <w:lang w:val="nl-BE"/>
              </w:rPr>
              <w:t>14 december 2023</w:t>
            </w:r>
          </w:p>
        </w:tc>
        <w:tc>
          <w:tcPr>
            <w:tcW w:w="6044" w:type="dxa"/>
            <w:tcBorders>
              <w:top w:val="single" w:sz="4" w:space="0" w:color="auto"/>
              <w:left w:val="single" w:sz="4" w:space="0" w:color="auto"/>
              <w:bottom w:val="single" w:sz="4" w:space="0" w:color="auto"/>
              <w:right w:val="single" w:sz="4" w:space="0" w:color="auto"/>
            </w:tcBorders>
          </w:tcPr>
          <w:p w14:paraId="71AB4539" w14:textId="5B3DB38C" w:rsidR="008A4F2A" w:rsidRPr="007C3E43" w:rsidRDefault="00302B8E" w:rsidP="00E6597D">
            <w:pPr>
              <w:jc w:val="both"/>
              <w:rPr>
                <w:rFonts w:cstheme="minorHAnsi"/>
                <w:lang w:val="nl-BE"/>
              </w:rPr>
            </w:pPr>
            <w:r>
              <w:rPr>
                <w:rFonts w:cstheme="minorHAnsi"/>
                <w:lang w:val="nl-BE"/>
              </w:rPr>
              <w:t>Toevoeging van informatie over de overgangsbepaling voor biomassa gebruikt in 2023</w:t>
            </w:r>
            <w:r w:rsidR="00722701">
              <w:rPr>
                <w:rFonts w:cstheme="minorHAnsi"/>
                <w:lang w:val="nl-BE"/>
              </w:rPr>
              <w:t xml:space="preserve"> en een verduidelijking van voetnoot 4.</w:t>
            </w:r>
          </w:p>
        </w:tc>
      </w:tr>
    </w:tbl>
    <w:p w14:paraId="6727C9BC" w14:textId="77777777" w:rsidR="00167B98" w:rsidRPr="004305CF" w:rsidRDefault="00167B98" w:rsidP="00167B98">
      <w:pPr>
        <w:rPr>
          <w:lang w:eastAsia="en-US"/>
        </w:rPr>
      </w:pPr>
    </w:p>
    <w:p w14:paraId="6FCBA5F6" w14:textId="577B3EAA" w:rsidR="00167B98" w:rsidRPr="00F03890" w:rsidRDefault="00167B98" w:rsidP="00904220">
      <w:pPr>
        <w:pStyle w:val="Kop1"/>
      </w:pPr>
    </w:p>
    <w:sectPr w:rsidR="00167B98" w:rsidRPr="00F03890">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40AC" w14:textId="77777777" w:rsidR="000933FD" w:rsidRDefault="000933FD" w:rsidP="00B61D54">
      <w:r>
        <w:separator/>
      </w:r>
    </w:p>
  </w:endnote>
  <w:endnote w:type="continuationSeparator" w:id="0">
    <w:p w14:paraId="22719FC2" w14:textId="77777777" w:rsidR="000933FD" w:rsidRDefault="000933FD" w:rsidP="00B61D54">
      <w:r>
        <w:continuationSeparator/>
      </w:r>
    </w:p>
  </w:endnote>
  <w:endnote w:type="continuationNotice" w:id="1">
    <w:p w14:paraId="3CC17877" w14:textId="77777777" w:rsidR="000933FD" w:rsidRDefault="00093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FlandersArtSans-Regular">
    <w:panose1 w:val="000005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F1C0" w14:textId="77777777" w:rsidR="003F3D06" w:rsidRDefault="003F3D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6312" w14:textId="2F4D126E" w:rsidR="00B61D54" w:rsidRDefault="00B61D54">
    <w:pPr>
      <w:pStyle w:val="Voettekst"/>
    </w:pPr>
    <w:r>
      <w:tab/>
    </w:r>
    <w:r>
      <w:tab/>
    </w:r>
    <w:r>
      <w:fldChar w:fldCharType="begin"/>
    </w:r>
    <w:r>
      <w:instrText xml:space="preserve"> PAGE   \* MERGEFORMAT </w:instrText>
    </w:r>
    <w:r>
      <w:fldChar w:fldCharType="separate"/>
    </w:r>
    <w:r>
      <w:rPr>
        <w:noProof/>
      </w:rPr>
      <w:t>1</w:t>
    </w:r>
    <w:r>
      <w:fldChar w:fldCharType="end"/>
    </w:r>
    <w:r>
      <w:t>/</w:t>
    </w:r>
    <w:r w:rsidR="006A73B9">
      <w:rPr>
        <w:noProof/>
      </w:rPr>
      <w:fldChar w:fldCharType="begin"/>
    </w:r>
    <w:r w:rsidR="006A73B9">
      <w:rPr>
        <w:noProof/>
      </w:rPr>
      <w:instrText xml:space="preserve"> NUMPAGES   \* MERGEFORMAT </w:instrText>
    </w:r>
    <w:r w:rsidR="006A73B9">
      <w:rPr>
        <w:noProof/>
      </w:rPr>
      <w:fldChar w:fldCharType="separate"/>
    </w:r>
    <w:r>
      <w:rPr>
        <w:noProof/>
      </w:rPr>
      <w:t>5</w:t>
    </w:r>
    <w:r w:rsidR="006A73B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8C06" w14:textId="77777777" w:rsidR="003F3D06" w:rsidRDefault="003F3D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3B46" w14:textId="77777777" w:rsidR="000933FD" w:rsidRDefault="000933FD" w:rsidP="00B61D54">
      <w:r>
        <w:separator/>
      </w:r>
    </w:p>
  </w:footnote>
  <w:footnote w:type="continuationSeparator" w:id="0">
    <w:p w14:paraId="4BB9E708" w14:textId="77777777" w:rsidR="000933FD" w:rsidRDefault="000933FD" w:rsidP="00B61D54">
      <w:r>
        <w:continuationSeparator/>
      </w:r>
    </w:p>
  </w:footnote>
  <w:footnote w:type="continuationNotice" w:id="1">
    <w:p w14:paraId="158F8967" w14:textId="77777777" w:rsidR="000933FD" w:rsidRDefault="000933FD"/>
  </w:footnote>
  <w:footnote w:id="2">
    <w:p w14:paraId="56BDF7D5" w14:textId="5DCAE5CF" w:rsidR="00A86B72" w:rsidRPr="00CF6469" w:rsidRDefault="00A86B72" w:rsidP="00B3054E">
      <w:pPr>
        <w:pStyle w:val="Voetnoottekst"/>
        <w:tabs>
          <w:tab w:val="left" w:pos="284"/>
        </w:tabs>
        <w:ind w:left="284" w:hanging="284"/>
        <w:jc w:val="both"/>
        <w:rPr>
          <w:sz w:val="18"/>
          <w:szCs w:val="18"/>
        </w:rPr>
      </w:pPr>
      <w:r>
        <w:rPr>
          <w:rStyle w:val="Voetnootmarkering"/>
        </w:rPr>
        <w:footnoteRef/>
      </w:r>
      <w:r>
        <w:tab/>
      </w:r>
      <w:r w:rsidR="0071296E" w:rsidRPr="00CF6469">
        <w:rPr>
          <w:sz w:val="18"/>
          <w:szCs w:val="18"/>
        </w:rPr>
        <w:t>Uitvoeringsverordening (EU) 2022/388 van de Commissie van 8 maart 2022 tot wijziging van Uitvoeringsverordening (EU) 2018/2066 van de Commissie inzake de monitoring en rapportage van de emissies van broeikasgassen overeenkomstig Richtlijn 2003/87/EG van het Europees Parlement en de Raad.</w:t>
      </w:r>
    </w:p>
  </w:footnote>
  <w:footnote w:id="3">
    <w:p w14:paraId="39394119" w14:textId="17777A12" w:rsidR="00CA7FB2" w:rsidRPr="005F0479" w:rsidRDefault="00CA7FB2" w:rsidP="00B3054E">
      <w:pPr>
        <w:pStyle w:val="Voetnoottekst"/>
        <w:tabs>
          <w:tab w:val="left" w:pos="284"/>
        </w:tabs>
        <w:ind w:left="284" w:hanging="284"/>
        <w:jc w:val="both"/>
        <w:rPr>
          <w:sz w:val="18"/>
          <w:szCs w:val="18"/>
        </w:rPr>
      </w:pPr>
      <w:r w:rsidRPr="005F0479">
        <w:rPr>
          <w:rStyle w:val="Voetnootmarkering"/>
          <w:sz w:val="18"/>
          <w:szCs w:val="18"/>
        </w:rPr>
        <w:footnoteRef/>
      </w:r>
      <w:r w:rsidR="00E03198" w:rsidRPr="005F0479">
        <w:rPr>
          <w:sz w:val="18"/>
          <w:szCs w:val="18"/>
        </w:rPr>
        <w:tab/>
      </w:r>
      <w:r w:rsidR="007A0EB5" w:rsidRPr="005F0479">
        <w:rPr>
          <w:sz w:val="18"/>
          <w:szCs w:val="18"/>
        </w:rPr>
        <w:t xml:space="preserve">Dit volgt uit de </w:t>
      </w:r>
      <w:r w:rsidR="008E6E8F" w:rsidRPr="005F0479">
        <w:rPr>
          <w:sz w:val="18"/>
          <w:szCs w:val="18"/>
        </w:rPr>
        <w:t xml:space="preserve">REDII-richtlijn en kan in de toekomst </w:t>
      </w:r>
      <w:r w:rsidR="5E1E3122" w:rsidRPr="005F0479">
        <w:rPr>
          <w:sz w:val="18"/>
          <w:szCs w:val="18"/>
        </w:rPr>
        <w:t>mogelijk</w:t>
      </w:r>
      <w:r w:rsidR="00F93AD1">
        <w:rPr>
          <w:sz w:val="18"/>
          <w:szCs w:val="18"/>
        </w:rPr>
        <w:t>s</w:t>
      </w:r>
      <w:r w:rsidR="5E1E3122" w:rsidRPr="005F0479">
        <w:rPr>
          <w:sz w:val="18"/>
          <w:szCs w:val="18"/>
        </w:rPr>
        <w:t xml:space="preserve"> </w:t>
      </w:r>
      <w:r w:rsidR="008E6E8F" w:rsidRPr="005F0479">
        <w:rPr>
          <w:sz w:val="18"/>
          <w:szCs w:val="18"/>
        </w:rPr>
        <w:t>wijzigen in een herziening van deze richtlijn.</w:t>
      </w:r>
      <w:r w:rsidR="000818F2" w:rsidRPr="005F0479">
        <w:rPr>
          <w:sz w:val="18"/>
          <w:szCs w:val="18"/>
        </w:rPr>
        <w:t xml:space="preserve"> Bedrijven die op dit moment niet moeten voldoen aan de criteria moeten dit dus in de toekomst mogelijks wel.</w:t>
      </w:r>
    </w:p>
  </w:footnote>
  <w:footnote w:id="4">
    <w:p w14:paraId="1875C6A2" w14:textId="07D2DDDC" w:rsidR="002C1BB6" w:rsidRPr="005F0479" w:rsidRDefault="002C1BB6" w:rsidP="00B3054E">
      <w:pPr>
        <w:pStyle w:val="Voetnoottekst"/>
        <w:tabs>
          <w:tab w:val="left" w:pos="284"/>
        </w:tabs>
        <w:ind w:left="284" w:hanging="284"/>
        <w:jc w:val="both"/>
        <w:rPr>
          <w:sz w:val="18"/>
          <w:szCs w:val="18"/>
        </w:rPr>
      </w:pPr>
      <w:r w:rsidRPr="005F0479">
        <w:rPr>
          <w:rStyle w:val="Voetnootmarkering"/>
          <w:sz w:val="18"/>
          <w:szCs w:val="18"/>
        </w:rPr>
        <w:footnoteRef/>
      </w:r>
      <w:r w:rsidR="00E03198" w:rsidRPr="005F0479">
        <w:rPr>
          <w:sz w:val="18"/>
          <w:szCs w:val="18"/>
        </w:rPr>
        <w:tab/>
      </w:r>
      <w:r w:rsidRPr="005F0479">
        <w:rPr>
          <w:sz w:val="18"/>
          <w:szCs w:val="18"/>
        </w:rPr>
        <w:t>Een fictief the</w:t>
      </w:r>
      <w:r w:rsidR="00B2797C" w:rsidRPr="005F0479">
        <w:rPr>
          <w:sz w:val="18"/>
          <w:szCs w:val="18"/>
        </w:rPr>
        <w:t>oretisch voorbeel</w:t>
      </w:r>
      <w:r w:rsidR="004C47F1" w:rsidRPr="005F0479">
        <w:rPr>
          <w:sz w:val="18"/>
          <w:szCs w:val="18"/>
        </w:rPr>
        <w:t xml:space="preserve">d dat aangehaald wordt in de Europese toelichting </w:t>
      </w:r>
      <w:r w:rsidR="000751DD" w:rsidRPr="005F0479">
        <w:rPr>
          <w:sz w:val="18"/>
          <w:szCs w:val="18"/>
        </w:rPr>
        <w:t xml:space="preserve">is </w:t>
      </w:r>
      <w:r w:rsidR="00481167" w:rsidRPr="005F0479">
        <w:rPr>
          <w:sz w:val="18"/>
          <w:szCs w:val="18"/>
        </w:rPr>
        <w:t xml:space="preserve">dat van biomassa komende van olijfpitten. Aangezien olijven bewerkt worden in industriële installaties gaat het hier </w:t>
      </w:r>
      <w:r w:rsidR="00481167" w:rsidRPr="005F0479">
        <w:rPr>
          <w:sz w:val="18"/>
          <w:szCs w:val="18"/>
          <w:u w:val="single"/>
        </w:rPr>
        <w:t>NIET</w:t>
      </w:r>
      <w:r w:rsidR="00481167" w:rsidRPr="005F0479">
        <w:rPr>
          <w:sz w:val="18"/>
          <w:szCs w:val="18"/>
        </w:rPr>
        <w:t xml:space="preserve"> over “biomassa afkomstig van landbouw, aquacultuur, visserij of bosbouw</w:t>
      </w:r>
      <w:r w:rsidR="00D145EA" w:rsidRPr="005F0479">
        <w:rPr>
          <w:sz w:val="18"/>
          <w:szCs w:val="18"/>
        </w:rPr>
        <w:t>”</w:t>
      </w:r>
      <w:r w:rsidR="004B64A9" w:rsidRPr="005F0479">
        <w:rPr>
          <w:sz w:val="18"/>
          <w:szCs w:val="18"/>
        </w:rPr>
        <w:t>.</w:t>
      </w:r>
    </w:p>
  </w:footnote>
  <w:footnote w:id="5">
    <w:p w14:paraId="48445CFD" w14:textId="6BDD615A" w:rsidR="002A0489" w:rsidRPr="003D75EA" w:rsidRDefault="002A0489" w:rsidP="00B3054E">
      <w:pPr>
        <w:pStyle w:val="Voetnoottekst"/>
        <w:tabs>
          <w:tab w:val="left" w:pos="284"/>
        </w:tabs>
        <w:ind w:left="284" w:hanging="284"/>
        <w:jc w:val="both"/>
        <w:rPr>
          <w:sz w:val="18"/>
          <w:szCs w:val="18"/>
        </w:rPr>
      </w:pPr>
      <w:r w:rsidRPr="003D75EA">
        <w:rPr>
          <w:rStyle w:val="Voetnootmarkering"/>
          <w:sz w:val="18"/>
          <w:szCs w:val="18"/>
        </w:rPr>
        <w:footnoteRef/>
      </w:r>
      <w:r w:rsidR="000E4B15" w:rsidRPr="003D75EA">
        <w:rPr>
          <w:sz w:val="18"/>
          <w:szCs w:val="18"/>
        </w:rPr>
        <w:tab/>
      </w:r>
      <w:r w:rsidRPr="003D75EA">
        <w:rPr>
          <w:sz w:val="18"/>
          <w:szCs w:val="18"/>
        </w:rPr>
        <w:t>Verschillende exploitanten hebben deze informatie opgenomen in bijlage 4</w:t>
      </w:r>
      <w:r w:rsidR="00503D29" w:rsidRPr="003D75EA">
        <w:rPr>
          <w:sz w:val="18"/>
          <w:szCs w:val="18"/>
        </w:rPr>
        <w:t xml:space="preserve"> van het monitoringplan</w:t>
      </w:r>
      <w:r w:rsidRPr="003D75EA">
        <w:rPr>
          <w:sz w:val="18"/>
          <w:szCs w:val="18"/>
        </w:rPr>
        <w:t xml:space="preserve">. Deze </w:t>
      </w:r>
      <w:r w:rsidR="00191300" w:rsidRPr="003D75EA">
        <w:rPr>
          <w:sz w:val="18"/>
          <w:szCs w:val="18"/>
        </w:rPr>
        <w:t>bijkomende informatie kan dus ook opgenomen worden in deze bijlage.</w:t>
      </w:r>
      <w:r w:rsidR="00A66E2C">
        <w:rPr>
          <w:sz w:val="18"/>
          <w:szCs w:val="18"/>
        </w:rPr>
        <w:t xml:space="preserve"> Een samenvatting dient </w:t>
      </w:r>
      <w:r w:rsidR="008D7486">
        <w:rPr>
          <w:sz w:val="18"/>
          <w:szCs w:val="18"/>
        </w:rPr>
        <w:t xml:space="preserve">wel </w:t>
      </w:r>
      <w:r w:rsidR="00A66E2C">
        <w:rPr>
          <w:sz w:val="18"/>
          <w:szCs w:val="18"/>
        </w:rPr>
        <w:t xml:space="preserve">te worden opgenomen </w:t>
      </w:r>
      <w:r w:rsidR="008D7486">
        <w:rPr>
          <w:sz w:val="18"/>
          <w:szCs w:val="18"/>
        </w:rPr>
        <w:t xml:space="preserve">in tabblad </w:t>
      </w:r>
      <w:proofErr w:type="spellStart"/>
      <w:r w:rsidR="008D7486" w:rsidRPr="008D7486">
        <w:rPr>
          <w:sz w:val="18"/>
          <w:szCs w:val="18"/>
        </w:rPr>
        <w:t>D_CalculationBasedApproaches</w:t>
      </w:r>
      <w:proofErr w:type="spellEnd"/>
      <w:r w:rsidR="008D7486" w:rsidRPr="008D7486">
        <w:rPr>
          <w:sz w:val="18"/>
          <w:szCs w:val="18"/>
        </w:rPr>
        <w:t xml:space="preserve"> onder </w:t>
      </w:r>
      <w:r w:rsidR="008D7486">
        <w:rPr>
          <w:sz w:val="18"/>
          <w:szCs w:val="18"/>
        </w:rPr>
        <w:t xml:space="preserve">punt </w:t>
      </w:r>
      <w:r w:rsidR="008D7486" w:rsidRPr="008D7486">
        <w:rPr>
          <w:sz w:val="18"/>
          <w:szCs w:val="18"/>
        </w:rPr>
        <w:t>(a)</w:t>
      </w:r>
      <w:r w:rsidR="008D7486">
        <w:rPr>
          <w:sz w:val="18"/>
          <w:szCs w:val="18"/>
        </w:rPr>
        <w:t xml:space="preserve"> </w:t>
      </w:r>
      <w:r w:rsidR="008D7486" w:rsidRPr="008D7486">
        <w:rPr>
          <w:sz w:val="18"/>
          <w:szCs w:val="18"/>
        </w:rPr>
        <w:t>Beschrijving van de rekenmethode voor de monitoring van CO2-emissies in uw installatie, indien van toepassing</w:t>
      </w:r>
      <w:r w:rsidR="008D7486">
        <w:rPr>
          <w:sz w:val="18"/>
          <w:szCs w:val="18"/>
        </w:rPr>
        <w:t>.</w:t>
      </w:r>
    </w:p>
  </w:footnote>
  <w:footnote w:id="6">
    <w:p w14:paraId="6D6ADA99" w14:textId="4925A120" w:rsidR="00565CB3" w:rsidRPr="003D75EA" w:rsidRDefault="00565CB3" w:rsidP="00B3054E">
      <w:pPr>
        <w:pStyle w:val="Voetnoottekst"/>
        <w:tabs>
          <w:tab w:val="left" w:pos="284"/>
        </w:tabs>
        <w:ind w:left="284" w:hanging="284"/>
        <w:jc w:val="both"/>
        <w:rPr>
          <w:sz w:val="18"/>
          <w:szCs w:val="18"/>
        </w:rPr>
      </w:pPr>
      <w:r w:rsidRPr="003D75EA">
        <w:rPr>
          <w:rStyle w:val="Voetnootmarkering"/>
          <w:sz w:val="18"/>
          <w:szCs w:val="18"/>
        </w:rPr>
        <w:footnoteRef/>
      </w:r>
      <w:r w:rsidR="000E4B15" w:rsidRPr="003D75EA">
        <w:rPr>
          <w:sz w:val="18"/>
          <w:szCs w:val="18"/>
        </w:rPr>
        <w:tab/>
      </w:r>
      <w:r w:rsidRPr="003D75EA">
        <w:rPr>
          <w:sz w:val="18"/>
          <w:szCs w:val="18"/>
        </w:rPr>
        <w:t xml:space="preserve">De redenen </w:t>
      </w:r>
      <w:r w:rsidR="00A14504" w:rsidRPr="003D75EA">
        <w:rPr>
          <w:sz w:val="18"/>
          <w:szCs w:val="18"/>
        </w:rPr>
        <w:t>om al dan niet te moeten voldoen aan REDII-criteria zijn aangehaald in het eerste hoofdstuk</w:t>
      </w:r>
      <w:r w:rsidR="00503D29" w:rsidRPr="003D75EA">
        <w:rPr>
          <w:sz w:val="18"/>
          <w:szCs w:val="18"/>
        </w:rPr>
        <w:t xml:space="preserve"> van deze toelichting</w:t>
      </w:r>
      <w:r w:rsidR="00A14504" w:rsidRPr="003D75EA">
        <w:rPr>
          <w:sz w:val="18"/>
          <w:szCs w:val="18"/>
        </w:rPr>
        <w:t>.</w:t>
      </w:r>
    </w:p>
  </w:footnote>
  <w:footnote w:id="7">
    <w:p w14:paraId="6671EF3D" w14:textId="204DDDA1" w:rsidR="0050640D" w:rsidRPr="003D75EA" w:rsidRDefault="0050640D" w:rsidP="00B3054E">
      <w:pPr>
        <w:pStyle w:val="Voetnoottekst"/>
        <w:tabs>
          <w:tab w:val="left" w:pos="284"/>
        </w:tabs>
        <w:ind w:left="284" w:hanging="284"/>
        <w:jc w:val="both"/>
        <w:rPr>
          <w:sz w:val="18"/>
          <w:szCs w:val="18"/>
        </w:rPr>
      </w:pPr>
      <w:r w:rsidRPr="003D75EA">
        <w:rPr>
          <w:rStyle w:val="Voetnootmarkering"/>
          <w:sz w:val="18"/>
          <w:szCs w:val="18"/>
        </w:rPr>
        <w:footnoteRef/>
      </w:r>
      <w:r w:rsidR="000E4B15" w:rsidRPr="003D75EA">
        <w:rPr>
          <w:sz w:val="18"/>
          <w:szCs w:val="18"/>
        </w:rPr>
        <w:tab/>
      </w:r>
      <w:r w:rsidRPr="003D75EA">
        <w:rPr>
          <w:sz w:val="18"/>
          <w:szCs w:val="18"/>
        </w:rPr>
        <w:t>Uit de bewoording moet duidelijk blijken aan welk</w:t>
      </w:r>
      <w:r w:rsidR="00FF60FD">
        <w:rPr>
          <w:sz w:val="18"/>
          <w:szCs w:val="18"/>
        </w:rPr>
        <w:t>e</w:t>
      </w:r>
      <w:r w:rsidRPr="003D75EA">
        <w:rPr>
          <w:sz w:val="18"/>
          <w:szCs w:val="18"/>
        </w:rPr>
        <w:t xml:space="preserve"> criteria voldaan moet worden.</w:t>
      </w:r>
    </w:p>
  </w:footnote>
  <w:footnote w:id="8">
    <w:p w14:paraId="4AA45A48" w14:textId="4DCDFDF9" w:rsidR="00165AFE" w:rsidRPr="00446DAC" w:rsidRDefault="00165AFE" w:rsidP="00165AFE">
      <w:pPr>
        <w:pStyle w:val="Voetnoottekst"/>
        <w:tabs>
          <w:tab w:val="left" w:pos="284"/>
        </w:tabs>
        <w:ind w:left="284" w:hanging="284"/>
        <w:jc w:val="both"/>
        <w:rPr>
          <w:sz w:val="18"/>
          <w:szCs w:val="18"/>
        </w:rPr>
      </w:pPr>
      <w:r w:rsidRPr="00446DAC">
        <w:rPr>
          <w:rStyle w:val="Voetnootmarkering"/>
          <w:sz w:val="18"/>
          <w:szCs w:val="18"/>
        </w:rPr>
        <w:footnoteRef/>
      </w:r>
      <w:r w:rsidRPr="00446DAC">
        <w:rPr>
          <w:sz w:val="18"/>
          <w:szCs w:val="18"/>
        </w:rPr>
        <w:tab/>
        <w:t>De Europese Commissie heeft een eigen toelichting “</w:t>
      </w:r>
      <w:proofErr w:type="spellStart"/>
      <w:r w:rsidRPr="00446DAC">
        <w:rPr>
          <w:sz w:val="18"/>
          <w:szCs w:val="18"/>
        </w:rPr>
        <w:t>Key</w:t>
      </w:r>
      <w:proofErr w:type="spellEnd"/>
      <w:r w:rsidRPr="00446DAC">
        <w:rPr>
          <w:sz w:val="18"/>
          <w:szCs w:val="18"/>
        </w:rPr>
        <w:t xml:space="preserve"> </w:t>
      </w:r>
      <w:proofErr w:type="spellStart"/>
      <w:r w:rsidRPr="00446DAC">
        <w:rPr>
          <w:sz w:val="18"/>
          <w:szCs w:val="18"/>
        </w:rPr>
        <w:t>guidance</w:t>
      </w:r>
      <w:proofErr w:type="spellEnd"/>
      <w:r w:rsidRPr="00446DAC">
        <w:rPr>
          <w:sz w:val="18"/>
          <w:szCs w:val="18"/>
        </w:rPr>
        <w:t xml:space="preserve"> </w:t>
      </w:r>
      <w:proofErr w:type="spellStart"/>
      <w:r w:rsidRPr="00446DAC">
        <w:rPr>
          <w:sz w:val="18"/>
          <w:szCs w:val="18"/>
        </w:rPr>
        <w:t>note</w:t>
      </w:r>
      <w:proofErr w:type="spellEnd"/>
      <w:r w:rsidRPr="00446DAC">
        <w:rPr>
          <w:sz w:val="18"/>
          <w:szCs w:val="18"/>
        </w:rPr>
        <w:t xml:space="preserve"> II.3 on </w:t>
      </w:r>
      <w:proofErr w:type="spellStart"/>
      <w:r w:rsidRPr="00446DAC">
        <w:rPr>
          <w:sz w:val="18"/>
          <w:szCs w:val="18"/>
        </w:rPr>
        <w:t>process</w:t>
      </w:r>
      <w:proofErr w:type="spellEnd"/>
      <w:r w:rsidRPr="00446DAC">
        <w:rPr>
          <w:sz w:val="18"/>
          <w:szCs w:val="18"/>
        </w:rPr>
        <w:t xml:space="preserve"> analysis”</w:t>
      </w:r>
      <w:r w:rsidR="004305CF" w:rsidRPr="00446DAC">
        <w:rPr>
          <w:sz w:val="18"/>
          <w:szCs w:val="18"/>
        </w:rPr>
        <w:t xml:space="preserve"> gepubliceerd</w:t>
      </w:r>
      <w:r w:rsidRPr="00446DAC">
        <w:rPr>
          <w:sz w:val="18"/>
          <w:szCs w:val="18"/>
        </w:rPr>
        <w:t xml:space="preserve">, waarin gedetailleerd wordt beschreven op welke manier de ETS-verificateur moet omgaan met de verificatie van biomassabronstromen in hun procesanalyse. Deze Europese toelichting kan </w:t>
      </w:r>
      <w:hyperlink r:id="rId1" w:history="1">
        <w:r w:rsidRPr="00446DAC">
          <w:rPr>
            <w:rStyle w:val="Hyperlink"/>
            <w:sz w:val="18"/>
            <w:szCs w:val="18"/>
          </w:rPr>
          <w:t>hier</w:t>
        </w:r>
      </w:hyperlink>
      <w:r w:rsidRPr="00446DAC">
        <w:rPr>
          <w:sz w:val="18"/>
          <w:szCs w:val="18"/>
        </w:rPr>
        <w:t xml:space="preserve"> worden geraadpleegd</w:t>
      </w:r>
      <w:r w:rsidR="004305CF" w:rsidRPr="00446DAC">
        <w:rPr>
          <w:sz w:val="18"/>
          <w:szCs w:val="18"/>
        </w:rPr>
        <w:t xml:space="preserve"> (onder het topic “</w:t>
      </w:r>
      <w:proofErr w:type="spellStart"/>
      <w:r w:rsidR="004305CF" w:rsidRPr="00446DAC">
        <w:rPr>
          <w:sz w:val="18"/>
          <w:szCs w:val="18"/>
        </w:rPr>
        <w:t>Accreditation</w:t>
      </w:r>
      <w:proofErr w:type="spellEnd"/>
      <w:r w:rsidR="004305CF" w:rsidRPr="00446DAC">
        <w:rPr>
          <w:sz w:val="18"/>
          <w:szCs w:val="18"/>
        </w:rPr>
        <w:t xml:space="preserve"> </w:t>
      </w:r>
      <w:proofErr w:type="spellStart"/>
      <w:r w:rsidR="004305CF" w:rsidRPr="00446DAC">
        <w:rPr>
          <w:sz w:val="18"/>
          <w:szCs w:val="18"/>
        </w:rPr>
        <w:t>and</w:t>
      </w:r>
      <w:proofErr w:type="spellEnd"/>
      <w:r w:rsidR="004305CF" w:rsidRPr="00446DAC">
        <w:rPr>
          <w:sz w:val="18"/>
          <w:szCs w:val="18"/>
        </w:rPr>
        <w:t xml:space="preserve"> </w:t>
      </w:r>
      <w:proofErr w:type="spellStart"/>
      <w:r w:rsidR="004305CF" w:rsidRPr="00446DAC">
        <w:rPr>
          <w:sz w:val="18"/>
          <w:szCs w:val="18"/>
        </w:rPr>
        <w:t>Verification</w:t>
      </w:r>
      <w:proofErr w:type="spellEnd"/>
      <w:r w:rsidR="004305CF" w:rsidRPr="00446DAC">
        <w:rPr>
          <w:sz w:val="18"/>
          <w:szCs w:val="18"/>
        </w:rPr>
        <w:t xml:space="preserve"> </w:t>
      </w:r>
      <w:proofErr w:type="spellStart"/>
      <w:r w:rsidR="004305CF" w:rsidRPr="00446DAC">
        <w:rPr>
          <w:sz w:val="18"/>
          <w:szCs w:val="18"/>
        </w:rPr>
        <w:t>Regulation</w:t>
      </w:r>
      <w:proofErr w:type="spellEnd"/>
      <w:r w:rsidR="004305CF" w:rsidRPr="00446DAC">
        <w:rPr>
          <w:sz w:val="18"/>
          <w:szCs w:val="18"/>
        </w:rPr>
        <w:t xml:space="preserve"> (AVR): </w:t>
      </w:r>
      <w:proofErr w:type="spellStart"/>
      <w:r w:rsidR="004305CF" w:rsidRPr="00446DAC">
        <w:rPr>
          <w:sz w:val="18"/>
          <w:szCs w:val="18"/>
        </w:rPr>
        <w:t>Guidance</w:t>
      </w:r>
      <w:proofErr w:type="spellEnd"/>
      <w:r w:rsidR="004305CF" w:rsidRPr="00446DAC">
        <w:rPr>
          <w:sz w:val="18"/>
          <w:szCs w:val="18"/>
        </w:rPr>
        <w:t xml:space="preserve"> </w:t>
      </w:r>
      <w:proofErr w:type="spellStart"/>
      <w:r w:rsidR="004305CF" w:rsidRPr="00446DAC">
        <w:rPr>
          <w:sz w:val="18"/>
          <w:szCs w:val="18"/>
        </w:rPr>
        <w:t>and</w:t>
      </w:r>
      <w:proofErr w:type="spellEnd"/>
      <w:r w:rsidR="004305CF" w:rsidRPr="00446DAC">
        <w:rPr>
          <w:sz w:val="18"/>
          <w:szCs w:val="18"/>
        </w:rPr>
        <w:t xml:space="preserve"> templates”).</w:t>
      </w:r>
    </w:p>
  </w:footnote>
  <w:footnote w:id="9">
    <w:p w14:paraId="2E97FD63" w14:textId="1A719154" w:rsidR="005567F4" w:rsidRPr="00446DAC" w:rsidRDefault="005567F4" w:rsidP="00B3054E">
      <w:pPr>
        <w:pStyle w:val="Voetnoottekst"/>
        <w:tabs>
          <w:tab w:val="left" w:pos="284"/>
        </w:tabs>
        <w:ind w:left="284" w:hanging="284"/>
        <w:jc w:val="both"/>
        <w:rPr>
          <w:sz w:val="18"/>
          <w:szCs w:val="18"/>
        </w:rPr>
      </w:pPr>
      <w:r w:rsidRPr="00446DAC">
        <w:rPr>
          <w:rStyle w:val="Voetnootmarkering"/>
          <w:sz w:val="18"/>
          <w:szCs w:val="18"/>
        </w:rPr>
        <w:footnoteRef/>
      </w:r>
      <w:r w:rsidR="00240ABE" w:rsidRPr="00446DAC">
        <w:rPr>
          <w:sz w:val="18"/>
          <w:szCs w:val="18"/>
        </w:rPr>
        <w:tab/>
      </w:r>
      <w:r w:rsidRPr="00446DAC">
        <w:rPr>
          <w:sz w:val="18"/>
          <w:szCs w:val="18"/>
        </w:rPr>
        <w:t xml:space="preserve">Een </w:t>
      </w:r>
      <w:r w:rsidR="00864916">
        <w:rPr>
          <w:sz w:val="18"/>
          <w:szCs w:val="18"/>
        </w:rPr>
        <w:t>bewijs van duurzaamheid (</w:t>
      </w:r>
      <w:proofErr w:type="spellStart"/>
      <w:r w:rsidRPr="00446DAC">
        <w:rPr>
          <w:sz w:val="18"/>
          <w:szCs w:val="18"/>
        </w:rPr>
        <w:t>PoS</w:t>
      </w:r>
      <w:proofErr w:type="spellEnd"/>
      <w:r w:rsidR="00864916">
        <w:rPr>
          <w:sz w:val="18"/>
          <w:szCs w:val="18"/>
        </w:rPr>
        <w:t>)</w:t>
      </w:r>
      <w:r w:rsidRPr="00446DAC">
        <w:rPr>
          <w:sz w:val="18"/>
          <w:szCs w:val="18"/>
        </w:rPr>
        <w:t xml:space="preserve">, gegenereerd door een marktdeelnemer waarvan het certificaat verlopen of ingetrokken is, is ongeldig indien het gegenereerd werd na deze datum. </w:t>
      </w:r>
      <w:r w:rsidR="00864916" w:rsidRPr="00446DAC">
        <w:rPr>
          <w:sz w:val="18"/>
          <w:szCs w:val="18"/>
        </w:rPr>
        <w:t>D</w:t>
      </w:r>
      <w:r w:rsidR="00864916">
        <w:rPr>
          <w:sz w:val="18"/>
          <w:szCs w:val="18"/>
        </w:rPr>
        <w:t>it bewijs van duurzaamheid</w:t>
      </w:r>
      <w:r w:rsidR="00864916" w:rsidRPr="00446DAC">
        <w:rPr>
          <w:sz w:val="18"/>
          <w:szCs w:val="18"/>
        </w:rPr>
        <w:t xml:space="preserve"> </w:t>
      </w:r>
      <w:r w:rsidR="00BB6089">
        <w:rPr>
          <w:sz w:val="18"/>
          <w:szCs w:val="18"/>
        </w:rPr>
        <w:t>(</w:t>
      </w:r>
      <w:proofErr w:type="spellStart"/>
      <w:r w:rsidRPr="00446DAC">
        <w:rPr>
          <w:sz w:val="18"/>
          <w:szCs w:val="18"/>
        </w:rPr>
        <w:t>PoS</w:t>
      </w:r>
      <w:proofErr w:type="spellEnd"/>
      <w:r w:rsidR="00BB6089">
        <w:rPr>
          <w:sz w:val="18"/>
          <w:szCs w:val="18"/>
        </w:rPr>
        <w:t>)</w:t>
      </w:r>
      <w:r w:rsidRPr="00446DAC">
        <w:rPr>
          <w:sz w:val="18"/>
          <w:szCs w:val="18"/>
        </w:rPr>
        <w:t xml:space="preserve"> kan </w:t>
      </w:r>
      <w:r w:rsidR="00D61402" w:rsidRPr="00446DAC">
        <w:rPr>
          <w:sz w:val="18"/>
          <w:szCs w:val="18"/>
        </w:rPr>
        <w:t>dan</w:t>
      </w:r>
      <w:r w:rsidRPr="00446DAC">
        <w:rPr>
          <w:sz w:val="18"/>
          <w:szCs w:val="18"/>
        </w:rPr>
        <w:t xml:space="preserve"> niet dienen als bewijs voor de REDII-criteria.</w:t>
      </w:r>
    </w:p>
  </w:footnote>
  <w:footnote w:id="10">
    <w:p w14:paraId="20166E70" w14:textId="1C26FC7C" w:rsidR="008D3540" w:rsidRPr="00A17ED3" w:rsidRDefault="008D3540">
      <w:pPr>
        <w:pStyle w:val="Voetnoottekst"/>
        <w:rPr>
          <w:sz w:val="18"/>
          <w:szCs w:val="18"/>
        </w:rPr>
      </w:pPr>
      <w:r w:rsidRPr="00A17ED3">
        <w:rPr>
          <w:rStyle w:val="Voetnootmarkering"/>
          <w:sz w:val="18"/>
          <w:szCs w:val="18"/>
        </w:rPr>
        <w:footnoteRef/>
      </w:r>
      <w:r w:rsidRPr="00A17ED3">
        <w:rPr>
          <w:sz w:val="18"/>
          <w:szCs w:val="18"/>
        </w:rPr>
        <w:t xml:space="preserve"> Nog niet gepubliceerd in het Belgisch Staatsblad.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4D03" w14:textId="77777777" w:rsidR="003F3D06" w:rsidRDefault="003F3D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31EC" w14:textId="77777777" w:rsidR="003F3D06" w:rsidRDefault="003F3D0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471A" w14:textId="77777777" w:rsidR="003F3D06" w:rsidRDefault="003F3D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559"/>
    <w:multiLevelType w:val="hybridMultilevel"/>
    <w:tmpl w:val="6CC2DB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D61579"/>
    <w:multiLevelType w:val="hybridMultilevel"/>
    <w:tmpl w:val="04B04C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591C92"/>
    <w:multiLevelType w:val="hybridMultilevel"/>
    <w:tmpl w:val="9D8C76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9A26C8"/>
    <w:multiLevelType w:val="hybridMultilevel"/>
    <w:tmpl w:val="08E6B2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7A416D"/>
    <w:multiLevelType w:val="hybridMultilevel"/>
    <w:tmpl w:val="A01A8BF2"/>
    <w:lvl w:ilvl="0" w:tplc="6F765CD4">
      <w:start w:val="7"/>
      <w:numFmt w:val="decimal"/>
      <w:lvlText w:val="%1."/>
      <w:lvlJc w:val="left"/>
      <w:pPr>
        <w:ind w:left="720" w:hanging="360"/>
      </w:pPr>
      <w:rPr>
        <w:rFonts w:hint="default"/>
        <w:b/>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B88547F"/>
    <w:multiLevelType w:val="hybridMultilevel"/>
    <w:tmpl w:val="817E25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914457"/>
    <w:multiLevelType w:val="hybridMultilevel"/>
    <w:tmpl w:val="62CEE1A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3F9529C"/>
    <w:multiLevelType w:val="hybridMultilevel"/>
    <w:tmpl w:val="A75A93F6"/>
    <w:lvl w:ilvl="0" w:tplc="79A66D3E">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4382A0D"/>
    <w:multiLevelType w:val="hybridMultilevel"/>
    <w:tmpl w:val="F0EACE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9328BF"/>
    <w:multiLevelType w:val="hybridMultilevel"/>
    <w:tmpl w:val="03564FDC"/>
    <w:lvl w:ilvl="0" w:tplc="FFFFFFFF">
      <w:start w:val="1"/>
      <w:numFmt w:val="decimal"/>
      <w:lvlText w:val="%1."/>
      <w:lvlJc w:val="left"/>
      <w:pPr>
        <w:ind w:left="720" w:hanging="360"/>
      </w:pPr>
      <w:rPr>
        <w:rFonts w:hint="default"/>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A71BB6"/>
    <w:multiLevelType w:val="multilevel"/>
    <w:tmpl w:val="7500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2F3C97"/>
    <w:multiLevelType w:val="hybridMultilevel"/>
    <w:tmpl w:val="55C004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6E7E18"/>
    <w:multiLevelType w:val="hybridMultilevel"/>
    <w:tmpl w:val="70E432CA"/>
    <w:lvl w:ilvl="0" w:tplc="08130001">
      <w:start w:val="1"/>
      <w:numFmt w:val="bullet"/>
      <w:lvlText w:val=""/>
      <w:lvlJc w:val="left"/>
      <w:pPr>
        <w:ind w:left="1778" w:hanging="360"/>
      </w:pPr>
      <w:rPr>
        <w:rFonts w:ascii="Symbol" w:hAnsi="Symbol" w:hint="default"/>
      </w:rPr>
    </w:lvl>
    <w:lvl w:ilvl="1" w:tplc="0C000019">
      <w:start w:val="1"/>
      <w:numFmt w:val="lowerLetter"/>
      <w:lvlText w:val="%2."/>
      <w:lvlJc w:val="left"/>
      <w:pPr>
        <w:ind w:left="2352" w:hanging="360"/>
      </w:pPr>
    </w:lvl>
    <w:lvl w:ilvl="2" w:tplc="0C00001B">
      <w:start w:val="1"/>
      <w:numFmt w:val="lowerRoman"/>
      <w:lvlText w:val="%3."/>
      <w:lvlJc w:val="right"/>
      <w:pPr>
        <w:ind w:left="3072" w:hanging="180"/>
      </w:pPr>
    </w:lvl>
    <w:lvl w:ilvl="3" w:tplc="0C00000F">
      <w:start w:val="1"/>
      <w:numFmt w:val="decimal"/>
      <w:lvlText w:val="%4."/>
      <w:lvlJc w:val="left"/>
      <w:pPr>
        <w:ind w:left="3792" w:hanging="360"/>
      </w:pPr>
    </w:lvl>
    <w:lvl w:ilvl="4" w:tplc="0C000019">
      <w:start w:val="1"/>
      <w:numFmt w:val="lowerLetter"/>
      <w:lvlText w:val="%5."/>
      <w:lvlJc w:val="left"/>
      <w:pPr>
        <w:ind w:left="4512" w:hanging="360"/>
      </w:pPr>
    </w:lvl>
    <w:lvl w:ilvl="5" w:tplc="0C00001B">
      <w:start w:val="1"/>
      <w:numFmt w:val="lowerRoman"/>
      <w:lvlText w:val="%6."/>
      <w:lvlJc w:val="right"/>
      <w:pPr>
        <w:ind w:left="5232" w:hanging="180"/>
      </w:pPr>
    </w:lvl>
    <w:lvl w:ilvl="6" w:tplc="0C00000F">
      <w:start w:val="1"/>
      <w:numFmt w:val="decimal"/>
      <w:lvlText w:val="%7."/>
      <w:lvlJc w:val="left"/>
      <w:pPr>
        <w:ind w:left="5952" w:hanging="360"/>
      </w:pPr>
    </w:lvl>
    <w:lvl w:ilvl="7" w:tplc="0C000019">
      <w:start w:val="1"/>
      <w:numFmt w:val="lowerLetter"/>
      <w:lvlText w:val="%8."/>
      <w:lvlJc w:val="left"/>
      <w:pPr>
        <w:ind w:left="6672" w:hanging="360"/>
      </w:pPr>
    </w:lvl>
    <w:lvl w:ilvl="8" w:tplc="0C00001B">
      <w:start w:val="1"/>
      <w:numFmt w:val="lowerRoman"/>
      <w:lvlText w:val="%9."/>
      <w:lvlJc w:val="right"/>
      <w:pPr>
        <w:ind w:left="7392" w:hanging="180"/>
      </w:pPr>
    </w:lvl>
  </w:abstractNum>
  <w:abstractNum w:abstractNumId="13" w15:restartNumberingAfterBreak="0">
    <w:nsid w:val="2AB4775B"/>
    <w:multiLevelType w:val="hybridMultilevel"/>
    <w:tmpl w:val="3992F1B0"/>
    <w:lvl w:ilvl="0" w:tplc="17766EC0">
      <w:start w:val="1"/>
      <w:numFmt w:val="lowerLetter"/>
      <w:lvlText w:val="%1)"/>
      <w:lvlJc w:val="left"/>
      <w:pPr>
        <w:ind w:left="1778" w:hanging="360"/>
      </w:pPr>
    </w:lvl>
    <w:lvl w:ilvl="1" w:tplc="0C000019">
      <w:start w:val="1"/>
      <w:numFmt w:val="lowerLetter"/>
      <w:lvlText w:val="%2."/>
      <w:lvlJc w:val="left"/>
      <w:pPr>
        <w:ind w:left="2352" w:hanging="360"/>
      </w:pPr>
    </w:lvl>
    <w:lvl w:ilvl="2" w:tplc="0C00001B">
      <w:start w:val="1"/>
      <w:numFmt w:val="lowerRoman"/>
      <w:lvlText w:val="%3."/>
      <w:lvlJc w:val="right"/>
      <w:pPr>
        <w:ind w:left="3072" w:hanging="180"/>
      </w:pPr>
    </w:lvl>
    <w:lvl w:ilvl="3" w:tplc="0C00000F">
      <w:start w:val="1"/>
      <w:numFmt w:val="decimal"/>
      <w:lvlText w:val="%4."/>
      <w:lvlJc w:val="left"/>
      <w:pPr>
        <w:ind w:left="3792" w:hanging="360"/>
      </w:pPr>
    </w:lvl>
    <w:lvl w:ilvl="4" w:tplc="0C000019">
      <w:start w:val="1"/>
      <w:numFmt w:val="lowerLetter"/>
      <w:lvlText w:val="%5."/>
      <w:lvlJc w:val="left"/>
      <w:pPr>
        <w:ind w:left="4512" w:hanging="360"/>
      </w:pPr>
    </w:lvl>
    <w:lvl w:ilvl="5" w:tplc="0C00001B">
      <w:start w:val="1"/>
      <w:numFmt w:val="lowerRoman"/>
      <w:lvlText w:val="%6."/>
      <w:lvlJc w:val="right"/>
      <w:pPr>
        <w:ind w:left="5232" w:hanging="180"/>
      </w:pPr>
    </w:lvl>
    <w:lvl w:ilvl="6" w:tplc="0C00000F">
      <w:start w:val="1"/>
      <w:numFmt w:val="decimal"/>
      <w:lvlText w:val="%7."/>
      <w:lvlJc w:val="left"/>
      <w:pPr>
        <w:ind w:left="5952" w:hanging="360"/>
      </w:pPr>
    </w:lvl>
    <w:lvl w:ilvl="7" w:tplc="0C000019">
      <w:start w:val="1"/>
      <w:numFmt w:val="lowerLetter"/>
      <w:lvlText w:val="%8."/>
      <w:lvlJc w:val="left"/>
      <w:pPr>
        <w:ind w:left="6672" w:hanging="360"/>
      </w:pPr>
    </w:lvl>
    <w:lvl w:ilvl="8" w:tplc="0C00001B">
      <w:start w:val="1"/>
      <w:numFmt w:val="lowerRoman"/>
      <w:lvlText w:val="%9."/>
      <w:lvlJc w:val="right"/>
      <w:pPr>
        <w:ind w:left="7392" w:hanging="180"/>
      </w:pPr>
    </w:lvl>
  </w:abstractNum>
  <w:abstractNum w:abstractNumId="14" w15:restartNumberingAfterBreak="0">
    <w:nsid w:val="2D997274"/>
    <w:multiLevelType w:val="hybridMultilevel"/>
    <w:tmpl w:val="B1F45DC6"/>
    <w:lvl w:ilvl="0" w:tplc="08130001">
      <w:start w:val="1"/>
      <w:numFmt w:val="bullet"/>
      <w:lvlText w:val=""/>
      <w:lvlJc w:val="left"/>
      <w:pPr>
        <w:ind w:left="1778" w:hanging="360"/>
      </w:pPr>
      <w:rPr>
        <w:rFonts w:ascii="Symbol" w:hAnsi="Symbol" w:hint="default"/>
      </w:rPr>
    </w:lvl>
    <w:lvl w:ilvl="1" w:tplc="0C000019">
      <w:start w:val="1"/>
      <w:numFmt w:val="lowerLetter"/>
      <w:lvlText w:val="%2."/>
      <w:lvlJc w:val="left"/>
      <w:pPr>
        <w:ind w:left="2498" w:hanging="360"/>
      </w:pPr>
    </w:lvl>
    <w:lvl w:ilvl="2" w:tplc="0C00001B">
      <w:start w:val="1"/>
      <w:numFmt w:val="lowerRoman"/>
      <w:lvlText w:val="%3."/>
      <w:lvlJc w:val="right"/>
      <w:pPr>
        <w:ind w:left="3218" w:hanging="180"/>
      </w:pPr>
    </w:lvl>
    <w:lvl w:ilvl="3" w:tplc="0C00000F">
      <w:start w:val="1"/>
      <w:numFmt w:val="decimal"/>
      <w:lvlText w:val="%4."/>
      <w:lvlJc w:val="left"/>
      <w:pPr>
        <w:ind w:left="3938" w:hanging="360"/>
      </w:pPr>
    </w:lvl>
    <w:lvl w:ilvl="4" w:tplc="0C000019">
      <w:start w:val="1"/>
      <w:numFmt w:val="lowerLetter"/>
      <w:lvlText w:val="%5."/>
      <w:lvlJc w:val="left"/>
      <w:pPr>
        <w:ind w:left="4658" w:hanging="360"/>
      </w:pPr>
    </w:lvl>
    <w:lvl w:ilvl="5" w:tplc="0C00001B">
      <w:start w:val="1"/>
      <w:numFmt w:val="lowerRoman"/>
      <w:lvlText w:val="%6."/>
      <w:lvlJc w:val="right"/>
      <w:pPr>
        <w:ind w:left="5378" w:hanging="180"/>
      </w:pPr>
    </w:lvl>
    <w:lvl w:ilvl="6" w:tplc="0C00000F">
      <w:start w:val="1"/>
      <w:numFmt w:val="decimal"/>
      <w:lvlText w:val="%7."/>
      <w:lvlJc w:val="left"/>
      <w:pPr>
        <w:ind w:left="6098" w:hanging="360"/>
      </w:pPr>
    </w:lvl>
    <w:lvl w:ilvl="7" w:tplc="0C000019">
      <w:start w:val="1"/>
      <w:numFmt w:val="lowerLetter"/>
      <w:lvlText w:val="%8."/>
      <w:lvlJc w:val="left"/>
      <w:pPr>
        <w:ind w:left="6818" w:hanging="360"/>
      </w:pPr>
    </w:lvl>
    <w:lvl w:ilvl="8" w:tplc="0C00001B">
      <w:start w:val="1"/>
      <w:numFmt w:val="lowerRoman"/>
      <w:lvlText w:val="%9."/>
      <w:lvlJc w:val="right"/>
      <w:pPr>
        <w:ind w:left="7538" w:hanging="180"/>
      </w:pPr>
    </w:lvl>
  </w:abstractNum>
  <w:abstractNum w:abstractNumId="15" w15:restartNumberingAfterBreak="0">
    <w:nsid w:val="2F580DCC"/>
    <w:multiLevelType w:val="hybridMultilevel"/>
    <w:tmpl w:val="1142539C"/>
    <w:lvl w:ilvl="0" w:tplc="E5E8AED4">
      <w:start w:val="1"/>
      <w:numFmt w:val="bullet"/>
      <w:lvlText w:val=""/>
      <w:lvlJc w:val="left"/>
      <w:pPr>
        <w:tabs>
          <w:tab w:val="num" w:pos="720"/>
        </w:tabs>
        <w:ind w:left="720" w:hanging="360"/>
      </w:pPr>
      <w:rPr>
        <w:rFonts w:ascii="Wingdings 2" w:hAnsi="Wingdings 2" w:hint="default"/>
      </w:rPr>
    </w:lvl>
    <w:lvl w:ilvl="1" w:tplc="982406EA" w:tentative="1">
      <w:start w:val="1"/>
      <w:numFmt w:val="bullet"/>
      <w:lvlText w:val=""/>
      <w:lvlJc w:val="left"/>
      <w:pPr>
        <w:tabs>
          <w:tab w:val="num" w:pos="1440"/>
        </w:tabs>
        <w:ind w:left="1440" w:hanging="360"/>
      </w:pPr>
      <w:rPr>
        <w:rFonts w:ascii="Wingdings 2" w:hAnsi="Wingdings 2" w:hint="default"/>
      </w:rPr>
    </w:lvl>
    <w:lvl w:ilvl="2" w:tplc="9B5E14F0">
      <w:start w:val="1"/>
      <w:numFmt w:val="bullet"/>
      <w:lvlText w:val=""/>
      <w:lvlJc w:val="left"/>
      <w:pPr>
        <w:tabs>
          <w:tab w:val="num" w:pos="2160"/>
        </w:tabs>
        <w:ind w:left="2160" w:hanging="360"/>
      </w:pPr>
      <w:rPr>
        <w:rFonts w:ascii="Wingdings 2" w:hAnsi="Wingdings 2" w:hint="default"/>
      </w:rPr>
    </w:lvl>
    <w:lvl w:ilvl="3" w:tplc="7ED08DBC">
      <w:numFmt w:val="bullet"/>
      <w:lvlText w:val=""/>
      <w:lvlJc w:val="left"/>
      <w:pPr>
        <w:tabs>
          <w:tab w:val="num" w:pos="2880"/>
        </w:tabs>
        <w:ind w:left="2880" w:hanging="360"/>
      </w:pPr>
      <w:rPr>
        <w:rFonts w:ascii="Wingdings 3" w:hAnsi="Wingdings 3" w:hint="default"/>
      </w:rPr>
    </w:lvl>
    <w:lvl w:ilvl="4" w:tplc="DE0AEA68" w:tentative="1">
      <w:start w:val="1"/>
      <w:numFmt w:val="bullet"/>
      <w:lvlText w:val=""/>
      <w:lvlJc w:val="left"/>
      <w:pPr>
        <w:tabs>
          <w:tab w:val="num" w:pos="3600"/>
        </w:tabs>
        <w:ind w:left="3600" w:hanging="360"/>
      </w:pPr>
      <w:rPr>
        <w:rFonts w:ascii="Wingdings 2" w:hAnsi="Wingdings 2" w:hint="default"/>
      </w:rPr>
    </w:lvl>
    <w:lvl w:ilvl="5" w:tplc="4D7AD6AC" w:tentative="1">
      <w:start w:val="1"/>
      <w:numFmt w:val="bullet"/>
      <w:lvlText w:val=""/>
      <w:lvlJc w:val="left"/>
      <w:pPr>
        <w:tabs>
          <w:tab w:val="num" w:pos="4320"/>
        </w:tabs>
        <w:ind w:left="4320" w:hanging="360"/>
      </w:pPr>
      <w:rPr>
        <w:rFonts w:ascii="Wingdings 2" w:hAnsi="Wingdings 2" w:hint="default"/>
      </w:rPr>
    </w:lvl>
    <w:lvl w:ilvl="6" w:tplc="08725BE6" w:tentative="1">
      <w:start w:val="1"/>
      <w:numFmt w:val="bullet"/>
      <w:lvlText w:val=""/>
      <w:lvlJc w:val="left"/>
      <w:pPr>
        <w:tabs>
          <w:tab w:val="num" w:pos="5040"/>
        </w:tabs>
        <w:ind w:left="5040" w:hanging="360"/>
      </w:pPr>
      <w:rPr>
        <w:rFonts w:ascii="Wingdings 2" w:hAnsi="Wingdings 2" w:hint="default"/>
      </w:rPr>
    </w:lvl>
    <w:lvl w:ilvl="7" w:tplc="0E066148" w:tentative="1">
      <w:start w:val="1"/>
      <w:numFmt w:val="bullet"/>
      <w:lvlText w:val=""/>
      <w:lvlJc w:val="left"/>
      <w:pPr>
        <w:tabs>
          <w:tab w:val="num" w:pos="5760"/>
        </w:tabs>
        <w:ind w:left="5760" w:hanging="360"/>
      </w:pPr>
      <w:rPr>
        <w:rFonts w:ascii="Wingdings 2" w:hAnsi="Wingdings 2" w:hint="default"/>
      </w:rPr>
    </w:lvl>
    <w:lvl w:ilvl="8" w:tplc="5EF6611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F8F2B24"/>
    <w:multiLevelType w:val="hybridMultilevel"/>
    <w:tmpl w:val="92869BA2"/>
    <w:lvl w:ilvl="0" w:tplc="890271BC">
      <w:start w:val="1"/>
      <w:numFmt w:val="decimal"/>
      <w:lvlText w:val="%1."/>
      <w:lvlJc w:val="left"/>
      <w:pPr>
        <w:ind w:left="540" w:hanging="180"/>
      </w:pPr>
      <w:rPr>
        <w:rFonts w:asciiTheme="minorHAnsi" w:hAnsiTheme="minorHAnsi" w:cstheme="minorHAnsi" w:hint="default"/>
        <w:b/>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04B5F19"/>
    <w:multiLevelType w:val="hybridMultilevel"/>
    <w:tmpl w:val="F8DA682A"/>
    <w:lvl w:ilvl="0" w:tplc="08130001">
      <w:start w:val="1"/>
      <w:numFmt w:val="bullet"/>
      <w:lvlText w:val=""/>
      <w:lvlJc w:val="left"/>
      <w:pPr>
        <w:ind w:left="1778" w:hanging="360"/>
      </w:pPr>
      <w:rPr>
        <w:rFonts w:ascii="Symbol" w:hAnsi="Symbol" w:hint="default"/>
      </w:rPr>
    </w:lvl>
    <w:lvl w:ilvl="1" w:tplc="0C000019">
      <w:start w:val="1"/>
      <w:numFmt w:val="lowerLetter"/>
      <w:lvlText w:val="%2."/>
      <w:lvlJc w:val="left"/>
      <w:pPr>
        <w:ind w:left="2352" w:hanging="360"/>
      </w:pPr>
    </w:lvl>
    <w:lvl w:ilvl="2" w:tplc="0C00001B">
      <w:start w:val="1"/>
      <w:numFmt w:val="lowerRoman"/>
      <w:lvlText w:val="%3."/>
      <w:lvlJc w:val="right"/>
      <w:pPr>
        <w:ind w:left="3072" w:hanging="180"/>
      </w:pPr>
    </w:lvl>
    <w:lvl w:ilvl="3" w:tplc="0C00000F">
      <w:start w:val="1"/>
      <w:numFmt w:val="decimal"/>
      <w:lvlText w:val="%4."/>
      <w:lvlJc w:val="left"/>
      <w:pPr>
        <w:ind w:left="3792" w:hanging="360"/>
      </w:pPr>
    </w:lvl>
    <w:lvl w:ilvl="4" w:tplc="0C000019">
      <w:start w:val="1"/>
      <w:numFmt w:val="lowerLetter"/>
      <w:lvlText w:val="%5."/>
      <w:lvlJc w:val="left"/>
      <w:pPr>
        <w:ind w:left="4512" w:hanging="360"/>
      </w:pPr>
    </w:lvl>
    <w:lvl w:ilvl="5" w:tplc="0C00001B">
      <w:start w:val="1"/>
      <w:numFmt w:val="lowerRoman"/>
      <w:lvlText w:val="%6."/>
      <w:lvlJc w:val="right"/>
      <w:pPr>
        <w:ind w:left="5232" w:hanging="180"/>
      </w:pPr>
    </w:lvl>
    <w:lvl w:ilvl="6" w:tplc="0C00000F">
      <w:start w:val="1"/>
      <w:numFmt w:val="decimal"/>
      <w:lvlText w:val="%7."/>
      <w:lvlJc w:val="left"/>
      <w:pPr>
        <w:ind w:left="5952" w:hanging="360"/>
      </w:pPr>
    </w:lvl>
    <w:lvl w:ilvl="7" w:tplc="0C000019">
      <w:start w:val="1"/>
      <w:numFmt w:val="lowerLetter"/>
      <w:lvlText w:val="%8."/>
      <w:lvlJc w:val="left"/>
      <w:pPr>
        <w:ind w:left="6672" w:hanging="360"/>
      </w:pPr>
    </w:lvl>
    <w:lvl w:ilvl="8" w:tplc="0C00001B">
      <w:start w:val="1"/>
      <w:numFmt w:val="lowerRoman"/>
      <w:lvlText w:val="%9."/>
      <w:lvlJc w:val="right"/>
      <w:pPr>
        <w:ind w:left="7392" w:hanging="180"/>
      </w:pPr>
    </w:lvl>
  </w:abstractNum>
  <w:abstractNum w:abstractNumId="18" w15:restartNumberingAfterBreak="0">
    <w:nsid w:val="33DA7B7C"/>
    <w:multiLevelType w:val="hybridMultilevel"/>
    <w:tmpl w:val="339A136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5A4089C"/>
    <w:multiLevelType w:val="hybridMultilevel"/>
    <w:tmpl w:val="45FAFA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3E56DE6"/>
    <w:multiLevelType w:val="hybridMultilevel"/>
    <w:tmpl w:val="3992F1B0"/>
    <w:lvl w:ilvl="0" w:tplc="17766EC0">
      <w:start w:val="1"/>
      <w:numFmt w:val="lowerLetter"/>
      <w:lvlText w:val="%1)"/>
      <w:lvlJc w:val="left"/>
      <w:pPr>
        <w:ind w:left="1778" w:hanging="360"/>
      </w:pPr>
    </w:lvl>
    <w:lvl w:ilvl="1" w:tplc="0C000019">
      <w:start w:val="1"/>
      <w:numFmt w:val="lowerLetter"/>
      <w:lvlText w:val="%2."/>
      <w:lvlJc w:val="left"/>
      <w:pPr>
        <w:ind w:left="2352" w:hanging="360"/>
      </w:pPr>
    </w:lvl>
    <w:lvl w:ilvl="2" w:tplc="0C00001B">
      <w:start w:val="1"/>
      <w:numFmt w:val="lowerRoman"/>
      <w:lvlText w:val="%3."/>
      <w:lvlJc w:val="right"/>
      <w:pPr>
        <w:ind w:left="3072" w:hanging="180"/>
      </w:pPr>
    </w:lvl>
    <w:lvl w:ilvl="3" w:tplc="0C00000F">
      <w:start w:val="1"/>
      <w:numFmt w:val="decimal"/>
      <w:lvlText w:val="%4."/>
      <w:lvlJc w:val="left"/>
      <w:pPr>
        <w:ind w:left="3792" w:hanging="360"/>
      </w:pPr>
    </w:lvl>
    <w:lvl w:ilvl="4" w:tplc="0C000019">
      <w:start w:val="1"/>
      <w:numFmt w:val="lowerLetter"/>
      <w:lvlText w:val="%5."/>
      <w:lvlJc w:val="left"/>
      <w:pPr>
        <w:ind w:left="4512" w:hanging="360"/>
      </w:pPr>
    </w:lvl>
    <w:lvl w:ilvl="5" w:tplc="0C00001B">
      <w:start w:val="1"/>
      <w:numFmt w:val="lowerRoman"/>
      <w:lvlText w:val="%6."/>
      <w:lvlJc w:val="right"/>
      <w:pPr>
        <w:ind w:left="5232" w:hanging="180"/>
      </w:pPr>
    </w:lvl>
    <w:lvl w:ilvl="6" w:tplc="0C00000F">
      <w:start w:val="1"/>
      <w:numFmt w:val="decimal"/>
      <w:lvlText w:val="%7."/>
      <w:lvlJc w:val="left"/>
      <w:pPr>
        <w:ind w:left="5952" w:hanging="360"/>
      </w:pPr>
    </w:lvl>
    <w:lvl w:ilvl="7" w:tplc="0C000019">
      <w:start w:val="1"/>
      <w:numFmt w:val="lowerLetter"/>
      <w:lvlText w:val="%8."/>
      <w:lvlJc w:val="left"/>
      <w:pPr>
        <w:ind w:left="6672" w:hanging="360"/>
      </w:pPr>
    </w:lvl>
    <w:lvl w:ilvl="8" w:tplc="0C00001B">
      <w:start w:val="1"/>
      <w:numFmt w:val="lowerRoman"/>
      <w:lvlText w:val="%9."/>
      <w:lvlJc w:val="right"/>
      <w:pPr>
        <w:ind w:left="7392" w:hanging="180"/>
      </w:pPr>
    </w:lvl>
  </w:abstractNum>
  <w:abstractNum w:abstractNumId="21" w15:restartNumberingAfterBreak="0">
    <w:nsid w:val="48911C81"/>
    <w:multiLevelType w:val="hybridMultilevel"/>
    <w:tmpl w:val="3026768E"/>
    <w:lvl w:ilvl="0" w:tplc="0813000F">
      <w:start w:val="1"/>
      <w:numFmt w:val="decimal"/>
      <w:lvlText w:val="%1."/>
      <w:lvlJc w:val="left"/>
      <w:pPr>
        <w:ind w:left="720" w:hanging="360"/>
      </w:pPr>
    </w:lvl>
    <w:lvl w:ilvl="1" w:tplc="DF7896C2">
      <w:start w:val="1"/>
      <w:numFmt w:val="lowerLetter"/>
      <w:lvlText w:val="%2."/>
      <w:lvlJc w:val="left"/>
      <w:pPr>
        <w:ind w:left="1440" w:hanging="360"/>
      </w:pPr>
    </w:lvl>
    <w:lvl w:ilvl="2" w:tplc="3C8AFE32">
      <w:start w:val="1"/>
      <w:numFmt w:val="lowerRoman"/>
      <w:lvlText w:val="%3."/>
      <w:lvlJc w:val="right"/>
      <w:pPr>
        <w:ind w:left="2160" w:hanging="180"/>
      </w:pPr>
    </w:lvl>
    <w:lvl w:ilvl="3" w:tplc="5E704D3A">
      <w:start w:val="1"/>
      <w:numFmt w:val="decimal"/>
      <w:lvlText w:val="%4."/>
      <w:lvlJc w:val="left"/>
      <w:pPr>
        <w:ind w:left="2880" w:hanging="360"/>
      </w:pPr>
    </w:lvl>
    <w:lvl w:ilvl="4" w:tplc="2C3C61C2">
      <w:start w:val="1"/>
      <w:numFmt w:val="lowerLetter"/>
      <w:lvlText w:val="%5."/>
      <w:lvlJc w:val="left"/>
      <w:pPr>
        <w:ind w:left="3600" w:hanging="360"/>
      </w:pPr>
    </w:lvl>
    <w:lvl w:ilvl="5" w:tplc="EB48C0E6">
      <w:start w:val="1"/>
      <w:numFmt w:val="lowerRoman"/>
      <w:lvlText w:val="%6."/>
      <w:lvlJc w:val="right"/>
      <w:pPr>
        <w:ind w:left="4320" w:hanging="180"/>
      </w:pPr>
    </w:lvl>
    <w:lvl w:ilvl="6" w:tplc="D02EF06A">
      <w:start w:val="1"/>
      <w:numFmt w:val="decimal"/>
      <w:lvlText w:val="%7."/>
      <w:lvlJc w:val="left"/>
      <w:pPr>
        <w:ind w:left="5040" w:hanging="360"/>
      </w:pPr>
    </w:lvl>
    <w:lvl w:ilvl="7" w:tplc="96DE4BFE">
      <w:start w:val="1"/>
      <w:numFmt w:val="lowerLetter"/>
      <w:lvlText w:val="%8."/>
      <w:lvlJc w:val="left"/>
      <w:pPr>
        <w:ind w:left="5760" w:hanging="360"/>
      </w:pPr>
    </w:lvl>
    <w:lvl w:ilvl="8" w:tplc="BAB8DC08">
      <w:start w:val="1"/>
      <w:numFmt w:val="lowerRoman"/>
      <w:lvlText w:val="%9."/>
      <w:lvlJc w:val="right"/>
      <w:pPr>
        <w:ind w:left="6480" w:hanging="180"/>
      </w:pPr>
    </w:lvl>
  </w:abstractNum>
  <w:abstractNum w:abstractNumId="22" w15:restartNumberingAfterBreak="0">
    <w:nsid w:val="48AB0DAA"/>
    <w:multiLevelType w:val="hybridMultilevel"/>
    <w:tmpl w:val="8B8CEE66"/>
    <w:lvl w:ilvl="0" w:tplc="10280F2E">
      <w:start w:val="1"/>
      <w:numFmt w:val="decimal"/>
      <w:lvlText w:val="%1."/>
      <w:lvlJc w:val="left"/>
      <w:pPr>
        <w:ind w:left="720" w:hanging="360"/>
      </w:pPr>
      <w:rPr>
        <w:rFonts w:hint="default"/>
        <w:b/>
        <w:bCs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A125450"/>
    <w:multiLevelType w:val="hybridMultilevel"/>
    <w:tmpl w:val="732CD0EC"/>
    <w:lvl w:ilvl="0" w:tplc="08130001">
      <w:start w:val="1"/>
      <w:numFmt w:val="bullet"/>
      <w:lvlText w:val=""/>
      <w:lvlJc w:val="left"/>
      <w:pPr>
        <w:ind w:left="643" w:hanging="360"/>
      </w:pPr>
      <w:rPr>
        <w:rFonts w:ascii="Symbol" w:hAnsi="Symbol" w:hint="default"/>
      </w:rPr>
    </w:lvl>
    <w:lvl w:ilvl="1" w:tplc="08130003" w:tentative="1">
      <w:start w:val="1"/>
      <w:numFmt w:val="bullet"/>
      <w:lvlText w:val="o"/>
      <w:lvlJc w:val="left"/>
      <w:pPr>
        <w:ind w:left="1363" w:hanging="360"/>
      </w:pPr>
      <w:rPr>
        <w:rFonts w:ascii="Courier New" w:hAnsi="Courier New" w:cs="Courier New"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24" w15:restartNumberingAfterBreak="0">
    <w:nsid w:val="4A671A31"/>
    <w:multiLevelType w:val="hybridMultilevel"/>
    <w:tmpl w:val="ECE0DD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CB46B98"/>
    <w:multiLevelType w:val="multilevel"/>
    <w:tmpl w:val="2E76BAD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CC853EF"/>
    <w:multiLevelType w:val="multilevel"/>
    <w:tmpl w:val="8A0A3F8A"/>
    <w:lvl w:ilvl="0">
      <w:start w:val="1"/>
      <w:numFmt w:val="decimal"/>
      <w:lvlText w:val="%1."/>
      <w:lvlJc w:val="left"/>
      <w:pPr>
        <w:ind w:left="785"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24C6AB8"/>
    <w:multiLevelType w:val="multilevel"/>
    <w:tmpl w:val="8A0A3F8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9D45DE3"/>
    <w:multiLevelType w:val="hybridMultilevel"/>
    <w:tmpl w:val="44C0CB5C"/>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C58358F"/>
    <w:multiLevelType w:val="multilevel"/>
    <w:tmpl w:val="8A0A3F8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1B57B87"/>
    <w:multiLevelType w:val="hybridMultilevel"/>
    <w:tmpl w:val="7BBC4D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DA45101"/>
    <w:multiLevelType w:val="hybridMultilevel"/>
    <w:tmpl w:val="4E84B26A"/>
    <w:lvl w:ilvl="0" w:tplc="36B2DB48">
      <w:start w:val="1"/>
      <w:numFmt w:val="decimal"/>
      <w:lvlText w:val="%1)"/>
      <w:lvlJc w:val="left"/>
      <w:pPr>
        <w:ind w:left="1433" w:hanging="360"/>
      </w:pPr>
      <w:rPr>
        <w:rFonts w:ascii="Calibri" w:eastAsiaTheme="minorHAnsi" w:hAnsi="Calibri" w:cs="Calibri"/>
      </w:rPr>
    </w:lvl>
    <w:lvl w:ilvl="1" w:tplc="08130003" w:tentative="1">
      <w:start w:val="1"/>
      <w:numFmt w:val="bullet"/>
      <w:lvlText w:val="o"/>
      <w:lvlJc w:val="left"/>
      <w:pPr>
        <w:ind w:left="2153" w:hanging="360"/>
      </w:pPr>
      <w:rPr>
        <w:rFonts w:ascii="Courier New" w:hAnsi="Courier New" w:cs="Courier New" w:hint="default"/>
      </w:rPr>
    </w:lvl>
    <w:lvl w:ilvl="2" w:tplc="08130005" w:tentative="1">
      <w:start w:val="1"/>
      <w:numFmt w:val="bullet"/>
      <w:lvlText w:val=""/>
      <w:lvlJc w:val="left"/>
      <w:pPr>
        <w:ind w:left="2873" w:hanging="360"/>
      </w:pPr>
      <w:rPr>
        <w:rFonts w:ascii="Wingdings" w:hAnsi="Wingdings" w:hint="default"/>
      </w:rPr>
    </w:lvl>
    <w:lvl w:ilvl="3" w:tplc="08130001" w:tentative="1">
      <w:start w:val="1"/>
      <w:numFmt w:val="bullet"/>
      <w:lvlText w:val=""/>
      <w:lvlJc w:val="left"/>
      <w:pPr>
        <w:ind w:left="3593" w:hanging="360"/>
      </w:pPr>
      <w:rPr>
        <w:rFonts w:ascii="Symbol" w:hAnsi="Symbol" w:hint="default"/>
      </w:rPr>
    </w:lvl>
    <w:lvl w:ilvl="4" w:tplc="08130003" w:tentative="1">
      <w:start w:val="1"/>
      <w:numFmt w:val="bullet"/>
      <w:lvlText w:val="o"/>
      <w:lvlJc w:val="left"/>
      <w:pPr>
        <w:ind w:left="4313" w:hanging="360"/>
      </w:pPr>
      <w:rPr>
        <w:rFonts w:ascii="Courier New" w:hAnsi="Courier New" w:cs="Courier New" w:hint="default"/>
      </w:rPr>
    </w:lvl>
    <w:lvl w:ilvl="5" w:tplc="08130005" w:tentative="1">
      <w:start w:val="1"/>
      <w:numFmt w:val="bullet"/>
      <w:lvlText w:val=""/>
      <w:lvlJc w:val="left"/>
      <w:pPr>
        <w:ind w:left="5033" w:hanging="360"/>
      </w:pPr>
      <w:rPr>
        <w:rFonts w:ascii="Wingdings" w:hAnsi="Wingdings" w:hint="default"/>
      </w:rPr>
    </w:lvl>
    <w:lvl w:ilvl="6" w:tplc="08130001" w:tentative="1">
      <w:start w:val="1"/>
      <w:numFmt w:val="bullet"/>
      <w:lvlText w:val=""/>
      <w:lvlJc w:val="left"/>
      <w:pPr>
        <w:ind w:left="5753" w:hanging="360"/>
      </w:pPr>
      <w:rPr>
        <w:rFonts w:ascii="Symbol" w:hAnsi="Symbol" w:hint="default"/>
      </w:rPr>
    </w:lvl>
    <w:lvl w:ilvl="7" w:tplc="08130003" w:tentative="1">
      <w:start w:val="1"/>
      <w:numFmt w:val="bullet"/>
      <w:lvlText w:val="o"/>
      <w:lvlJc w:val="left"/>
      <w:pPr>
        <w:ind w:left="6473" w:hanging="360"/>
      </w:pPr>
      <w:rPr>
        <w:rFonts w:ascii="Courier New" w:hAnsi="Courier New" w:cs="Courier New" w:hint="default"/>
      </w:rPr>
    </w:lvl>
    <w:lvl w:ilvl="8" w:tplc="08130005" w:tentative="1">
      <w:start w:val="1"/>
      <w:numFmt w:val="bullet"/>
      <w:lvlText w:val=""/>
      <w:lvlJc w:val="left"/>
      <w:pPr>
        <w:ind w:left="7193" w:hanging="360"/>
      </w:pPr>
      <w:rPr>
        <w:rFonts w:ascii="Wingdings" w:hAnsi="Wingdings" w:hint="default"/>
      </w:rPr>
    </w:lvl>
  </w:abstractNum>
  <w:num w:numId="1" w16cid:durableId="1788547624">
    <w:abstractNumId w:val="12"/>
  </w:num>
  <w:num w:numId="2" w16cid:durableId="655885166">
    <w:abstractNumId w:val="14"/>
  </w:num>
  <w:num w:numId="3" w16cid:durableId="14397197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40436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2462017">
    <w:abstractNumId w:val="29"/>
  </w:num>
  <w:num w:numId="6" w16cid:durableId="259066681">
    <w:abstractNumId w:val="12"/>
  </w:num>
  <w:num w:numId="7" w16cid:durableId="101729592">
    <w:abstractNumId w:val="13"/>
  </w:num>
  <w:num w:numId="8" w16cid:durableId="2019886286">
    <w:abstractNumId w:val="17"/>
  </w:num>
  <w:num w:numId="9" w16cid:durableId="95250431">
    <w:abstractNumId w:val="8"/>
  </w:num>
  <w:num w:numId="10" w16cid:durableId="1013411700">
    <w:abstractNumId w:val="28"/>
  </w:num>
  <w:num w:numId="11" w16cid:durableId="706487313">
    <w:abstractNumId w:val="27"/>
  </w:num>
  <w:num w:numId="12" w16cid:durableId="976950882">
    <w:abstractNumId w:val="14"/>
  </w:num>
  <w:num w:numId="13" w16cid:durableId="1807160031">
    <w:abstractNumId w:val="23"/>
  </w:num>
  <w:num w:numId="14" w16cid:durableId="334653134">
    <w:abstractNumId w:val="26"/>
  </w:num>
  <w:num w:numId="15" w16cid:durableId="488836609">
    <w:abstractNumId w:val="6"/>
  </w:num>
  <w:num w:numId="16" w16cid:durableId="2004432011">
    <w:abstractNumId w:val="25"/>
  </w:num>
  <w:num w:numId="17" w16cid:durableId="1200632988">
    <w:abstractNumId w:val="1"/>
  </w:num>
  <w:num w:numId="18" w16cid:durableId="2137138995">
    <w:abstractNumId w:val="19"/>
  </w:num>
  <w:num w:numId="19" w16cid:durableId="743453796">
    <w:abstractNumId w:val="0"/>
  </w:num>
  <w:num w:numId="20" w16cid:durableId="1793481104">
    <w:abstractNumId w:val="2"/>
  </w:num>
  <w:num w:numId="21" w16cid:durableId="590161805">
    <w:abstractNumId w:val="30"/>
  </w:num>
  <w:num w:numId="22" w16cid:durableId="194123369">
    <w:abstractNumId w:val="11"/>
  </w:num>
  <w:num w:numId="23" w16cid:durableId="375351454">
    <w:abstractNumId w:val="15"/>
  </w:num>
  <w:num w:numId="24" w16cid:durableId="37315883">
    <w:abstractNumId w:val="3"/>
  </w:num>
  <w:num w:numId="25" w16cid:durableId="449668090">
    <w:abstractNumId w:val="5"/>
  </w:num>
  <w:num w:numId="26" w16cid:durableId="1335498394">
    <w:abstractNumId w:val="24"/>
  </w:num>
  <w:num w:numId="27" w16cid:durableId="495802163">
    <w:abstractNumId w:val="18"/>
  </w:num>
  <w:num w:numId="28" w16cid:durableId="842936144">
    <w:abstractNumId w:val="31"/>
  </w:num>
  <w:num w:numId="29" w16cid:durableId="1838879487">
    <w:abstractNumId w:val="16"/>
  </w:num>
  <w:num w:numId="30" w16cid:durableId="806357955">
    <w:abstractNumId w:val="22"/>
  </w:num>
  <w:num w:numId="31" w16cid:durableId="1353192262">
    <w:abstractNumId w:val="10"/>
  </w:num>
  <w:num w:numId="32" w16cid:durableId="141974001">
    <w:abstractNumId w:val="21"/>
  </w:num>
  <w:num w:numId="33" w16cid:durableId="1935937205">
    <w:abstractNumId w:val="9"/>
  </w:num>
  <w:num w:numId="34" w16cid:durableId="1251501517">
    <w:abstractNumId w:val="7"/>
  </w:num>
  <w:num w:numId="35" w16cid:durableId="583951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31"/>
    <w:rsid w:val="000002FC"/>
    <w:rsid w:val="00000505"/>
    <w:rsid w:val="0000075F"/>
    <w:rsid w:val="0000101B"/>
    <w:rsid w:val="00002F6E"/>
    <w:rsid w:val="00011DBE"/>
    <w:rsid w:val="00014197"/>
    <w:rsid w:val="00017B41"/>
    <w:rsid w:val="00026D75"/>
    <w:rsid w:val="00031358"/>
    <w:rsid w:val="00032AD7"/>
    <w:rsid w:val="00044EC0"/>
    <w:rsid w:val="000577AA"/>
    <w:rsid w:val="000604F7"/>
    <w:rsid w:val="00066167"/>
    <w:rsid w:val="00066AF5"/>
    <w:rsid w:val="00066C90"/>
    <w:rsid w:val="00070103"/>
    <w:rsid w:val="00072035"/>
    <w:rsid w:val="00073037"/>
    <w:rsid w:val="000751DD"/>
    <w:rsid w:val="000768F2"/>
    <w:rsid w:val="000818F2"/>
    <w:rsid w:val="00081A04"/>
    <w:rsid w:val="000826AA"/>
    <w:rsid w:val="00084F6E"/>
    <w:rsid w:val="000933FD"/>
    <w:rsid w:val="000948C3"/>
    <w:rsid w:val="0009621F"/>
    <w:rsid w:val="0009769B"/>
    <w:rsid w:val="000A0593"/>
    <w:rsid w:val="000A45A2"/>
    <w:rsid w:val="000A50AD"/>
    <w:rsid w:val="000A5DDB"/>
    <w:rsid w:val="000A6401"/>
    <w:rsid w:val="000A6FC9"/>
    <w:rsid w:val="000A7B01"/>
    <w:rsid w:val="000B3EBA"/>
    <w:rsid w:val="000B4563"/>
    <w:rsid w:val="000B6961"/>
    <w:rsid w:val="000C2001"/>
    <w:rsid w:val="000C415F"/>
    <w:rsid w:val="000C489C"/>
    <w:rsid w:val="000C5338"/>
    <w:rsid w:val="000C6D96"/>
    <w:rsid w:val="000C79D8"/>
    <w:rsid w:val="000D04BB"/>
    <w:rsid w:val="000D1141"/>
    <w:rsid w:val="000D26F6"/>
    <w:rsid w:val="000D39D6"/>
    <w:rsid w:val="000D4F2C"/>
    <w:rsid w:val="000D64A9"/>
    <w:rsid w:val="000E2956"/>
    <w:rsid w:val="000E4B15"/>
    <w:rsid w:val="000E67C5"/>
    <w:rsid w:val="000F2227"/>
    <w:rsid w:val="000F235C"/>
    <w:rsid w:val="000F3AD0"/>
    <w:rsid w:val="000F464C"/>
    <w:rsid w:val="001033C1"/>
    <w:rsid w:val="0010341D"/>
    <w:rsid w:val="00110699"/>
    <w:rsid w:val="00110C2D"/>
    <w:rsid w:val="0011340A"/>
    <w:rsid w:val="00120611"/>
    <w:rsid w:val="00121B26"/>
    <w:rsid w:val="00127A55"/>
    <w:rsid w:val="0013133A"/>
    <w:rsid w:val="00135867"/>
    <w:rsid w:val="00137F81"/>
    <w:rsid w:val="00140E33"/>
    <w:rsid w:val="0014270F"/>
    <w:rsid w:val="00151C1A"/>
    <w:rsid w:val="00152AA7"/>
    <w:rsid w:val="0016144E"/>
    <w:rsid w:val="00165AFE"/>
    <w:rsid w:val="00167B98"/>
    <w:rsid w:val="00171CB5"/>
    <w:rsid w:val="00174BBF"/>
    <w:rsid w:val="00175A61"/>
    <w:rsid w:val="00177806"/>
    <w:rsid w:val="00181DA6"/>
    <w:rsid w:val="00183E25"/>
    <w:rsid w:val="0018510D"/>
    <w:rsid w:val="001860D2"/>
    <w:rsid w:val="001864DD"/>
    <w:rsid w:val="0018651D"/>
    <w:rsid w:val="001870CD"/>
    <w:rsid w:val="00191300"/>
    <w:rsid w:val="00192DF0"/>
    <w:rsid w:val="0019560B"/>
    <w:rsid w:val="001A2FFF"/>
    <w:rsid w:val="001A5A5D"/>
    <w:rsid w:val="001A630A"/>
    <w:rsid w:val="001B7011"/>
    <w:rsid w:val="001B74D5"/>
    <w:rsid w:val="001C3B1C"/>
    <w:rsid w:val="001C42DB"/>
    <w:rsid w:val="001C59FF"/>
    <w:rsid w:val="001C7A44"/>
    <w:rsid w:val="001D4009"/>
    <w:rsid w:val="001E2B18"/>
    <w:rsid w:val="001E543C"/>
    <w:rsid w:val="001F009B"/>
    <w:rsid w:val="001F2E2F"/>
    <w:rsid w:val="001F2F66"/>
    <w:rsid w:val="001F64CE"/>
    <w:rsid w:val="002064BE"/>
    <w:rsid w:val="002104EE"/>
    <w:rsid w:val="002110C0"/>
    <w:rsid w:val="0021124C"/>
    <w:rsid w:val="00216C30"/>
    <w:rsid w:val="00221BEE"/>
    <w:rsid w:val="002228EE"/>
    <w:rsid w:val="00223F4C"/>
    <w:rsid w:val="002250B1"/>
    <w:rsid w:val="0022540E"/>
    <w:rsid w:val="00225E4A"/>
    <w:rsid w:val="002271CA"/>
    <w:rsid w:val="002326D1"/>
    <w:rsid w:val="00233CD0"/>
    <w:rsid w:val="002369AB"/>
    <w:rsid w:val="00240410"/>
    <w:rsid w:val="00240ABE"/>
    <w:rsid w:val="00244DF4"/>
    <w:rsid w:val="00246B61"/>
    <w:rsid w:val="0025027C"/>
    <w:rsid w:val="00255F88"/>
    <w:rsid w:val="002571F6"/>
    <w:rsid w:val="0026131F"/>
    <w:rsid w:val="00264A6E"/>
    <w:rsid w:val="00267183"/>
    <w:rsid w:val="002700C3"/>
    <w:rsid w:val="0027064F"/>
    <w:rsid w:val="0027559F"/>
    <w:rsid w:val="00280E27"/>
    <w:rsid w:val="002827C1"/>
    <w:rsid w:val="00283059"/>
    <w:rsid w:val="00284E1D"/>
    <w:rsid w:val="00285D8B"/>
    <w:rsid w:val="00285F96"/>
    <w:rsid w:val="00286FDE"/>
    <w:rsid w:val="00292150"/>
    <w:rsid w:val="00293A73"/>
    <w:rsid w:val="002953E4"/>
    <w:rsid w:val="002A0489"/>
    <w:rsid w:val="002A24F9"/>
    <w:rsid w:val="002A2F22"/>
    <w:rsid w:val="002A5B2E"/>
    <w:rsid w:val="002A65FD"/>
    <w:rsid w:val="002B1E57"/>
    <w:rsid w:val="002C0553"/>
    <w:rsid w:val="002C0BE6"/>
    <w:rsid w:val="002C1720"/>
    <w:rsid w:val="002C1BB6"/>
    <w:rsid w:val="002C55BF"/>
    <w:rsid w:val="002D6A46"/>
    <w:rsid w:val="002D7DB1"/>
    <w:rsid w:val="002E2314"/>
    <w:rsid w:val="002F1396"/>
    <w:rsid w:val="002F20D7"/>
    <w:rsid w:val="002F2693"/>
    <w:rsid w:val="002F3D52"/>
    <w:rsid w:val="002F73A0"/>
    <w:rsid w:val="00300C86"/>
    <w:rsid w:val="003012B9"/>
    <w:rsid w:val="00302B8E"/>
    <w:rsid w:val="003052F0"/>
    <w:rsid w:val="00315126"/>
    <w:rsid w:val="00315697"/>
    <w:rsid w:val="0032212C"/>
    <w:rsid w:val="00322EDE"/>
    <w:rsid w:val="00327E5A"/>
    <w:rsid w:val="00330884"/>
    <w:rsid w:val="00330B6C"/>
    <w:rsid w:val="003341CE"/>
    <w:rsid w:val="003372C7"/>
    <w:rsid w:val="00345E1C"/>
    <w:rsid w:val="00346404"/>
    <w:rsid w:val="00347176"/>
    <w:rsid w:val="0034773C"/>
    <w:rsid w:val="0035313B"/>
    <w:rsid w:val="00353318"/>
    <w:rsid w:val="00353601"/>
    <w:rsid w:val="00356286"/>
    <w:rsid w:val="00357194"/>
    <w:rsid w:val="0035749E"/>
    <w:rsid w:val="00365CD9"/>
    <w:rsid w:val="0037047E"/>
    <w:rsid w:val="003705A4"/>
    <w:rsid w:val="0038349A"/>
    <w:rsid w:val="00384270"/>
    <w:rsid w:val="00384AB4"/>
    <w:rsid w:val="003933F9"/>
    <w:rsid w:val="003A1D59"/>
    <w:rsid w:val="003A5B9F"/>
    <w:rsid w:val="003A6091"/>
    <w:rsid w:val="003B047F"/>
    <w:rsid w:val="003B0FA9"/>
    <w:rsid w:val="003B1383"/>
    <w:rsid w:val="003B270C"/>
    <w:rsid w:val="003B3008"/>
    <w:rsid w:val="003B33BA"/>
    <w:rsid w:val="003C1DEF"/>
    <w:rsid w:val="003C6C32"/>
    <w:rsid w:val="003D4750"/>
    <w:rsid w:val="003D494C"/>
    <w:rsid w:val="003D75EA"/>
    <w:rsid w:val="003D7C99"/>
    <w:rsid w:val="003E0B90"/>
    <w:rsid w:val="003E323D"/>
    <w:rsid w:val="003F022A"/>
    <w:rsid w:val="003F0DDB"/>
    <w:rsid w:val="003F1050"/>
    <w:rsid w:val="003F2D59"/>
    <w:rsid w:val="003F3D06"/>
    <w:rsid w:val="003F53CC"/>
    <w:rsid w:val="00402535"/>
    <w:rsid w:val="004038E7"/>
    <w:rsid w:val="00406B41"/>
    <w:rsid w:val="004161CD"/>
    <w:rsid w:val="004214ED"/>
    <w:rsid w:val="00421EF3"/>
    <w:rsid w:val="004226A2"/>
    <w:rsid w:val="004240F3"/>
    <w:rsid w:val="004247B7"/>
    <w:rsid w:val="004305CF"/>
    <w:rsid w:val="0043248B"/>
    <w:rsid w:val="00434ABA"/>
    <w:rsid w:val="00435DFC"/>
    <w:rsid w:val="00441218"/>
    <w:rsid w:val="00445852"/>
    <w:rsid w:val="00446DAC"/>
    <w:rsid w:val="004511DB"/>
    <w:rsid w:val="00454C49"/>
    <w:rsid w:val="004600B0"/>
    <w:rsid w:val="0046059C"/>
    <w:rsid w:val="00460CE4"/>
    <w:rsid w:val="00461831"/>
    <w:rsid w:val="00465B8D"/>
    <w:rsid w:val="00470157"/>
    <w:rsid w:val="00472028"/>
    <w:rsid w:val="00472A62"/>
    <w:rsid w:val="0047621E"/>
    <w:rsid w:val="00481167"/>
    <w:rsid w:val="00483854"/>
    <w:rsid w:val="00483CC4"/>
    <w:rsid w:val="004842E8"/>
    <w:rsid w:val="00490A1A"/>
    <w:rsid w:val="004917C5"/>
    <w:rsid w:val="00495896"/>
    <w:rsid w:val="00495EFF"/>
    <w:rsid w:val="004A2CD9"/>
    <w:rsid w:val="004A3E35"/>
    <w:rsid w:val="004B3721"/>
    <w:rsid w:val="004B64A9"/>
    <w:rsid w:val="004B661A"/>
    <w:rsid w:val="004B7391"/>
    <w:rsid w:val="004C42B1"/>
    <w:rsid w:val="004C47F1"/>
    <w:rsid w:val="004E12BE"/>
    <w:rsid w:val="004E47FC"/>
    <w:rsid w:val="004F7572"/>
    <w:rsid w:val="00503D29"/>
    <w:rsid w:val="0050570A"/>
    <w:rsid w:val="0050640D"/>
    <w:rsid w:val="00507F6F"/>
    <w:rsid w:val="00514AB1"/>
    <w:rsid w:val="005168B2"/>
    <w:rsid w:val="00516B01"/>
    <w:rsid w:val="00517EE7"/>
    <w:rsid w:val="00523EDA"/>
    <w:rsid w:val="00524A29"/>
    <w:rsid w:val="00530534"/>
    <w:rsid w:val="00535CD3"/>
    <w:rsid w:val="0054125F"/>
    <w:rsid w:val="005414EA"/>
    <w:rsid w:val="0054339B"/>
    <w:rsid w:val="005444E6"/>
    <w:rsid w:val="00550308"/>
    <w:rsid w:val="00550BA3"/>
    <w:rsid w:val="00550BDB"/>
    <w:rsid w:val="005516A0"/>
    <w:rsid w:val="005524E2"/>
    <w:rsid w:val="005526D8"/>
    <w:rsid w:val="00552F32"/>
    <w:rsid w:val="005567F4"/>
    <w:rsid w:val="00556B8A"/>
    <w:rsid w:val="00556DA8"/>
    <w:rsid w:val="00556FD9"/>
    <w:rsid w:val="005619FE"/>
    <w:rsid w:val="00561F55"/>
    <w:rsid w:val="00565CB3"/>
    <w:rsid w:val="0057268C"/>
    <w:rsid w:val="0057386D"/>
    <w:rsid w:val="005745A5"/>
    <w:rsid w:val="0057552A"/>
    <w:rsid w:val="00580E4C"/>
    <w:rsid w:val="00581953"/>
    <w:rsid w:val="00582E47"/>
    <w:rsid w:val="00583C98"/>
    <w:rsid w:val="00584594"/>
    <w:rsid w:val="00587C3B"/>
    <w:rsid w:val="00590110"/>
    <w:rsid w:val="005936CC"/>
    <w:rsid w:val="005937EA"/>
    <w:rsid w:val="00594E02"/>
    <w:rsid w:val="00597BDD"/>
    <w:rsid w:val="005B00BA"/>
    <w:rsid w:val="005B12A6"/>
    <w:rsid w:val="005B3146"/>
    <w:rsid w:val="005B5593"/>
    <w:rsid w:val="005B6155"/>
    <w:rsid w:val="005B6EEA"/>
    <w:rsid w:val="005C1BB4"/>
    <w:rsid w:val="005C3291"/>
    <w:rsid w:val="005C557F"/>
    <w:rsid w:val="005C6462"/>
    <w:rsid w:val="005D233A"/>
    <w:rsid w:val="005D31CF"/>
    <w:rsid w:val="005E0B73"/>
    <w:rsid w:val="005E5FEC"/>
    <w:rsid w:val="005F0479"/>
    <w:rsid w:val="005F17C5"/>
    <w:rsid w:val="005F1CC1"/>
    <w:rsid w:val="005F26A3"/>
    <w:rsid w:val="005F2F19"/>
    <w:rsid w:val="005F5F56"/>
    <w:rsid w:val="00602559"/>
    <w:rsid w:val="0060287A"/>
    <w:rsid w:val="00602FB1"/>
    <w:rsid w:val="00603325"/>
    <w:rsid w:val="00622F8B"/>
    <w:rsid w:val="0062566B"/>
    <w:rsid w:val="006326B2"/>
    <w:rsid w:val="006350F8"/>
    <w:rsid w:val="00636877"/>
    <w:rsid w:val="00641304"/>
    <w:rsid w:val="00645829"/>
    <w:rsid w:val="00653713"/>
    <w:rsid w:val="00655E03"/>
    <w:rsid w:val="00661E05"/>
    <w:rsid w:val="00662E43"/>
    <w:rsid w:val="006647D9"/>
    <w:rsid w:val="00665DD5"/>
    <w:rsid w:val="00666D39"/>
    <w:rsid w:val="006711FB"/>
    <w:rsid w:val="00672050"/>
    <w:rsid w:val="00683B59"/>
    <w:rsid w:val="0069272E"/>
    <w:rsid w:val="00696853"/>
    <w:rsid w:val="006A2124"/>
    <w:rsid w:val="006A2DE3"/>
    <w:rsid w:val="006A31E7"/>
    <w:rsid w:val="006A489E"/>
    <w:rsid w:val="006A64ED"/>
    <w:rsid w:val="006A73B9"/>
    <w:rsid w:val="006B0DEF"/>
    <w:rsid w:val="006B156C"/>
    <w:rsid w:val="006B23C1"/>
    <w:rsid w:val="006B34FF"/>
    <w:rsid w:val="006B622E"/>
    <w:rsid w:val="006B6279"/>
    <w:rsid w:val="006C163B"/>
    <w:rsid w:val="006C59E5"/>
    <w:rsid w:val="006C73E4"/>
    <w:rsid w:val="006D06D7"/>
    <w:rsid w:val="006D441D"/>
    <w:rsid w:val="006D627D"/>
    <w:rsid w:val="006F4D81"/>
    <w:rsid w:val="006F5450"/>
    <w:rsid w:val="00704FC1"/>
    <w:rsid w:val="00705C36"/>
    <w:rsid w:val="00706A0A"/>
    <w:rsid w:val="00706AE9"/>
    <w:rsid w:val="00707076"/>
    <w:rsid w:val="00707F4A"/>
    <w:rsid w:val="00711547"/>
    <w:rsid w:val="0071296E"/>
    <w:rsid w:val="0071598C"/>
    <w:rsid w:val="00716913"/>
    <w:rsid w:val="007174E0"/>
    <w:rsid w:val="00722082"/>
    <w:rsid w:val="00722701"/>
    <w:rsid w:val="00723658"/>
    <w:rsid w:val="00723E77"/>
    <w:rsid w:val="00724C4E"/>
    <w:rsid w:val="00724DDF"/>
    <w:rsid w:val="00725401"/>
    <w:rsid w:val="00735A4C"/>
    <w:rsid w:val="007421E3"/>
    <w:rsid w:val="0074299F"/>
    <w:rsid w:val="00746226"/>
    <w:rsid w:val="00751EF9"/>
    <w:rsid w:val="00752436"/>
    <w:rsid w:val="00752DF0"/>
    <w:rsid w:val="00760756"/>
    <w:rsid w:val="007647DD"/>
    <w:rsid w:val="007738D3"/>
    <w:rsid w:val="0077429F"/>
    <w:rsid w:val="007742D5"/>
    <w:rsid w:val="00780792"/>
    <w:rsid w:val="00784F80"/>
    <w:rsid w:val="00791116"/>
    <w:rsid w:val="0079412A"/>
    <w:rsid w:val="007952DE"/>
    <w:rsid w:val="00795885"/>
    <w:rsid w:val="00795FCB"/>
    <w:rsid w:val="007A07C5"/>
    <w:rsid w:val="007A0EB5"/>
    <w:rsid w:val="007A2FE2"/>
    <w:rsid w:val="007A5231"/>
    <w:rsid w:val="007A59A6"/>
    <w:rsid w:val="007B0512"/>
    <w:rsid w:val="007B24F3"/>
    <w:rsid w:val="007B464D"/>
    <w:rsid w:val="007B5259"/>
    <w:rsid w:val="007B604C"/>
    <w:rsid w:val="007C0133"/>
    <w:rsid w:val="007C2A8B"/>
    <w:rsid w:val="007C3E43"/>
    <w:rsid w:val="007C4B54"/>
    <w:rsid w:val="007C4DF4"/>
    <w:rsid w:val="007C5A87"/>
    <w:rsid w:val="007D0892"/>
    <w:rsid w:val="007D15D9"/>
    <w:rsid w:val="007D15F4"/>
    <w:rsid w:val="007D2B95"/>
    <w:rsid w:val="007D5F2E"/>
    <w:rsid w:val="007D6418"/>
    <w:rsid w:val="007F10AA"/>
    <w:rsid w:val="007F2953"/>
    <w:rsid w:val="0080282A"/>
    <w:rsid w:val="00804584"/>
    <w:rsid w:val="0080593F"/>
    <w:rsid w:val="00805B0C"/>
    <w:rsid w:val="00805BD4"/>
    <w:rsid w:val="00807C85"/>
    <w:rsid w:val="008126D7"/>
    <w:rsid w:val="00814A0D"/>
    <w:rsid w:val="008150DD"/>
    <w:rsid w:val="008212CA"/>
    <w:rsid w:val="00823AFF"/>
    <w:rsid w:val="008251C9"/>
    <w:rsid w:val="008305D3"/>
    <w:rsid w:val="0083159E"/>
    <w:rsid w:val="008319B6"/>
    <w:rsid w:val="00832E44"/>
    <w:rsid w:val="00833387"/>
    <w:rsid w:val="00833582"/>
    <w:rsid w:val="00833675"/>
    <w:rsid w:val="00834789"/>
    <w:rsid w:val="008403CD"/>
    <w:rsid w:val="00850EAF"/>
    <w:rsid w:val="0085136D"/>
    <w:rsid w:val="00854FB4"/>
    <w:rsid w:val="0086419B"/>
    <w:rsid w:val="00864916"/>
    <w:rsid w:val="0086619D"/>
    <w:rsid w:val="008662A2"/>
    <w:rsid w:val="00870134"/>
    <w:rsid w:val="0087665D"/>
    <w:rsid w:val="00877742"/>
    <w:rsid w:val="0087791C"/>
    <w:rsid w:val="008855E2"/>
    <w:rsid w:val="008860C3"/>
    <w:rsid w:val="0089026F"/>
    <w:rsid w:val="008934D6"/>
    <w:rsid w:val="00893E93"/>
    <w:rsid w:val="008A2AF3"/>
    <w:rsid w:val="008A36D9"/>
    <w:rsid w:val="008A4F2A"/>
    <w:rsid w:val="008A7E68"/>
    <w:rsid w:val="008B0EA6"/>
    <w:rsid w:val="008B4AF4"/>
    <w:rsid w:val="008C02D5"/>
    <w:rsid w:val="008C0F1A"/>
    <w:rsid w:val="008C4BC1"/>
    <w:rsid w:val="008D01BA"/>
    <w:rsid w:val="008D0CC3"/>
    <w:rsid w:val="008D3102"/>
    <w:rsid w:val="008D3540"/>
    <w:rsid w:val="008D7486"/>
    <w:rsid w:val="008E26FD"/>
    <w:rsid w:val="008E6D96"/>
    <w:rsid w:val="008E6E8F"/>
    <w:rsid w:val="008E7019"/>
    <w:rsid w:val="008F2B2B"/>
    <w:rsid w:val="008F4EB9"/>
    <w:rsid w:val="008F6EB2"/>
    <w:rsid w:val="008F764A"/>
    <w:rsid w:val="008F7F60"/>
    <w:rsid w:val="00901CF1"/>
    <w:rsid w:val="00902238"/>
    <w:rsid w:val="00904220"/>
    <w:rsid w:val="009045B6"/>
    <w:rsid w:val="00906537"/>
    <w:rsid w:val="009103F6"/>
    <w:rsid w:val="009110C4"/>
    <w:rsid w:val="00911F4F"/>
    <w:rsid w:val="00914BE1"/>
    <w:rsid w:val="00916A14"/>
    <w:rsid w:val="0091772A"/>
    <w:rsid w:val="009203B2"/>
    <w:rsid w:val="00920B9C"/>
    <w:rsid w:val="00925FF3"/>
    <w:rsid w:val="00927CC0"/>
    <w:rsid w:val="00930211"/>
    <w:rsid w:val="00930BAA"/>
    <w:rsid w:val="00932C2E"/>
    <w:rsid w:val="00934575"/>
    <w:rsid w:val="00934DDD"/>
    <w:rsid w:val="00935310"/>
    <w:rsid w:val="0094455E"/>
    <w:rsid w:val="00944868"/>
    <w:rsid w:val="00955870"/>
    <w:rsid w:val="00962552"/>
    <w:rsid w:val="00967E92"/>
    <w:rsid w:val="009733D7"/>
    <w:rsid w:val="00976EEF"/>
    <w:rsid w:val="00980FC9"/>
    <w:rsid w:val="009837C8"/>
    <w:rsid w:val="00987828"/>
    <w:rsid w:val="00991806"/>
    <w:rsid w:val="00996230"/>
    <w:rsid w:val="0099647A"/>
    <w:rsid w:val="00996E06"/>
    <w:rsid w:val="009A23F0"/>
    <w:rsid w:val="009A3C60"/>
    <w:rsid w:val="009A6813"/>
    <w:rsid w:val="009B17E8"/>
    <w:rsid w:val="009B4AEE"/>
    <w:rsid w:val="009B57DA"/>
    <w:rsid w:val="009B6DE3"/>
    <w:rsid w:val="009C1C06"/>
    <w:rsid w:val="009C53C7"/>
    <w:rsid w:val="009D2D4B"/>
    <w:rsid w:val="009D6B2B"/>
    <w:rsid w:val="009D7234"/>
    <w:rsid w:val="009E0531"/>
    <w:rsid w:val="009E1867"/>
    <w:rsid w:val="009E7897"/>
    <w:rsid w:val="009F1C85"/>
    <w:rsid w:val="009F6438"/>
    <w:rsid w:val="00A004AB"/>
    <w:rsid w:val="00A00C75"/>
    <w:rsid w:val="00A0199C"/>
    <w:rsid w:val="00A01BB8"/>
    <w:rsid w:val="00A01CCC"/>
    <w:rsid w:val="00A05964"/>
    <w:rsid w:val="00A113F3"/>
    <w:rsid w:val="00A129DE"/>
    <w:rsid w:val="00A13D52"/>
    <w:rsid w:val="00A14504"/>
    <w:rsid w:val="00A15C02"/>
    <w:rsid w:val="00A17ED3"/>
    <w:rsid w:val="00A22435"/>
    <w:rsid w:val="00A237CA"/>
    <w:rsid w:val="00A23868"/>
    <w:rsid w:val="00A256ED"/>
    <w:rsid w:val="00A26657"/>
    <w:rsid w:val="00A2685B"/>
    <w:rsid w:val="00A3558B"/>
    <w:rsid w:val="00A40665"/>
    <w:rsid w:val="00A40F51"/>
    <w:rsid w:val="00A41A30"/>
    <w:rsid w:val="00A54D76"/>
    <w:rsid w:val="00A6016B"/>
    <w:rsid w:val="00A60568"/>
    <w:rsid w:val="00A608EC"/>
    <w:rsid w:val="00A613D5"/>
    <w:rsid w:val="00A61806"/>
    <w:rsid w:val="00A61A4B"/>
    <w:rsid w:val="00A65474"/>
    <w:rsid w:val="00A665EE"/>
    <w:rsid w:val="00A66E2C"/>
    <w:rsid w:val="00A7384C"/>
    <w:rsid w:val="00A75328"/>
    <w:rsid w:val="00A77990"/>
    <w:rsid w:val="00A838D8"/>
    <w:rsid w:val="00A84F3F"/>
    <w:rsid w:val="00A8690F"/>
    <w:rsid w:val="00A86B72"/>
    <w:rsid w:val="00A879D0"/>
    <w:rsid w:val="00A940A2"/>
    <w:rsid w:val="00A94716"/>
    <w:rsid w:val="00A95DDB"/>
    <w:rsid w:val="00A962EC"/>
    <w:rsid w:val="00A9695E"/>
    <w:rsid w:val="00AA1B37"/>
    <w:rsid w:val="00AA28A1"/>
    <w:rsid w:val="00AA29C1"/>
    <w:rsid w:val="00AA4005"/>
    <w:rsid w:val="00AA43FF"/>
    <w:rsid w:val="00AB2813"/>
    <w:rsid w:val="00AB409A"/>
    <w:rsid w:val="00AC0E17"/>
    <w:rsid w:val="00AC1CCB"/>
    <w:rsid w:val="00AC213E"/>
    <w:rsid w:val="00AC4FDB"/>
    <w:rsid w:val="00AD33E2"/>
    <w:rsid w:val="00AD3760"/>
    <w:rsid w:val="00AD46CE"/>
    <w:rsid w:val="00AE46F8"/>
    <w:rsid w:val="00AE4BE6"/>
    <w:rsid w:val="00AE5629"/>
    <w:rsid w:val="00AE5B69"/>
    <w:rsid w:val="00AF0BB0"/>
    <w:rsid w:val="00AF1B59"/>
    <w:rsid w:val="00AF3DD0"/>
    <w:rsid w:val="00AF44D2"/>
    <w:rsid w:val="00B06A83"/>
    <w:rsid w:val="00B15BB4"/>
    <w:rsid w:val="00B1669D"/>
    <w:rsid w:val="00B16F29"/>
    <w:rsid w:val="00B17F99"/>
    <w:rsid w:val="00B2315E"/>
    <w:rsid w:val="00B256F6"/>
    <w:rsid w:val="00B25C5A"/>
    <w:rsid w:val="00B26D5C"/>
    <w:rsid w:val="00B2797C"/>
    <w:rsid w:val="00B3054E"/>
    <w:rsid w:val="00B327D6"/>
    <w:rsid w:val="00B3638A"/>
    <w:rsid w:val="00B37061"/>
    <w:rsid w:val="00B461AF"/>
    <w:rsid w:val="00B50A51"/>
    <w:rsid w:val="00B51D9E"/>
    <w:rsid w:val="00B54A63"/>
    <w:rsid w:val="00B55A05"/>
    <w:rsid w:val="00B56BA9"/>
    <w:rsid w:val="00B61D54"/>
    <w:rsid w:val="00B629FF"/>
    <w:rsid w:val="00B62F62"/>
    <w:rsid w:val="00B63C45"/>
    <w:rsid w:val="00B65052"/>
    <w:rsid w:val="00B66330"/>
    <w:rsid w:val="00B7186F"/>
    <w:rsid w:val="00B72AFE"/>
    <w:rsid w:val="00B74627"/>
    <w:rsid w:val="00B7720F"/>
    <w:rsid w:val="00B825F2"/>
    <w:rsid w:val="00B83944"/>
    <w:rsid w:val="00B84309"/>
    <w:rsid w:val="00B84705"/>
    <w:rsid w:val="00B87325"/>
    <w:rsid w:val="00B905C8"/>
    <w:rsid w:val="00B9106C"/>
    <w:rsid w:val="00B93DCF"/>
    <w:rsid w:val="00B95D1F"/>
    <w:rsid w:val="00B963A6"/>
    <w:rsid w:val="00BA4B6B"/>
    <w:rsid w:val="00BB0E38"/>
    <w:rsid w:val="00BB3CBA"/>
    <w:rsid w:val="00BB4C3F"/>
    <w:rsid w:val="00BB6089"/>
    <w:rsid w:val="00BC2E1F"/>
    <w:rsid w:val="00BC34D5"/>
    <w:rsid w:val="00BC3FBB"/>
    <w:rsid w:val="00BC4878"/>
    <w:rsid w:val="00BC5378"/>
    <w:rsid w:val="00BC6779"/>
    <w:rsid w:val="00BC771C"/>
    <w:rsid w:val="00BD07A4"/>
    <w:rsid w:val="00BD12AB"/>
    <w:rsid w:val="00BD2DBB"/>
    <w:rsid w:val="00BD33E3"/>
    <w:rsid w:val="00BD513B"/>
    <w:rsid w:val="00BD6401"/>
    <w:rsid w:val="00BD6D26"/>
    <w:rsid w:val="00BE00AF"/>
    <w:rsid w:val="00BE1825"/>
    <w:rsid w:val="00BE202E"/>
    <w:rsid w:val="00BE67D3"/>
    <w:rsid w:val="00BF11E3"/>
    <w:rsid w:val="00BF7E76"/>
    <w:rsid w:val="00C00216"/>
    <w:rsid w:val="00C06014"/>
    <w:rsid w:val="00C10D62"/>
    <w:rsid w:val="00C10FF2"/>
    <w:rsid w:val="00C1719E"/>
    <w:rsid w:val="00C30423"/>
    <w:rsid w:val="00C348F7"/>
    <w:rsid w:val="00C366BF"/>
    <w:rsid w:val="00C507C0"/>
    <w:rsid w:val="00C55B84"/>
    <w:rsid w:val="00C57A75"/>
    <w:rsid w:val="00C61DD9"/>
    <w:rsid w:val="00C62B9B"/>
    <w:rsid w:val="00C67826"/>
    <w:rsid w:val="00C72786"/>
    <w:rsid w:val="00C73033"/>
    <w:rsid w:val="00C7636A"/>
    <w:rsid w:val="00C77C46"/>
    <w:rsid w:val="00C77ECE"/>
    <w:rsid w:val="00C82DE9"/>
    <w:rsid w:val="00C92D21"/>
    <w:rsid w:val="00CA0FD2"/>
    <w:rsid w:val="00CA6C1A"/>
    <w:rsid w:val="00CA7FB2"/>
    <w:rsid w:val="00CB36C1"/>
    <w:rsid w:val="00CB386C"/>
    <w:rsid w:val="00CB5315"/>
    <w:rsid w:val="00CC2F65"/>
    <w:rsid w:val="00CC4A15"/>
    <w:rsid w:val="00CC602F"/>
    <w:rsid w:val="00CC69A6"/>
    <w:rsid w:val="00CC77B2"/>
    <w:rsid w:val="00CD2685"/>
    <w:rsid w:val="00CE0C2E"/>
    <w:rsid w:val="00CE1DCE"/>
    <w:rsid w:val="00CE3E71"/>
    <w:rsid w:val="00CE58AF"/>
    <w:rsid w:val="00CE7D21"/>
    <w:rsid w:val="00CF547A"/>
    <w:rsid w:val="00CF5ED7"/>
    <w:rsid w:val="00CF6469"/>
    <w:rsid w:val="00CF78BE"/>
    <w:rsid w:val="00D00F00"/>
    <w:rsid w:val="00D018D4"/>
    <w:rsid w:val="00D055C7"/>
    <w:rsid w:val="00D06133"/>
    <w:rsid w:val="00D0699A"/>
    <w:rsid w:val="00D109FB"/>
    <w:rsid w:val="00D145EA"/>
    <w:rsid w:val="00D1556E"/>
    <w:rsid w:val="00D172D4"/>
    <w:rsid w:val="00D23502"/>
    <w:rsid w:val="00D23C21"/>
    <w:rsid w:val="00D26A94"/>
    <w:rsid w:val="00D3048B"/>
    <w:rsid w:val="00D30B58"/>
    <w:rsid w:val="00D3343A"/>
    <w:rsid w:val="00D46C54"/>
    <w:rsid w:val="00D47E85"/>
    <w:rsid w:val="00D61402"/>
    <w:rsid w:val="00D63AE7"/>
    <w:rsid w:val="00D70C3B"/>
    <w:rsid w:val="00D713B6"/>
    <w:rsid w:val="00D74726"/>
    <w:rsid w:val="00D76796"/>
    <w:rsid w:val="00D77C62"/>
    <w:rsid w:val="00D876AD"/>
    <w:rsid w:val="00D87B19"/>
    <w:rsid w:val="00D87BE9"/>
    <w:rsid w:val="00D959B4"/>
    <w:rsid w:val="00D95EF2"/>
    <w:rsid w:val="00DA0D0D"/>
    <w:rsid w:val="00DA234C"/>
    <w:rsid w:val="00DA7B96"/>
    <w:rsid w:val="00DB2806"/>
    <w:rsid w:val="00DB63E4"/>
    <w:rsid w:val="00DB758B"/>
    <w:rsid w:val="00DB7981"/>
    <w:rsid w:val="00DC23AF"/>
    <w:rsid w:val="00DC2B10"/>
    <w:rsid w:val="00DC67C7"/>
    <w:rsid w:val="00DD2702"/>
    <w:rsid w:val="00DD7061"/>
    <w:rsid w:val="00DE3B89"/>
    <w:rsid w:val="00DE4927"/>
    <w:rsid w:val="00DE798B"/>
    <w:rsid w:val="00DF0E98"/>
    <w:rsid w:val="00DF290A"/>
    <w:rsid w:val="00DF409B"/>
    <w:rsid w:val="00E02F32"/>
    <w:rsid w:val="00E03198"/>
    <w:rsid w:val="00E05A89"/>
    <w:rsid w:val="00E05F0E"/>
    <w:rsid w:val="00E0696C"/>
    <w:rsid w:val="00E1350F"/>
    <w:rsid w:val="00E148AD"/>
    <w:rsid w:val="00E173D2"/>
    <w:rsid w:val="00E17FE1"/>
    <w:rsid w:val="00E215ED"/>
    <w:rsid w:val="00E22EAE"/>
    <w:rsid w:val="00E30A4E"/>
    <w:rsid w:val="00E3162C"/>
    <w:rsid w:val="00E317E9"/>
    <w:rsid w:val="00E34261"/>
    <w:rsid w:val="00E370E7"/>
    <w:rsid w:val="00E40B50"/>
    <w:rsid w:val="00E5313E"/>
    <w:rsid w:val="00E57453"/>
    <w:rsid w:val="00E638ED"/>
    <w:rsid w:val="00E64D24"/>
    <w:rsid w:val="00E64F56"/>
    <w:rsid w:val="00E652A1"/>
    <w:rsid w:val="00E6597D"/>
    <w:rsid w:val="00E71A02"/>
    <w:rsid w:val="00E71C6A"/>
    <w:rsid w:val="00E725FD"/>
    <w:rsid w:val="00E7499C"/>
    <w:rsid w:val="00E74F32"/>
    <w:rsid w:val="00E818BA"/>
    <w:rsid w:val="00E82FA1"/>
    <w:rsid w:val="00E83074"/>
    <w:rsid w:val="00E854B2"/>
    <w:rsid w:val="00E94FB2"/>
    <w:rsid w:val="00E960BE"/>
    <w:rsid w:val="00E974DA"/>
    <w:rsid w:val="00E97614"/>
    <w:rsid w:val="00EA21DA"/>
    <w:rsid w:val="00EA297D"/>
    <w:rsid w:val="00EA57AE"/>
    <w:rsid w:val="00EB100F"/>
    <w:rsid w:val="00EB378F"/>
    <w:rsid w:val="00EB45AF"/>
    <w:rsid w:val="00EB60D9"/>
    <w:rsid w:val="00EC3864"/>
    <w:rsid w:val="00EC52B6"/>
    <w:rsid w:val="00EC5336"/>
    <w:rsid w:val="00EC731D"/>
    <w:rsid w:val="00ED23E3"/>
    <w:rsid w:val="00EE32A5"/>
    <w:rsid w:val="00EE429C"/>
    <w:rsid w:val="00EE4BA3"/>
    <w:rsid w:val="00EF287B"/>
    <w:rsid w:val="00EF3579"/>
    <w:rsid w:val="00F00009"/>
    <w:rsid w:val="00F0020F"/>
    <w:rsid w:val="00F02876"/>
    <w:rsid w:val="00F03890"/>
    <w:rsid w:val="00F07B4B"/>
    <w:rsid w:val="00F07DDF"/>
    <w:rsid w:val="00F132B9"/>
    <w:rsid w:val="00F17989"/>
    <w:rsid w:val="00F220E9"/>
    <w:rsid w:val="00F23272"/>
    <w:rsid w:val="00F2570E"/>
    <w:rsid w:val="00F3298F"/>
    <w:rsid w:val="00F32AF3"/>
    <w:rsid w:val="00F40D8B"/>
    <w:rsid w:val="00F41968"/>
    <w:rsid w:val="00F4772F"/>
    <w:rsid w:val="00F5249A"/>
    <w:rsid w:val="00F57521"/>
    <w:rsid w:val="00F646D5"/>
    <w:rsid w:val="00F647A3"/>
    <w:rsid w:val="00F65EE2"/>
    <w:rsid w:val="00F72508"/>
    <w:rsid w:val="00F81376"/>
    <w:rsid w:val="00F813AB"/>
    <w:rsid w:val="00F81659"/>
    <w:rsid w:val="00F82401"/>
    <w:rsid w:val="00F836C4"/>
    <w:rsid w:val="00F85BC6"/>
    <w:rsid w:val="00F909E6"/>
    <w:rsid w:val="00F91EDA"/>
    <w:rsid w:val="00F921CB"/>
    <w:rsid w:val="00F93AD1"/>
    <w:rsid w:val="00FA3724"/>
    <w:rsid w:val="00FA4153"/>
    <w:rsid w:val="00FA6373"/>
    <w:rsid w:val="00FB1DE1"/>
    <w:rsid w:val="00FB2EFC"/>
    <w:rsid w:val="00FB4987"/>
    <w:rsid w:val="00FB4DEF"/>
    <w:rsid w:val="00FB5939"/>
    <w:rsid w:val="00FB5940"/>
    <w:rsid w:val="00FC20EF"/>
    <w:rsid w:val="00FC37AE"/>
    <w:rsid w:val="00FD045F"/>
    <w:rsid w:val="00FD6770"/>
    <w:rsid w:val="00FD7495"/>
    <w:rsid w:val="00FE0A90"/>
    <w:rsid w:val="00FE25BA"/>
    <w:rsid w:val="00FE2DC7"/>
    <w:rsid w:val="00FE4EC9"/>
    <w:rsid w:val="00FE692C"/>
    <w:rsid w:val="00FE7B21"/>
    <w:rsid w:val="00FF0305"/>
    <w:rsid w:val="00FF1F2E"/>
    <w:rsid w:val="00FF41F1"/>
    <w:rsid w:val="00FF446E"/>
    <w:rsid w:val="00FF60FD"/>
    <w:rsid w:val="06D30B21"/>
    <w:rsid w:val="13D92587"/>
    <w:rsid w:val="284BA6CA"/>
    <w:rsid w:val="36587886"/>
    <w:rsid w:val="3DBD119E"/>
    <w:rsid w:val="4BF1AA70"/>
    <w:rsid w:val="534DACB3"/>
    <w:rsid w:val="5E1E3122"/>
    <w:rsid w:val="654A1F82"/>
    <w:rsid w:val="6EF78463"/>
    <w:rsid w:val="74B835DE"/>
    <w:rsid w:val="7A2EA616"/>
    <w:rsid w:val="7A4A3A08"/>
    <w:rsid w:val="7D09CD0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7AFB5"/>
  <w15:chartTrackingRefBased/>
  <w15:docId w15:val="{31318E21-EBC5-49D9-8DA5-19DAF09A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5231"/>
    <w:pPr>
      <w:spacing w:after="0" w:line="240" w:lineRule="auto"/>
    </w:pPr>
    <w:rPr>
      <w:rFonts w:ascii="Calibri" w:hAnsi="Calibri" w:cs="Calibri"/>
      <w:lang w:eastAsia="nl-BE"/>
    </w:rPr>
  </w:style>
  <w:style w:type="paragraph" w:styleId="Kop1">
    <w:name w:val="heading 1"/>
    <w:basedOn w:val="Standaard"/>
    <w:next w:val="Standaard"/>
    <w:link w:val="Kop1Char"/>
    <w:uiPriority w:val="9"/>
    <w:qFormat/>
    <w:rsid w:val="00DF290A"/>
    <w:pPr>
      <w:keepNext/>
      <w:keepLines/>
      <w:spacing w:before="240" w:line="259" w:lineRule="auto"/>
      <w:outlineLvl w:val="0"/>
    </w:pPr>
    <w:rPr>
      <w:rFonts w:eastAsiaTheme="majorEastAsia" w:cstheme="majorBidi"/>
      <w:b/>
      <w:sz w:val="28"/>
      <w:szCs w:val="32"/>
      <w:lang w:val="x-none" w:eastAsia="en-US"/>
    </w:rPr>
  </w:style>
  <w:style w:type="paragraph" w:styleId="Kop2">
    <w:name w:val="heading 2"/>
    <w:basedOn w:val="Standaard"/>
    <w:next w:val="Standaard"/>
    <w:link w:val="Kop2Char"/>
    <w:uiPriority w:val="9"/>
    <w:unhideWhenUsed/>
    <w:qFormat/>
    <w:rsid w:val="000768F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x-non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5231"/>
    <w:pPr>
      <w:ind w:left="720"/>
    </w:pPr>
  </w:style>
  <w:style w:type="character" w:styleId="Hyperlink">
    <w:name w:val="Hyperlink"/>
    <w:basedOn w:val="Standaardalinea-lettertype"/>
    <w:uiPriority w:val="99"/>
    <w:unhideWhenUsed/>
    <w:rsid w:val="000D39D6"/>
    <w:rPr>
      <w:color w:val="0563C1" w:themeColor="hyperlink"/>
      <w:u w:val="single"/>
    </w:rPr>
  </w:style>
  <w:style w:type="character" w:styleId="Onopgelostemelding">
    <w:name w:val="Unresolved Mention"/>
    <w:basedOn w:val="Standaardalinea-lettertype"/>
    <w:uiPriority w:val="99"/>
    <w:semiHidden/>
    <w:unhideWhenUsed/>
    <w:rsid w:val="000D39D6"/>
    <w:rPr>
      <w:color w:val="605E5C"/>
      <w:shd w:val="clear" w:color="auto" w:fill="E1DFDD"/>
    </w:rPr>
  </w:style>
  <w:style w:type="character" w:styleId="GevolgdeHyperlink">
    <w:name w:val="FollowedHyperlink"/>
    <w:basedOn w:val="Standaardalinea-lettertype"/>
    <w:uiPriority w:val="99"/>
    <w:semiHidden/>
    <w:unhideWhenUsed/>
    <w:rsid w:val="00F17989"/>
    <w:rPr>
      <w:color w:val="954F72" w:themeColor="followedHyperlink"/>
      <w:u w:val="single"/>
    </w:rPr>
  </w:style>
  <w:style w:type="paragraph" w:styleId="Koptekst">
    <w:name w:val="header"/>
    <w:basedOn w:val="Standaard"/>
    <w:link w:val="KoptekstChar"/>
    <w:uiPriority w:val="99"/>
    <w:unhideWhenUsed/>
    <w:rsid w:val="00B61D54"/>
    <w:pPr>
      <w:tabs>
        <w:tab w:val="center" w:pos="4513"/>
        <w:tab w:val="right" w:pos="9026"/>
      </w:tabs>
    </w:pPr>
  </w:style>
  <w:style w:type="character" w:customStyle="1" w:styleId="KoptekstChar">
    <w:name w:val="Koptekst Char"/>
    <w:basedOn w:val="Standaardalinea-lettertype"/>
    <w:link w:val="Koptekst"/>
    <w:uiPriority w:val="99"/>
    <w:rsid w:val="00B61D54"/>
    <w:rPr>
      <w:rFonts w:ascii="Calibri" w:hAnsi="Calibri" w:cs="Calibri"/>
      <w:lang w:eastAsia="nl-BE"/>
    </w:rPr>
  </w:style>
  <w:style w:type="paragraph" w:styleId="Voettekst">
    <w:name w:val="footer"/>
    <w:basedOn w:val="Standaard"/>
    <w:link w:val="VoettekstChar"/>
    <w:uiPriority w:val="99"/>
    <w:unhideWhenUsed/>
    <w:rsid w:val="00B61D54"/>
    <w:pPr>
      <w:tabs>
        <w:tab w:val="center" w:pos="4513"/>
        <w:tab w:val="right" w:pos="9026"/>
      </w:tabs>
    </w:pPr>
  </w:style>
  <w:style w:type="character" w:customStyle="1" w:styleId="VoettekstChar">
    <w:name w:val="Voettekst Char"/>
    <w:basedOn w:val="Standaardalinea-lettertype"/>
    <w:link w:val="Voettekst"/>
    <w:uiPriority w:val="99"/>
    <w:rsid w:val="00B61D54"/>
    <w:rPr>
      <w:rFonts w:ascii="Calibri" w:hAnsi="Calibri" w:cs="Calibri"/>
      <w:lang w:eastAsia="nl-BE"/>
    </w:rPr>
  </w:style>
  <w:style w:type="paragraph" w:styleId="Ballontekst">
    <w:name w:val="Balloon Text"/>
    <w:basedOn w:val="Standaard"/>
    <w:link w:val="BallontekstChar"/>
    <w:uiPriority w:val="99"/>
    <w:semiHidden/>
    <w:unhideWhenUsed/>
    <w:rsid w:val="006A73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73B9"/>
    <w:rPr>
      <w:rFonts w:ascii="Segoe UI" w:hAnsi="Segoe UI" w:cs="Segoe UI"/>
      <w:sz w:val="18"/>
      <w:szCs w:val="18"/>
      <w:lang w:eastAsia="nl-BE"/>
    </w:rPr>
  </w:style>
  <w:style w:type="paragraph" w:styleId="Titel">
    <w:name w:val="Title"/>
    <w:basedOn w:val="Standaard"/>
    <w:next w:val="Standaard"/>
    <w:link w:val="TitelChar"/>
    <w:uiPriority w:val="10"/>
    <w:qFormat/>
    <w:rsid w:val="003D4750"/>
    <w:pPr>
      <w:contextualSpacing/>
    </w:pPr>
    <w:rPr>
      <w:rFonts w:asciiTheme="majorHAnsi" w:eastAsiaTheme="majorEastAsia" w:hAnsiTheme="majorHAnsi" w:cstheme="majorBidi"/>
      <w:spacing w:val="-10"/>
      <w:kern w:val="28"/>
      <w:sz w:val="56"/>
      <w:szCs w:val="56"/>
      <w:lang w:val="x-none" w:eastAsia="en-US"/>
    </w:rPr>
  </w:style>
  <w:style w:type="character" w:customStyle="1" w:styleId="TitelChar">
    <w:name w:val="Titel Char"/>
    <w:basedOn w:val="Standaardalinea-lettertype"/>
    <w:link w:val="Titel"/>
    <w:uiPriority w:val="10"/>
    <w:rsid w:val="003D4750"/>
    <w:rPr>
      <w:rFonts w:asciiTheme="majorHAnsi" w:eastAsiaTheme="majorEastAsia" w:hAnsiTheme="majorHAnsi" w:cstheme="majorBidi"/>
      <w:spacing w:val="-10"/>
      <w:kern w:val="28"/>
      <w:sz w:val="56"/>
      <w:szCs w:val="56"/>
      <w:lang w:val="x-none"/>
    </w:rPr>
  </w:style>
  <w:style w:type="character" w:customStyle="1" w:styleId="Kop1Char">
    <w:name w:val="Kop 1 Char"/>
    <w:basedOn w:val="Standaardalinea-lettertype"/>
    <w:link w:val="Kop1"/>
    <w:uiPriority w:val="9"/>
    <w:rsid w:val="00DF290A"/>
    <w:rPr>
      <w:rFonts w:ascii="Calibri" w:eastAsiaTheme="majorEastAsia" w:hAnsi="Calibri" w:cstheme="majorBidi"/>
      <w:b/>
      <w:sz w:val="28"/>
      <w:szCs w:val="32"/>
      <w:lang w:val="x-none"/>
    </w:rPr>
  </w:style>
  <w:style w:type="character" w:customStyle="1" w:styleId="Kop2Char">
    <w:name w:val="Kop 2 Char"/>
    <w:basedOn w:val="Standaardalinea-lettertype"/>
    <w:link w:val="Kop2"/>
    <w:uiPriority w:val="9"/>
    <w:rsid w:val="000768F2"/>
    <w:rPr>
      <w:rFonts w:asciiTheme="majorHAnsi" w:eastAsiaTheme="majorEastAsia" w:hAnsiTheme="majorHAnsi" w:cstheme="majorBidi"/>
      <w:color w:val="2F5496" w:themeColor="accent1" w:themeShade="BF"/>
      <w:sz w:val="26"/>
      <w:szCs w:val="26"/>
      <w:lang w:val="x-none"/>
    </w:rPr>
  </w:style>
  <w:style w:type="paragraph" w:styleId="Kopvaninhoudsopgave">
    <w:name w:val="TOC Heading"/>
    <w:basedOn w:val="Kop1"/>
    <w:next w:val="Standaard"/>
    <w:uiPriority w:val="39"/>
    <w:unhideWhenUsed/>
    <w:qFormat/>
    <w:rsid w:val="003F0DDB"/>
    <w:pPr>
      <w:outlineLvl w:val="9"/>
    </w:pPr>
    <w:rPr>
      <w:lang w:val="nl-BE" w:eastAsia="nl-BE"/>
    </w:rPr>
  </w:style>
  <w:style w:type="paragraph" w:styleId="Inhopg1">
    <w:name w:val="toc 1"/>
    <w:basedOn w:val="Standaard"/>
    <w:next w:val="Standaard"/>
    <w:autoRedefine/>
    <w:uiPriority w:val="39"/>
    <w:unhideWhenUsed/>
    <w:rsid w:val="001C7A44"/>
    <w:pPr>
      <w:tabs>
        <w:tab w:val="left" w:pos="440"/>
        <w:tab w:val="left" w:pos="709"/>
        <w:tab w:val="right" w:leader="dot" w:pos="9016"/>
      </w:tabs>
      <w:spacing w:after="100"/>
    </w:pPr>
  </w:style>
  <w:style w:type="paragraph" w:styleId="Inhopg2">
    <w:name w:val="toc 2"/>
    <w:basedOn w:val="Standaard"/>
    <w:next w:val="Standaard"/>
    <w:autoRedefine/>
    <w:uiPriority w:val="39"/>
    <w:unhideWhenUsed/>
    <w:rsid w:val="003F0DDB"/>
    <w:pPr>
      <w:spacing w:after="100"/>
      <w:ind w:left="220"/>
    </w:pPr>
  </w:style>
  <w:style w:type="character" w:styleId="Verwijzingopmerking">
    <w:name w:val="annotation reference"/>
    <w:basedOn w:val="Standaardalinea-lettertype"/>
    <w:uiPriority w:val="99"/>
    <w:semiHidden/>
    <w:unhideWhenUsed/>
    <w:rsid w:val="00E173D2"/>
    <w:rPr>
      <w:sz w:val="16"/>
      <w:szCs w:val="16"/>
    </w:rPr>
  </w:style>
  <w:style w:type="paragraph" w:styleId="Tekstopmerking">
    <w:name w:val="annotation text"/>
    <w:basedOn w:val="Standaard"/>
    <w:link w:val="TekstopmerkingChar"/>
    <w:uiPriority w:val="99"/>
    <w:semiHidden/>
    <w:unhideWhenUsed/>
    <w:rsid w:val="00E173D2"/>
    <w:rPr>
      <w:sz w:val="20"/>
      <w:szCs w:val="20"/>
    </w:rPr>
  </w:style>
  <w:style w:type="character" w:customStyle="1" w:styleId="TekstopmerkingChar">
    <w:name w:val="Tekst opmerking Char"/>
    <w:basedOn w:val="Standaardalinea-lettertype"/>
    <w:link w:val="Tekstopmerking"/>
    <w:uiPriority w:val="99"/>
    <w:semiHidden/>
    <w:rsid w:val="00E173D2"/>
    <w:rPr>
      <w:rFonts w:ascii="Calibri" w:hAnsi="Calibri" w:cs="Calibri"/>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E173D2"/>
    <w:rPr>
      <w:b/>
      <w:bCs/>
    </w:rPr>
  </w:style>
  <w:style w:type="character" w:customStyle="1" w:styleId="OnderwerpvanopmerkingChar">
    <w:name w:val="Onderwerp van opmerking Char"/>
    <w:basedOn w:val="TekstopmerkingChar"/>
    <w:link w:val="Onderwerpvanopmerking"/>
    <w:uiPriority w:val="99"/>
    <w:semiHidden/>
    <w:rsid w:val="00E173D2"/>
    <w:rPr>
      <w:rFonts w:ascii="Calibri" w:hAnsi="Calibri" w:cs="Calibri"/>
      <w:b/>
      <w:bCs/>
      <w:sz w:val="20"/>
      <w:szCs w:val="20"/>
      <w:lang w:eastAsia="nl-BE"/>
    </w:rPr>
  </w:style>
  <w:style w:type="paragraph" w:customStyle="1" w:styleId="Documenttype">
    <w:name w:val="Document type"/>
    <w:basedOn w:val="Standaard"/>
    <w:link w:val="DocumenttypeChar"/>
    <w:qFormat/>
    <w:rsid w:val="00BC34D5"/>
    <w:pPr>
      <w:tabs>
        <w:tab w:val="right" w:pos="9921"/>
      </w:tabs>
      <w:spacing w:after="360" w:line="280" w:lineRule="exact"/>
      <w:contextualSpacing/>
      <w:jc w:val="right"/>
    </w:pPr>
    <w:rPr>
      <w:rFonts w:cstheme="minorBidi"/>
      <w:color w:val="000000"/>
      <w:sz w:val="32"/>
      <w:lang w:eastAsia="en-US"/>
    </w:rPr>
  </w:style>
  <w:style w:type="character" w:customStyle="1" w:styleId="DocumenttypeChar">
    <w:name w:val="Document type Char"/>
    <w:basedOn w:val="Standaardalinea-lettertype"/>
    <w:link w:val="Documenttype"/>
    <w:rsid w:val="00BC34D5"/>
    <w:rPr>
      <w:rFonts w:ascii="Calibri" w:hAnsi="Calibri"/>
      <w:color w:val="000000"/>
      <w:sz w:val="32"/>
    </w:rPr>
  </w:style>
  <w:style w:type="table" w:styleId="Tabelraster">
    <w:name w:val="Table Grid"/>
    <w:basedOn w:val="Standaardtabel"/>
    <w:uiPriority w:val="59"/>
    <w:rsid w:val="002A65FD"/>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C1BB6"/>
    <w:rPr>
      <w:sz w:val="20"/>
      <w:szCs w:val="20"/>
    </w:rPr>
  </w:style>
  <w:style w:type="character" w:customStyle="1" w:styleId="VoetnoottekstChar">
    <w:name w:val="Voetnoottekst Char"/>
    <w:basedOn w:val="Standaardalinea-lettertype"/>
    <w:link w:val="Voetnoottekst"/>
    <w:uiPriority w:val="99"/>
    <w:semiHidden/>
    <w:rsid w:val="002C1BB6"/>
    <w:rPr>
      <w:rFonts w:ascii="Calibri" w:hAnsi="Calibri" w:cs="Calibri"/>
      <w:sz w:val="20"/>
      <w:szCs w:val="20"/>
      <w:lang w:eastAsia="nl-BE"/>
    </w:rPr>
  </w:style>
  <w:style w:type="character" w:styleId="Voetnootmarkering">
    <w:name w:val="footnote reference"/>
    <w:basedOn w:val="Standaardalinea-lettertype"/>
    <w:uiPriority w:val="99"/>
    <w:semiHidden/>
    <w:unhideWhenUsed/>
    <w:rsid w:val="002C1BB6"/>
    <w:rPr>
      <w:vertAlign w:val="superscript"/>
    </w:rPr>
  </w:style>
  <w:style w:type="paragraph" w:styleId="Revisie">
    <w:name w:val="Revision"/>
    <w:hidden/>
    <w:uiPriority w:val="99"/>
    <w:semiHidden/>
    <w:rsid w:val="003D7C99"/>
    <w:pPr>
      <w:spacing w:after="0" w:line="240" w:lineRule="auto"/>
    </w:pPr>
    <w:rPr>
      <w:rFonts w:ascii="Calibri" w:hAnsi="Calibri" w:cs="Calibri"/>
      <w:lang w:eastAsia="nl-BE"/>
    </w:rPr>
  </w:style>
  <w:style w:type="paragraph" w:styleId="Normaalweb">
    <w:name w:val="Normal (Web)"/>
    <w:basedOn w:val="Standaard"/>
    <w:uiPriority w:val="99"/>
    <w:unhideWhenUsed/>
    <w:rsid w:val="008A4F2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848110">
      <w:bodyDiv w:val="1"/>
      <w:marLeft w:val="0"/>
      <w:marRight w:val="0"/>
      <w:marTop w:val="0"/>
      <w:marBottom w:val="0"/>
      <w:divBdr>
        <w:top w:val="none" w:sz="0" w:space="0" w:color="auto"/>
        <w:left w:val="none" w:sz="0" w:space="0" w:color="auto"/>
        <w:bottom w:val="none" w:sz="0" w:space="0" w:color="auto"/>
        <w:right w:val="none" w:sz="0" w:space="0" w:color="auto"/>
      </w:divBdr>
    </w:div>
    <w:div w:id="1239557742">
      <w:bodyDiv w:val="1"/>
      <w:marLeft w:val="0"/>
      <w:marRight w:val="0"/>
      <w:marTop w:val="0"/>
      <w:marBottom w:val="0"/>
      <w:divBdr>
        <w:top w:val="none" w:sz="0" w:space="0" w:color="auto"/>
        <w:left w:val="none" w:sz="0" w:space="0" w:color="auto"/>
        <w:bottom w:val="none" w:sz="0" w:space="0" w:color="auto"/>
        <w:right w:val="none" w:sz="0" w:space="0" w:color="auto"/>
      </w:divBdr>
      <w:divsChild>
        <w:div w:id="335769026">
          <w:marLeft w:val="1814"/>
          <w:marRight w:val="0"/>
          <w:marTop w:val="60"/>
          <w:marBottom w:val="0"/>
          <w:divBdr>
            <w:top w:val="none" w:sz="0" w:space="0" w:color="auto"/>
            <w:left w:val="none" w:sz="0" w:space="0" w:color="auto"/>
            <w:bottom w:val="none" w:sz="0" w:space="0" w:color="auto"/>
            <w:right w:val="none" w:sz="0" w:space="0" w:color="auto"/>
          </w:divBdr>
        </w:div>
        <w:div w:id="723991489">
          <w:marLeft w:val="1354"/>
          <w:marRight w:val="0"/>
          <w:marTop w:val="60"/>
          <w:marBottom w:val="0"/>
          <w:divBdr>
            <w:top w:val="none" w:sz="0" w:space="0" w:color="auto"/>
            <w:left w:val="none" w:sz="0" w:space="0" w:color="auto"/>
            <w:bottom w:val="none" w:sz="0" w:space="0" w:color="auto"/>
            <w:right w:val="none" w:sz="0" w:space="0" w:color="auto"/>
          </w:divBdr>
        </w:div>
        <w:div w:id="1312758322">
          <w:marLeft w:val="1354"/>
          <w:marRight w:val="0"/>
          <w:marTop w:val="60"/>
          <w:marBottom w:val="0"/>
          <w:divBdr>
            <w:top w:val="none" w:sz="0" w:space="0" w:color="auto"/>
            <w:left w:val="none" w:sz="0" w:space="0" w:color="auto"/>
            <w:bottom w:val="none" w:sz="0" w:space="0" w:color="auto"/>
            <w:right w:val="none" w:sz="0" w:space="0" w:color="auto"/>
          </w:divBdr>
        </w:div>
        <w:div w:id="1413506604">
          <w:marLeft w:val="1354"/>
          <w:marRight w:val="0"/>
          <w:marTop w:val="60"/>
          <w:marBottom w:val="0"/>
          <w:divBdr>
            <w:top w:val="none" w:sz="0" w:space="0" w:color="auto"/>
            <w:left w:val="none" w:sz="0" w:space="0" w:color="auto"/>
            <w:bottom w:val="none" w:sz="0" w:space="0" w:color="auto"/>
            <w:right w:val="none" w:sz="0" w:space="0" w:color="auto"/>
          </w:divBdr>
        </w:div>
      </w:divsChild>
    </w:div>
    <w:div w:id="1428966693">
      <w:bodyDiv w:val="1"/>
      <w:marLeft w:val="0"/>
      <w:marRight w:val="0"/>
      <w:marTop w:val="0"/>
      <w:marBottom w:val="0"/>
      <w:divBdr>
        <w:top w:val="none" w:sz="0" w:space="0" w:color="auto"/>
        <w:left w:val="none" w:sz="0" w:space="0" w:color="auto"/>
        <w:bottom w:val="none" w:sz="0" w:space="0" w:color="auto"/>
        <w:right w:val="none" w:sz="0" w:space="0" w:color="auto"/>
      </w:divBdr>
    </w:div>
    <w:div w:id="1815875390">
      <w:bodyDiv w:val="1"/>
      <w:marLeft w:val="0"/>
      <w:marRight w:val="0"/>
      <w:marTop w:val="0"/>
      <w:marBottom w:val="0"/>
      <w:divBdr>
        <w:top w:val="none" w:sz="0" w:space="0" w:color="auto"/>
        <w:left w:val="none" w:sz="0" w:space="0" w:color="auto"/>
        <w:bottom w:val="none" w:sz="0" w:space="0" w:color="auto"/>
        <w:right w:val="none" w:sz="0" w:space="0" w:color="auto"/>
      </w:divBdr>
    </w:div>
    <w:div w:id="21303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limate.ec.europa.eu/system/files/2022-10/gd3_biomass_issues_en.pdf"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eur-lex.europa.eu/legal-content/NL/TXT/PDF/?uri=CELEX:02018R2066-20220828&amp;from=E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vlaanderen.be/veka/beleid/energie-en-klimaatbeleid-voor-ondernemingen/eu-emissiehandelssysteem-eu-ets/beleidskader-ets-voor-vaste-installaties/ets-verplichtingen-voor-vaste-installat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ur-lex.europa.eu/legal-content/NL/TXT/PDF/?uri=CELEX:02018L2001-20220607&amp;from=EN"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energy.ec.europa.eu/topics/renewable-energy/bioenergy/voluntary-schemes_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limate.ec.europa.eu/eu-action/eu-emissions-trading-system-eu-ets/monitoring-reporting-and-verification-eu-ets-emissions_nl"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limate.ec.europa.eu/eu-action/eu-emissions-trading-system-eu-ets/monitoring-reporting-and-verification-eu-ets-emiss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TS-bestand" ma:contentTypeID="0x010100BB7D6F85C1FED14EB9BA2AF672C79E5B01001F97499EFA68924A9F68EC2EB6DA9BFC" ma:contentTypeVersion="8" ma:contentTypeDescription="" ma:contentTypeScope="" ma:versionID="438cf27d0093d08a74117edd408c33b3">
  <xsd:schema xmlns:xsd="http://www.w3.org/2001/XMLSchema" xmlns:xs="http://www.w3.org/2001/XMLSchema" xmlns:p="http://schemas.microsoft.com/office/2006/metadata/properties" xmlns:ns2="071eca32-85d3-4baf-8b57-b8706dd84d64" xmlns:ns3="9a9ec0f0-7796-43d0-ac1f-4c8c46ee0bd1" xmlns:ns4="bfe1e1cb-2522-4fb9-b340-47bb1104747a" targetNamespace="http://schemas.microsoft.com/office/2006/metadata/properties" ma:root="true" ma:fieldsID="da342cf04607dab43126e0a978f0e6fb" ns2:_="" ns3:_="" ns4:_="">
    <xsd:import namespace="071eca32-85d3-4baf-8b57-b8706dd84d64"/>
    <xsd:import namespace="9a9ec0f0-7796-43d0-ac1f-4c8c46ee0bd1"/>
    <xsd:import namespace="bfe1e1cb-2522-4fb9-b340-47bb1104747a"/>
    <xsd:element name="properties">
      <xsd:complexType>
        <xsd:sequence>
          <xsd:element name="documentManagement">
            <xsd:complexType>
              <xsd:all>
                <xsd:element ref="ns2:Beschrijving" minOccurs="0"/>
                <xsd:element ref="ns2:Documentdatum" minOccurs="0"/>
                <xsd:element ref="ns2:_dlc_DocIdPersistId" minOccurs="0"/>
                <xsd:element ref="ns2:k4f250ad144446d0870b1b27d6c49c47" minOccurs="0"/>
                <xsd:element ref="ns3:TaxCatchAll" minOccurs="0"/>
                <xsd:element ref="ns3:TaxCatchAllLabel" minOccurs="0"/>
                <xsd:element ref="ns2:ge8f3523ee6d4cb2b95f904ff699c84b" minOccurs="0"/>
                <xsd:element ref="ns2:cf1a9610a87f4901991bb44604c8d2c3" minOccurs="0"/>
                <xsd:element ref="ns2:_dlc_DocId" minOccurs="0"/>
                <xsd:element ref="ns2:p59ef1a9c98a48cd9d43cdd8796a6a43" minOccurs="0"/>
                <xsd:element ref="ns2:_dlc_DocIdUrl" minOccurs="0"/>
                <xsd:element ref="ns2:h2792a289fc34c8a964c04eb3efdfbc9" minOccurs="0"/>
                <xsd:element ref="ns2:i708b76796d24dd9870bc5296e859ea0" minOccurs="0"/>
                <xsd:element ref="ns4:MediaServiceMetadata" minOccurs="0"/>
                <xsd:element ref="ns4:MediaServiceFastMetadat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eca32-85d3-4baf-8b57-b8706dd84d64" elementFormDefault="qualified">
    <xsd:import namespace="http://schemas.microsoft.com/office/2006/documentManagement/types"/>
    <xsd:import namespace="http://schemas.microsoft.com/office/infopath/2007/PartnerControls"/>
    <xsd:element name="Beschrijving" ma:index="1" nillable="true" ma:displayName="Beschrijving" ma:description="Optioneel vrij tekstveld met een extra woordje uitleg over je document." ma:internalName="Beschrijving" ma:readOnly="false">
      <xsd:simpleType>
        <xsd:restriction base="dms:Note">
          <xsd:maxLength value="255"/>
        </xsd:restriction>
      </xsd:simpleType>
    </xsd:element>
    <xsd:element name="Documentdatum" ma:index="2" nillable="true" ma:displayName="Documentdatum" ma:default="[today]" ma:description="Standaard wordt hier de datum ingevuld waarop je het document hebt opgeladen. Pas die datum zo nodig aan. Deze datum zal in de toekomst niet meer wijzigen in tegenstelling tot het veld &quot;Gewijzigd op&quot;." ma:format="DateOnly" ma:internalName="Documentdatum" ma:readOnly="false">
      <xsd:simpleType>
        <xsd:restriction base="dms:DateTime"/>
      </xsd:simple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k4f250ad144446d0870b1b27d6c49c47" ma:index="11" nillable="true" ma:taxonomy="true" ma:internalName="k4f250ad144446d0870b1b27d6c49c47" ma:taxonomyFieldName="Documentsoort" ma:displayName="Documentsoort" ma:readOnly="false" ma:default="" ma:fieldId="{44f250ad-1444-46d0-870b-1b27d6c49c47}" ma:sspId="49ca8161-7180-459b-a0ef-1a71cf6ffea5" ma:termSetId="b7679fbf-2c84-4831-a1b7-f18cf4b546e0" ma:anchorId="00000000-0000-0000-0000-000000000000" ma:open="false" ma:isKeyword="false">
      <xsd:complexType>
        <xsd:sequence>
          <xsd:element ref="pc:Terms" minOccurs="0" maxOccurs="1"/>
        </xsd:sequence>
      </xsd:complexType>
    </xsd:element>
    <xsd:element name="ge8f3523ee6d4cb2b95f904ff699c84b" ma:index="18" nillable="true" ma:taxonomy="true" ma:internalName="ge8f3523ee6d4cb2b95f904ff699c84b" ma:taxonomyFieldName="Sitethema" ma:displayName="Sitethema" ma:readOnly="false" ma:default="1;#Industrieel klimaatbeleid|678895cd-ec20-4265-9cba-ee51fbc7e8e4;#2;#EU ETS|caa3bb60-80c5-4f9b-85b5-ef3831571a18;#3;#Energie- en klimaattransitie|236e6c75-c1c0-4f46-b61c-8c597e1ff9f0" ma:fieldId="{0e8f3523-ee6d-4cb2-b95f-904ff699c84b}" ma:taxonomyMulti="true" ma:sspId="49ca8161-7180-459b-a0ef-1a71cf6ffea5" ma:termSetId="c7f1d544-3886-43fa-874c-1cdd2802d06b" ma:anchorId="00000000-0000-0000-0000-000000000000" ma:open="false" ma:isKeyword="false">
      <xsd:complexType>
        <xsd:sequence>
          <xsd:element ref="pc:Terms" minOccurs="0" maxOccurs="1"/>
        </xsd:sequence>
      </xsd:complexType>
    </xsd:element>
    <xsd:element name="cf1a9610a87f4901991bb44604c8d2c3" ma:index="20" nillable="true" ma:taxonomy="true" ma:internalName="cf1a9610a87f4901991bb44604c8d2c3" ma:taxonomyFieldName="Proces" ma:displayName="Proces" ma:readOnly="false" ma:default="" ma:fieldId="{cf1a9610-a87f-4901-991b-b44604c8d2c3}" ma:sspId="49ca8161-7180-459b-a0ef-1a71cf6ffea5" ma:termSetId="4f14d647-cd9e-4bdb-be87-3ee2b8c9eaef" ma:anchorId="00000000-0000-0000-0000-000000000000" ma:open="false" ma:isKeyword="false">
      <xsd:complexType>
        <xsd:sequence>
          <xsd:element ref="pc:Terms" minOccurs="0" maxOccurs="1"/>
        </xsd:sequence>
      </xsd:complex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p59ef1a9c98a48cd9d43cdd8796a6a43" ma:index="22" nillable="true" ma:taxonomy="true" ma:internalName="p59ef1a9c98a48cd9d43cdd8796a6a43" ma:taxonomyFieldName="Type_x0020_rapport" ma:displayName="Type rapport" ma:default="" ma:fieldId="{959ef1a9-c98a-48cd-9d43-cdd8796a6a43}" ma:sspId="49ca8161-7180-459b-a0ef-1a71cf6ffea5" ma:termSetId="0e86e39c-ff2f-433f-b11b-6397800cf475" ma:anchorId="00000000-0000-0000-0000-000000000000" ma:open="false" ma:isKeyword="false">
      <xsd:complexType>
        <xsd:sequence>
          <xsd:element ref="pc:Terms" minOccurs="0" maxOccurs="1"/>
        </xsd:sequence>
      </xsd:complex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2792a289fc34c8a964c04eb3efdfbc9" ma:index="24" nillable="true" ma:taxonomy="true" ma:internalName="h2792a289fc34c8a964c04eb3efdfbc9" ma:taxonomyFieldName="Status_x0020_rapport" ma:displayName="Status rapport" ma:default="" ma:fieldId="{12792a28-9fc3-4c8a-964c-04eb3efdfbc9}" ma:sspId="49ca8161-7180-459b-a0ef-1a71cf6ffea5" ma:termSetId="88a2a6e7-6dff-42bd-9f21-b29c62b6baf9" ma:anchorId="59f85f9f-5c1f-46a6-b6fd-9f2db5d0e1da" ma:open="false" ma:isKeyword="false">
      <xsd:complexType>
        <xsd:sequence>
          <xsd:element ref="pc:Terms" minOccurs="0" maxOccurs="1"/>
        </xsd:sequence>
      </xsd:complexType>
    </xsd:element>
    <xsd:element name="i708b76796d24dd9870bc5296e859ea0" ma:index="26" nillable="true" ma:taxonomy="true" ma:internalName="i708b76796d24dd9870bc5296e859ea0" ma:taxonomyFieldName="Status_x0020_document" ma:displayName="Status document" ma:default="" ma:fieldId="{2708b767-96d2-4dd9-870b-c5296e859ea0}" ma:sspId="49ca8161-7180-459b-a0ef-1a71cf6ffea5" ma:termSetId="88a2a6e7-6dff-42bd-9f21-b29c62b6baf9" ma:anchorId="4279923b-5f4e-45a4-b775-ac8d90cc9ab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9c42226-4aab-4f02-8846-d4b2ab5ecc14}" ma:internalName="TaxCatchAll" ma:readOnly="false" ma:showField="CatchAllData" ma:web="071eca32-85d3-4baf-8b57-b8706dd84d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c42226-4aab-4f02-8846-d4b2ab5ecc14}" ma:internalName="TaxCatchAllLabel" ma:readOnly="true" ma:showField="CatchAllDataLabel" ma:web="071eca32-85d3-4baf-8b57-b8706dd84d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1e1cb-2522-4fb9-b340-47bb1104747a"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eschrijving xmlns="071eca32-85d3-4baf-8b57-b8706dd84d64" xsi:nil="true"/>
    <ge8f3523ee6d4cb2b95f904ff699c84b xmlns="071eca32-85d3-4baf-8b57-b8706dd84d64">
      <Terms xmlns="http://schemas.microsoft.com/office/infopath/2007/PartnerControls">
        <TermInfo xmlns="http://schemas.microsoft.com/office/infopath/2007/PartnerControls">
          <TermName xmlns="http://schemas.microsoft.com/office/infopath/2007/PartnerControls">Industrieel klimaatbeleid</TermName>
          <TermId xmlns="http://schemas.microsoft.com/office/infopath/2007/PartnerControls">678895cd-ec20-4265-9cba-ee51fbc7e8e4</TermId>
        </TermInfo>
        <TermInfo xmlns="http://schemas.microsoft.com/office/infopath/2007/PartnerControls">
          <TermName xmlns="http://schemas.microsoft.com/office/infopath/2007/PartnerControls">EU ETS</TermName>
          <TermId xmlns="http://schemas.microsoft.com/office/infopath/2007/PartnerControls">caa3bb60-80c5-4f9b-85b5-ef3831571a18</TermId>
        </TermInfo>
        <TermInfo xmlns="http://schemas.microsoft.com/office/infopath/2007/PartnerControls">
          <TermName xmlns="http://schemas.microsoft.com/office/infopath/2007/PartnerControls">Energie- en klimaattransitie</TermName>
          <TermId xmlns="http://schemas.microsoft.com/office/infopath/2007/PartnerControls">236e6c75-c1c0-4f46-b61c-8c597e1ff9f0</TermId>
        </TermInfo>
      </Terms>
    </ge8f3523ee6d4cb2b95f904ff699c84b>
    <i708b76796d24dd9870bc5296e859ea0 xmlns="071eca32-85d3-4baf-8b57-b8706dd84d64">
      <Terms xmlns="http://schemas.microsoft.com/office/infopath/2007/PartnerControls">
        <TermInfo xmlns="http://schemas.microsoft.com/office/infopath/2007/PartnerControls">
          <TermName xmlns="http://schemas.microsoft.com/office/infopath/2007/PartnerControls">Huidig</TermName>
          <TermId xmlns="http://schemas.microsoft.com/office/infopath/2007/PartnerControls">d7d7f631-0f21-4a0c-8024-d848d3f2e89b</TermId>
        </TermInfo>
      </Terms>
    </i708b76796d24dd9870bc5296e859ea0>
    <k4f250ad144446d0870b1b27d6c49c47 xmlns="071eca32-85d3-4baf-8b57-b8706dd84d64">
      <Terms xmlns="http://schemas.microsoft.com/office/infopath/2007/PartnerControls">
        <TermInfo xmlns="http://schemas.microsoft.com/office/infopath/2007/PartnerControls">
          <TermName xmlns="http://schemas.microsoft.com/office/infopath/2007/PartnerControls">Handleiding</TermName>
          <TermId xmlns="http://schemas.microsoft.com/office/infopath/2007/PartnerControls">6c5f58d3-d169-4956-81d3-9e0c5eee179f</TermId>
        </TermInfo>
      </Terms>
    </k4f250ad144446d0870b1b27d6c49c47>
    <Documentdatum xmlns="071eca32-85d3-4baf-8b57-b8706dd84d64">2023-12-07T23:00:00+00:00</Documentdatum>
    <h2792a289fc34c8a964c04eb3efdfbc9 xmlns="071eca32-85d3-4baf-8b57-b8706dd84d64">
      <Terms xmlns="http://schemas.microsoft.com/office/infopath/2007/PartnerControls">
        <TermInfo xmlns="http://schemas.microsoft.com/office/infopath/2007/PartnerControls">
          <TermName xmlns="http://schemas.microsoft.com/office/infopath/2007/PartnerControls">Wijzigingen</TermName>
          <TermId xmlns="http://schemas.microsoft.com/office/infopath/2007/PartnerControls">3cbc54df-c819-4069-99bb-936590aa7f69</TermId>
        </TermInfo>
      </Terms>
    </h2792a289fc34c8a964c04eb3efdfbc9>
    <cf1a9610a87f4901991bb44604c8d2c3 xmlns="071eca32-85d3-4baf-8b57-b8706dd84d64">
      <Terms xmlns="http://schemas.microsoft.com/office/infopath/2007/PartnerControls">
        <TermInfo xmlns="http://schemas.microsoft.com/office/infopath/2007/PartnerControls">
          <TermName xmlns="http://schemas.microsoft.com/office/infopath/2007/PartnerControls">Monitoring</TermName>
          <TermId xmlns="http://schemas.microsoft.com/office/infopath/2007/PartnerControls">cc3c1910-f605-4208-a4fc-3803c103ae75</TermId>
        </TermInfo>
      </Terms>
    </cf1a9610a87f4901991bb44604c8d2c3>
    <p59ef1a9c98a48cd9d43cdd8796a6a43 xmlns="071eca32-85d3-4baf-8b57-b8706dd84d64">
      <Terms xmlns="http://schemas.microsoft.com/office/infopath/2007/PartnerControls">
        <TermInfo xmlns="http://schemas.microsoft.com/office/infopath/2007/PartnerControls">
          <TermName xmlns="http://schemas.microsoft.com/office/infopath/2007/PartnerControls">MP</TermName>
          <TermId xmlns="http://schemas.microsoft.com/office/infopath/2007/PartnerControls">3d2e5c69-9281-448e-a0fc-71b1d3fe88f8</TermId>
        </TermInfo>
      </Terms>
    </p59ef1a9c98a48cd9d43cdd8796a6a43>
    <TaxCatchAll xmlns="9a9ec0f0-7796-43d0-ac1f-4c8c46ee0bd1">
      <Value>215</Value>
      <Value>330</Value>
      <Value>79</Value>
      <Value>226</Value>
      <Value>241</Value>
      <Value>2</Value>
      <Value>1</Value>
      <Value>3</Value>
    </TaxCatchAll>
    <_dlc_DocId xmlns="071eca32-85d3-4baf-8b57-b8706dd84d64">SHF3VDE4SWFP-1949273808-180</_dlc_DocId>
    <_dlc_DocIdUrl xmlns="071eca32-85d3-4baf-8b57-b8706dd84d64">
      <Url>https://vlaamseoverheid.sharepoint.com/sites/veka-ets/_layouts/15/DocIdRedir.aspx?ID=SHF3VDE4SWFP-1949273808-180</Url>
      <Description>SHF3VDE4SWFP-1949273808-180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4A638C-9807-415A-A16C-6B85C8C77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eca32-85d3-4baf-8b57-b8706dd84d64"/>
    <ds:schemaRef ds:uri="9a9ec0f0-7796-43d0-ac1f-4c8c46ee0bd1"/>
    <ds:schemaRef ds:uri="bfe1e1cb-2522-4fb9-b340-47bb11047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8D30D-52D2-4718-8281-885BE5FD37A6}">
  <ds:schemaRefs>
    <ds:schemaRef ds:uri="http://schemas.openxmlformats.org/officeDocument/2006/bibliography"/>
  </ds:schemaRefs>
</ds:datastoreItem>
</file>

<file path=customXml/itemProps3.xml><?xml version="1.0" encoding="utf-8"?>
<ds:datastoreItem xmlns:ds="http://schemas.openxmlformats.org/officeDocument/2006/customXml" ds:itemID="{65C55D73-02F3-4656-82DB-4F9EBFC77DC9}">
  <ds:schemaRefs>
    <ds:schemaRef ds:uri="http://schemas.microsoft.com/office/2006/metadata/properties"/>
    <ds:schemaRef ds:uri="http://schemas.microsoft.com/office/infopath/2007/PartnerControls"/>
    <ds:schemaRef ds:uri="071eca32-85d3-4baf-8b57-b8706dd84d64"/>
    <ds:schemaRef ds:uri="9a9ec0f0-7796-43d0-ac1f-4c8c46ee0bd1"/>
  </ds:schemaRefs>
</ds:datastoreItem>
</file>

<file path=customXml/itemProps4.xml><?xml version="1.0" encoding="utf-8"?>
<ds:datastoreItem xmlns:ds="http://schemas.openxmlformats.org/officeDocument/2006/customXml" ds:itemID="{7311B2CA-5038-4DF7-891B-9831EE63C2EF}">
  <ds:schemaRefs>
    <ds:schemaRef ds:uri="http://schemas.microsoft.com/sharepoint/events"/>
  </ds:schemaRefs>
</ds:datastoreItem>
</file>

<file path=customXml/itemProps5.xml><?xml version="1.0" encoding="utf-8"?>
<ds:datastoreItem xmlns:ds="http://schemas.openxmlformats.org/officeDocument/2006/customXml" ds:itemID="{14A3E2AB-8032-457B-8304-C841F96485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3535</Words>
  <Characters>19447</Characters>
  <Application>Microsoft Office Word</Application>
  <DocSecurity>0</DocSecurity>
  <Lines>162</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VITO</Company>
  <LinksUpToDate>false</LinksUpToDate>
  <CharactersWithSpaces>22937</CharactersWithSpaces>
  <SharedDoc>false</SharedDoc>
  <HLinks>
    <vt:vector size="96" baseType="variant">
      <vt:variant>
        <vt:i4>1900607</vt:i4>
      </vt:variant>
      <vt:variant>
        <vt:i4>75</vt:i4>
      </vt:variant>
      <vt:variant>
        <vt:i4>0</vt:i4>
      </vt:variant>
      <vt:variant>
        <vt:i4>5</vt:i4>
      </vt:variant>
      <vt:variant>
        <vt:lpwstr>https://energy.ec.europa.eu/topics/renewable-energy/bioenergy/voluntary-schemes_en</vt:lpwstr>
      </vt:variant>
      <vt:variant>
        <vt:lpwstr/>
      </vt:variant>
      <vt:variant>
        <vt:i4>5832725</vt:i4>
      </vt:variant>
      <vt:variant>
        <vt:i4>69</vt:i4>
      </vt:variant>
      <vt:variant>
        <vt:i4>0</vt:i4>
      </vt:variant>
      <vt:variant>
        <vt:i4>5</vt:i4>
      </vt:variant>
      <vt:variant>
        <vt:lpwstr>https://eur-lex.europa.eu/legal-content/NL/TXT/PDF/?uri=CELEX:02018R2066-20220828&amp;from=EN</vt:lpwstr>
      </vt:variant>
      <vt:variant>
        <vt:lpwstr/>
      </vt:variant>
      <vt:variant>
        <vt:i4>1900607</vt:i4>
      </vt:variant>
      <vt:variant>
        <vt:i4>62</vt:i4>
      </vt:variant>
      <vt:variant>
        <vt:i4>0</vt:i4>
      </vt:variant>
      <vt:variant>
        <vt:i4>5</vt:i4>
      </vt:variant>
      <vt:variant>
        <vt:lpwstr/>
      </vt:variant>
      <vt:variant>
        <vt:lpwstr>_Toc153442991</vt:lpwstr>
      </vt:variant>
      <vt:variant>
        <vt:i4>1900607</vt:i4>
      </vt:variant>
      <vt:variant>
        <vt:i4>56</vt:i4>
      </vt:variant>
      <vt:variant>
        <vt:i4>0</vt:i4>
      </vt:variant>
      <vt:variant>
        <vt:i4>5</vt:i4>
      </vt:variant>
      <vt:variant>
        <vt:lpwstr/>
      </vt:variant>
      <vt:variant>
        <vt:lpwstr>_Toc153442990</vt:lpwstr>
      </vt:variant>
      <vt:variant>
        <vt:i4>1835071</vt:i4>
      </vt:variant>
      <vt:variant>
        <vt:i4>50</vt:i4>
      </vt:variant>
      <vt:variant>
        <vt:i4>0</vt:i4>
      </vt:variant>
      <vt:variant>
        <vt:i4>5</vt:i4>
      </vt:variant>
      <vt:variant>
        <vt:lpwstr/>
      </vt:variant>
      <vt:variant>
        <vt:lpwstr>_Toc153442989</vt:lpwstr>
      </vt:variant>
      <vt:variant>
        <vt:i4>1835071</vt:i4>
      </vt:variant>
      <vt:variant>
        <vt:i4>44</vt:i4>
      </vt:variant>
      <vt:variant>
        <vt:i4>0</vt:i4>
      </vt:variant>
      <vt:variant>
        <vt:i4>5</vt:i4>
      </vt:variant>
      <vt:variant>
        <vt:lpwstr/>
      </vt:variant>
      <vt:variant>
        <vt:lpwstr>_Toc153442988</vt:lpwstr>
      </vt:variant>
      <vt:variant>
        <vt:i4>1835071</vt:i4>
      </vt:variant>
      <vt:variant>
        <vt:i4>38</vt:i4>
      </vt:variant>
      <vt:variant>
        <vt:i4>0</vt:i4>
      </vt:variant>
      <vt:variant>
        <vt:i4>5</vt:i4>
      </vt:variant>
      <vt:variant>
        <vt:lpwstr/>
      </vt:variant>
      <vt:variant>
        <vt:lpwstr>_Toc153442987</vt:lpwstr>
      </vt:variant>
      <vt:variant>
        <vt:i4>1835071</vt:i4>
      </vt:variant>
      <vt:variant>
        <vt:i4>32</vt:i4>
      </vt:variant>
      <vt:variant>
        <vt:i4>0</vt:i4>
      </vt:variant>
      <vt:variant>
        <vt:i4>5</vt:i4>
      </vt:variant>
      <vt:variant>
        <vt:lpwstr/>
      </vt:variant>
      <vt:variant>
        <vt:lpwstr>_Toc153442986</vt:lpwstr>
      </vt:variant>
      <vt:variant>
        <vt:i4>1835071</vt:i4>
      </vt:variant>
      <vt:variant>
        <vt:i4>26</vt:i4>
      </vt:variant>
      <vt:variant>
        <vt:i4>0</vt:i4>
      </vt:variant>
      <vt:variant>
        <vt:i4>5</vt:i4>
      </vt:variant>
      <vt:variant>
        <vt:lpwstr/>
      </vt:variant>
      <vt:variant>
        <vt:lpwstr>_Toc153442985</vt:lpwstr>
      </vt:variant>
      <vt:variant>
        <vt:i4>1835071</vt:i4>
      </vt:variant>
      <vt:variant>
        <vt:i4>20</vt:i4>
      </vt:variant>
      <vt:variant>
        <vt:i4>0</vt:i4>
      </vt:variant>
      <vt:variant>
        <vt:i4>5</vt:i4>
      </vt:variant>
      <vt:variant>
        <vt:lpwstr/>
      </vt:variant>
      <vt:variant>
        <vt:lpwstr>_Toc153442984</vt:lpwstr>
      </vt:variant>
      <vt:variant>
        <vt:i4>1835071</vt:i4>
      </vt:variant>
      <vt:variant>
        <vt:i4>14</vt:i4>
      </vt:variant>
      <vt:variant>
        <vt:i4>0</vt:i4>
      </vt:variant>
      <vt:variant>
        <vt:i4>5</vt:i4>
      </vt:variant>
      <vt:variant>
        <vt:lpwstr/>
      </vt:variant>
      <vt:variant>
        <vt:lpwstr>_Toc153442983</vt:lpwstr>
      </vt:variant>
      <vt:variant>
        <vt:i4>262172</vt:i4>
      </vt:variant>
      <vt:variant>
        <vt:i4>9</vt:i4>
      </vt:variant>
      <vt:variant>
        <vt:i4>0</vt:i4>
      </vt:variant>
      <vt:variant>
        <vt:i4>5</vt:i4>
      </vt:variant>
      <vt:variant>
        <vt:lpwstr>https://www.vlaanderen.be/veka/beleid/energie-en-klimaatbeleid-voor-ondernemingen/eu-emissiehandelssysteem-eu-ets/beleidskader-ets-voor-vaste-installaties/ets-verplichtingen-voor-vaste-installaties</vt:lpwstr>
      </vt:variant>
      <vt:variant>
        <vt:lpwstr>gedetailleerd-overzicht-van-de-verplichtingen</vt:lpwstr>
      </vt:variant>
      <vt:variant>
        <vt:i4>4325394</vt:i4>
      </vt:variant>
      <vt:variant>
        <vt:i4>6</vt:i4>
      </vt:variant>
      <vt:variant>
        <vt:i4>0</vt:i4>
      </vt:variant>
      <vt:variant>
        <vt:i4>5</vt:i4>
      </vt:variant>
      <vt:variant>
        <vt:lpwstr>https://eur-lex.europa.eu/legal-content/NL/TXT/PDF/?uri=CELEX:02018L2001-20220607&amp;from=EN</vt:lpwstr>
      </vt:variant>
      <vt:variant>
        <vt:lpwstr/>
      </vt:variant>
      <vt:variant>
        <vt:i4>2490462</vt:i4>
      </vt:variant>
      <vt:variant>
        <vt:i4>3</vt:i4>
      </vt:variant>
      <vt:variant>
        <vt:i4>0</vt:i4>
      </vt:variant>
      <vt:variant>
        <vt:i4>5</vt:i4>
      </vt:variant>
      <vt:variant>
        <vt:lpwstr>https://climate.ec.europa.eu/eu-action/eu-emissions-trading-system-eu-ets/monitoring-reporting-and-verification-eu-ets-emissions_nl</vt:lpwstr>
      </vt:variant>
      <vt:variant>
        <vt:lpwstr/>
      </vt:variant>
      <vt:variant>
        <vt:i4>2687045</vt:i4>
      </vt:variant>
      <vt:variant>
        <vt:i4>0</vt:i4>
      </vt:variant>
      <vt:variant>
        <vt:i4>0</vt:i4>
      </vt:variant>
      <vt:variant>
        <vt:i4>5</vt:i4>
      </vt:variant>
      <vt:variant>
        <vt:lpwstr>https://climate.ec.europa.eu/system/files/2022-10/gd3_biomass_issues_en.pdf</vt:lpwstr>
      </vt:variant>
      <vt:variant>
        <vt:lpwstr/>
      </vt:variant>
      <vt:variant>
        <vt:i4>2949214</vt:i4>
      </vt:variant>
      <vt:variant>
        <vt:i4>0</vt:i4>
      </vt:variant>
      <vt:variant>
        <vt:i4>0</vt:i4>
      </vt:variant>
      <vt:variant>
        <vt:i4>5</vt:i4>
      </vt:variant>
      <vt:variant>
        <vt:lpwstr>https://climate.ec.europa.eu/eu-action/eu-emissions-trading-system-eu-ets/monitoring-reporting-and-verification-eu-ets-emissions_en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Reunes Geert</dc:creator>
  <cp:keywords/>
  <dc:description/>
  <cp:lastModifiedBy>Medart Sander</cp:lastModifiedBy>
  <cp:revision>3</cp:revision>
  <cp:lastPrinted>2023-01-20T10:27:00Z</cp:lastPrinted>
  <dcterms:created xsi:type="dcterms:W3CDTF">2023-12-14T09:53:00Z</dcterms:created>
  <dcterms:modified xsi:type="dcterms:W3CDTF">2023-12-14T09:54:00Z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0x010100BB7D6F85C1FED14EB9BA2AF672C79E5B01001F97499EFA68924A9F68EC2EB6DA9BFC</vt:lpwstr>
  </property>
  <property fmtid="{D5CDD505-2E9C-101B-9397-08002B2CF9AE}" pid="3" name="Order">
    <vt:r8>100</vt:r8>
  </property>
  <property fmtid="{D5CDD505-2E9C-101B-9397-08002B2CF9AE}" pid="4" name="Sitethema">
    <vt:lpwstr>1;#Industrieel klimaatbeleid|678895cd-ec20-4265-9cba-ee51fbc7e8e4;#2;#EU ETS|caa3bb60-80c5-4f9b-85b5-ef3831571a18;#3;#Energie- en klimaattransitie|236e6c75-c1c0-4f46-b61c-8c597e1ff9f0</vt:lpwstr>
  </property>
  <property fmtid="{D5CDD505-2E9C-101B-9397-08002B2CF9AE}" pid="5" name="Documentsoort">
    <vt:lpwstr>215;#Handleiding|6c5f58d3-d169-4956-81d3-9e0c5eee179f</vt:lpwstr>
  </property>
  <property fmtid="{D5CDD505-2E9C-101B-9397-08002B2CF9AE}" pid="6" name="Type rapport">
    <vt:lpwstr>79;#MP|3d2e5c69-9281-448e-a0fc-71b1d3fe88f8</vt:lpwstr>
  </property>
  <property fmtid="{D5CDD505-2E9C-101B-9397-08002B2CF9AE}" pid="7" name="Status rapport">
    <vt:lpwstr>330;#Wijzigingen|3cbc54df-c819-4069-99bb-936590aa7f69</vt:lpwstr>
  </property>
  <property fmtid="{D5CDD505-2E9C-101B-9397-08002B2CF9AE}" pid="8" name="_dlc_DocIdItemGuid">
    <vt:lpwstr>d9726ff7-34e7-4db6-b729-e5ba09e2e6d1</vt:lpwstr>
  </property>
  <property fmtid="{D5CDD505-2E9C-101B-9397-08002B2CF9AE}" pid="9" name="Proces">
    <vt:lpwstr>241;#Monitoring|cc3c1910-f605-4208-a4fc-3803c103ae75</vt:lpwstr>
  </property>
  <property fmtid="{D5CDD505-2E9C-101B-9397-08002B2CF9AE}" pid="10" name="Status document">
    <vt:lpwstr>226;#Huidig|d7d7f631-0f21-4a0c-8024-d848d3f2e89b</vt:lpwstr>
  </property>
</Properties>
</file>