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388D" w14:textId="77777777" w:rsidR="008B44CF" w:rsidRPr="008B44CF" w:rsidRDefault="008B44CF" w:rsidP="008B44CF">
      <w:pPr>
        <w:rPr>
          <w:rFonts w:ascii="FlandersArtSans-Bold" w:hAnsi="FlandersArtSans-Bold"/>
          <w:sz w:val="28"/>
          <w:szCs w:val="28"/>
        </w:rPr>
      </w:pPr>
      <w:r w:rsidRPr="067BF4B9">
        <w:rPr>
          <w:rFonts w:ascii="FlandersArtSans-Bold" w:hAnsi="FlandersArtSans-Bold"/>
          <w:sz w:val="28"/>
          <w:szCs w:val="28"/>
        </w:rPr>
        <w:t>Modeltoegankelijkheidsverklaring</w:t>
      </w:r>
    </w:p>
    <w:p w14:paraId="3272D520" w14:textId="0BEBE72D" w:rsidR="0A32B385" w:rsidRPr="007F2F22" w:rsidRDefault="0A32B385" w:rsidP="067BF4B9">
      <w:pPr>
        <w:rPr>
          <w:rFonts w:ascii="FlandersArtSans-Bold" w:hAnsi="FlandersArtSans-Bold"/>
          <w:sz w:val="24"/>
          <w:szCs w:val="24"/>
        </w:rPr>
      </w:pPr>
      <w:r w:rsidRPr="007F2F22">
        <w:rPr>
          <w:rFonts w:ascii="FlandersArtSans-Bold" w:hAnsi="FlandersArtSans-Bold"/>
          <w:sz w:val="24"/>
          <w:szCs w:val="24"/>
        </w:rPr>
        <w:t>Instructies</w:t>
      </w:r>
    </w:p>
    <w:p w14:paraId="08009CF7" w14:textId="7778A5A4" w:rsidR="0A32B385" w:rsidRPr="007F2F22" w:rsidRDefault="0A32B385" w:rsidP="067BF4B9">
      <w:pPr>
        <w:rPr>
          <w:rFonts w:ascii="FlandersArtSans-Regular" w:hAnsi="FlandersArtSans-Regular"/>
        </w:rPr>
      </w:pPr>
      <w:r w:rsidRPr="007F2F22">
        <w:rPr>
          <w:rFonts w:ascii="FlandersArtSans-Regular" w:hAnsi="FlandersArtSans-Regular"/>
        </w:rPr>
        <w:t>Cursief gedrukte tekst moet naargelang van het geval door de overheidsinstantie worden geschrapt en/of gewijzigd.</w:t>
      </w:r>
    </w:p>
    <w:p w14:paraId="6A923156" w14:textId="75545547" w:rsidR="0A32B385" w:rsidRPr="007F2F22" w:rsidRDefault="0A32B385" w:rsidP="067BF4B9">
      <w:pPr>
        <w:rPr>
          <w:rFonts w:ascii="FlandersArtSans-Regular" w:hAnsi="FlandersArtSans-Regular"/>
        </w:rPr>
      </w:pPr>
      <w:r w:rsidRPr="007F2F22">
        <w:rPr>
          <w:rFonts w:ascii="FlandersArtSans-Regular" w:hAnsi="FlandersArtSans-Regular"/>
        </w:rPr>
        <w:t>Alle eindnoten moeten worden geschrapt vóór publicatie van de toegankelijkheidsverklaring.</w:t>
      </w:r>
    </w:p>
    <w:p w14:paraId="3992C1BE" w14:textId="33FFFEF6" w:rsidR="067BF4B9" w:rsidRPr="007F2F22" w:rsidRDefault="0A32B385" w:rsidP="067BF4B9">
      <w:pPr>
        <w:rPr>
          <w:rFonts w:ascii="FlandersArtSans-Regular" w:hAnsi="FlandersArtSans-Regular"/>
        </w:rPr>
      </w:pPr>
      <w:r w:rsidRPr="007F2F22">
        <w:rPr>
          <w:rFonts w:ascii="FlandersArtSans-Regular" w:hAnsi="FlandersArtSans-Regular"/>
        </w:rPr>
        <w:t xml:space="preserve">De toegankelijkheidsverklaring moet gemakkelijk te vinden zijn voor de gebruiker. Een link naar de toegankelijkheidsverklaring moet een prominente plaats krijgen op de homepage van de website of op elke webpagina beschikbaar worden gesteld, bijvoorbeeld in een statische header of </w:t>
      </w:r>
      <w:proofErr w:type="spellStart"/>
      <w:r w:rsidRPr="007F2F22">
        <w:rPr>
          <w:rFonts w:ascii="FlandersArtSans-Regular" w:hAnsi="FlandersArtSans-Regular"/>
        </w:rPr>
        <w:t>footer</w:t>
      </w:r>
      <w:proofErr w:type="spellEnd"/>
      <w:r w:rsidRPr="007F2F22">
        <w:rPr>
          <w:rFonts w:ascii="FlandersArtSans-Regular" w:hAnsi="FlandersArtSans-Regular"/>
        </w:rPr>
        <w:t>. Voor de toegankelijkheidsverklaring kan een gestandaardiseerde URL worden gebruikt. Voor mobiele toepassingen moet de toegankelijkheidsverklaring worden geplaatst zoals aangegeven in artikel 7, lid 1, van Richtlijn (EU) 2016/2102. De toegankelijkheidsverklaring kan ook beschikbaar zijn in de mobiele applicatie.</w:t>
      </w:r>
    </w:p>
    <w:p w14:paraId="3E8E9B87" w14:textId="157AA0A4" w:rsidR="008B44CF" w:rsidRPr="008B44CF" w:rsidRDefault="008B44CF" w:rsidP="008B44CF">
      <w:pPr>
        <w:rPr>
          <w:rFonts w:ascii="FlandersArtSans-Bold" w:hAnsi="FlandersArtSans-Bold"/>
          <w:sz w:val="24"/>
          <w:szCs w:val="24"/>
        </w:rPr>
      </w:pPr>
      <w:r w:rsidRPr="067BF4B9">
        <w:rPr>
          <w:rFonts w:ascii="FlandersArtSans-Bold" w:hAnsi="FlandersArtSans-Bold"/>
          <w:sz w:val="24"/>
          <w:szCs w:val="24"/>
        </w:rPr>
        <w:t>Deel 1: Verplicht</w:t>
      </w:r>
      <w:r w:rsidR="5BEDB199" w:rsidRPr="067BF4B9">
        <w:rPr>
          <w:rFonts w:ascii="FlandersArtSans-Bold" w:hAnsi="FlandersArtSans-Bold"/>
          <w:sz w:val="24"/>
          <w:szCs w:val="24"/>
        </w:rPr>
        <w:t>e</w:t>
      </w:r>
      <w:r w:rsidRPr="067BF4B9">
        <w:rPr>
          <w:rFonts w:ascii="FlandersArtSans-Bold" w:hAnsi="FlandersArtSans-Bold"/>
          <w:sz w:val="24"/>
          <w:szCs w:val="24"/>
        </w:rPr>
        <w:t xml:space="preserve"> inhoudseisen</w:t>
      </w:r>
    </w:p>
    <w:p w14:paraId="7FF1580A" w14:textId="77777777" w:rsidR="008B44CF" w:rsidRPr="008B44CF" w:rsidRDefault="008B44CF" w:rsidP="008B44CF">
      <w:pPr>
        <w:rPr>
          <w:rFonts w:ascii="FlandersArtSans-Regular" w:hAnsi="FlandersArtSans-Regular"/>
        </w:rPr>
      </w:pPr>
      <w:r w:rsidRPr="008B44CF">
        <w:rPr>
          <w:rFonts w:ascii="FlandersArtSans-Regular" w:hAnsi="FlandersArtSans-Regular"/>
        </w:rPr>
        <w:t>[</w:t>
      </w:r>
      <w:r w:rsidRPr="008B44CF">
        <w:rPr>
          <w:rFonts w:ascii="FlandersArtSans-Regular" w:hAnsi="FlandersArtSans-Regular"/>
          <w:i/>
          <w:iCs/>
        </w:rPr>
        <w:t>Naam van de overheidsinstantie</w:t>
      </w:r>
      <w:r w:rsidRPr="008B44CF">
        <w:rPr>
          <w:rFonts w:ascii="FlandersArtSans-Regular" w:hAnsi="FlandersArtSans-Regular"/>
        </w:rPr>
        <w:t>] streeft ernaar [</w:t>
      </w:r>
      <w:r w:rsidRPr="008B44CF">
        <w:rPr>
          <w:rFonts w:ascii="FlandersArtSans-Regular" w:hAnsi="FlandersArtSans-Regular"/>
          <w:i/>
          <w:iCs/>
        </w:rPr>
        <w:t>zijn</w:t>
      </w:r>
      <w:r w:rsidRPr="008B44CF">
        <w:rPr>
          <w:rFonts w:ascii="FlandersArtSans-Regular" w:hAnsi="FlandersArtSans-Regular"/>
        </w:rPr>
        <w:t>]/[</w:t>
      </w:r>
      <w:r w:rsidRPr="008B44CF">
        <w:rPr>
          <w:rFonts w:ascii="FlandersArtSans-Regular" w:hAnsi="FlandersArtSans-Regular"/>
          <w:i/>
          <w:iCs/>
        </w:rPr>
        <w:t>haar</w:t>
      </w:r>
      <w:r w:rsidRPr="008B44CF">
        <w:rPr>
          <w:rFonts w:ascii="FlandersArtSans-Regular" w:hAnsi="FlandersArtSans-Regular"/>
        </w:rPr>
        <w:t>] [</w:t>
      </w:r>
      <w:r w:rsidRPr="008B44CF">
        <w:rPr>
          <w:rFonts w:ascii="FlandersArtSans-Regular" w:hAnsi="FlandersArtSans-Regular"/>
          <w:i/>
          <w:iCs/>
        </w:rPr>
        <w:t>website(s)</w:t>
      </w:r>
      <w:r w:rsidRPr="008B44CF">
        <w:rPr>
          <w:rFonts w:ascii="FlandersArtSans-Regular" w:hAnsi="FlandersArtSans-Regular"/>
        </w:rPr>
        <w:t>] [</w:t>
      </w:r>
      <w:r w:rsidRPr="008B44CF">
        <w:rPr>
          <w:rFonts w:ascii="FlandersArtSans-Regular" w:hAnsi="FlandersArtSans-Regular"/>
          <w:i/>
          <w:iCs/>
        </w:rPr>
        <w:t>en</w:t>
      </w:r>
      <w:r w:rsidRPr="008B44CF">
        <w:rPr>
          <w:rFonts w:ascii="FlandersArtSans-Regular" w:hAnsi="FlandersArtSans-Regular"/>
        </w:rPr>
        <w:t>] [</w:t>
      </w:r>
      <w:r w:rsidRPr="008B44CF">
        <w:rPr>
          <w:rFonts w:ascii="FlandersArtSans-Regular" w:hAnsi="FlandersArtSans-Regular"/>
          <w:i/>
          <w:iCs/>
        </w:rPr>
        <w:t>mobiele applicatie(s)</w:t>
      </w:r>
      <w:r w:rsidRPr="008B44CF">
        <w:rPr>
          <w:rFonts w:ascii="FlandersArtSans-Regular" w:hAnsi="FlandersArtSans-Regular"/>
        </w:rPr>
        <w:t>] toegankelijk te maken, overeenkomstig [</w:t>
      </w:r>
      <w:r w:rsidRPr="008B44CF">
        <w:rPr>
          <w:rFonts w:ascii="FlandersArtSans-Regular" w:hAnsi="FlandersArtSans-Regular"/>
          <w:i/>
          <w:iCs/>
        </w:rPr>
        <w:t>nationale wetgeving tot omzetting van Richtlijn (EU) 2016/2102 van het Europees Parlement en de Raad</w:t>
      </w:r>
      <w:r w:rsidRPr="008B44CF">
        <w:rPr>
          <w:rFonts w:ascii="FlandersArtSans-Regular" w:hAnsi="FlandersArtSans-Regular"/>
        </w:rPr>
        <w:t>].</w:t>
      </w:r>
    </w:p>
    <w:p w14:paraId="68CB7B34" w14:textId="00510700" w:rsidR="008B44CF" w:rsidRPr="008B44CF" w:rsidRDefault="008B44CF" w:rsidP="008B44CF">
      <w:pPr>
        <w:rPr>
          <w:rFonts w:ascii="FlandersArtSans-Regular" w:hAnsi="FlandersArtSans-Regular"/>
        </w:rPr>
      </w:pPr>
      <w:r w:rsidRPr="008B44CF">
        <w:rPr>
          <w:rFonts w:ascii="FlandersArtSans-Regular" w:hAnsi="FlandersArtSans-Regular"/>
        </w:rPr>
        <w:t>Deze toegankelijkheidsverklaring is van toepassing op [</w:t>
      </w:r>
      <w:r w:rsidRPr="008B44CF">
        <w:rPr>
          <w:rFonts w:ascii="FlandersArtSans-Regular" w:hAnsi="FlandersArtSans-Regular"/>
          <w:i/>
          <w:iCs/>
        </w:rPr>
        <w:t>vul in wat de reikwijdte van de verklaring is, bv. website(s)/mobiele applicatie(s)</w:t>
      </w:r>
      <w:r w:rsidR="00E819D6">
        <w:rPr>
          <w:rStyle w:val="Voetnootmarkering"/>
          <w:rFonts w:ascii="FlandersArtSans-Regular" w:hAnsi="FlandersArtSans-Regular"/>
          <w:i/>
          <w:iCs/>
        </w:rPr>
        <w:footnoteReference w:id="1"/>
      </w:r>
      <w:r w:rsidRPr="008B44CF">
        <w:rPr>
          <w:rFonts w:ascii="Cambria" w:hAnsi="Cambria" w:cs="Cambria"/>
          <w:i/>
          <w:iCs/>
        </w:rPr>
        <w:t> </w:t>
      </w:r>
      <w:r w:rsidRPr="008B44CF">
        <w:rPr>
          <w:rFonts w:ascii="FlandersArtSans-Regular" w:hAnsi="FlandersArtSans-Regular"/>
          <w:i/>
          <w:iCs/>
        </w:rPr>
        <w:t>waarop de verklaring van toepassing is, naargelang van het geval</w:t>
      </w:r>
      <w:r w:rsidRPr="008B44CF">
        <w:rPr>
          <w:rFonts w:ascii="FlandersArtSans-Regular" w:hAnsi="FlandersArtSans-Regular"/>
        </w:rPr>
        <w:t>].</w:t>
      </w:r>
    </w:p>
    <w:p w14:paraId="61427898" w14:textId="562F931B" w:rsidR="008B44CF" w:rsidRPr="008B44CF" w:rsidRDefault="008B44CF" w:rsidP="008B44CF">
      <w:pPr>
        <w:rPr>
          <w:rFonts w:ascii="FlandersArtSans-Regular" w:hAnsi="FlandersArtSans-Regular"/>
        </w:rPr>
      </w:pPr>
      <w:r w:rsidRPr="008B44CF">
        <w:rPr>
          <w:rFonts w:ascii="FlandersArtSans-Regular" w:hAnsi="FlandersArtSans-Regular"/>
          <w:b/>
          <w:bCs/>
        </w:rPr>
        <w:t>Nalevingsstatus</w:t>
      </w:r>
      <w:r w:rsidR="00CF3FF2">
        <w:rPr>
          <w:rStyle w:val="Voetnootmarkering"/>
          <w:rFonts w:ascii="FlandersArtSans-Regular" w:hAnsi="FlandersArtSans-Regular"/>
          <w:b/>
          <w:bCs/>
        </w:rPr>
        <w:footnoteReference w:id="2"/>
      </w:r>
    </w:p>
    <w:p w14:paraId="4E193EFA" w14:textId="51EDC7E0" w:rsidR="008B44CF" w:rsidRPr="008B44CF" w:rsidRDefault="008B44CF" w:rsidP="008B44CF">
      <w:pPr>
        <w:rPr>
          <w:rFonts w:ascii="FlandersArtSans-Regular" w:hAnsi="FlandersArtSans-Regular"/>
        </w:rPr>
      </w:pPr>
      <w:r w:rsidRPr="008B44CF">
        <w:rPr>
          <w:rFonts w:ascii="FlandersArtSans-Regular" w:hAnsi="FlandersArtSans-Regular"/>
        </w:rPr>
        <w:t>a.</w:t>
      </w:r>
      <w:r w:rsidR="005F6221">
        <w:rPr>
          <w:rStyle w:val="Voetnootmarkering"/>
          <w:rFonts w:ascii="FlandersArtSans-Regular" w:hAnsi="FlandersArtSans-Regular"/>
        </w:rPr>
        <w:footnoteReference w:id="3"/>
      </w:r>
      <w:r w:rsidRPr="008B44CF">
        <w:rPr>
          <w:rFonts w:ascii="Cambria" w:hAnsi="Cambria" w:cs="Cambria"/>
        </w:rPr>
        <w:t> </w:t>
      </w:r>
      <w:r w:rsidRPr="008B44CF">
        <w:rPr>
          <w:rFonts w:ascii="FlandersArtSans-Regular" w:hAnsi="FlandersArtSans-Regular"/>
        </w:rPr>
        <w:t>Deze [</w:t>
      </w:r>
      <w:r w:rsidRPr="008B44CF">
        <w:rPr>
          <w:rFonts w:ascii="FlandersArtSans-Regular" w:hAnsi="FlandersArtSans-Regular"/>
          <w:i/>
          <w:iCs/>
        </w:rPr>
        <w:t>website(s)</w:t>
      </w:r>
      <w:r w:rsidRPr="008B44CF">
        <w:rPr>
          <w:rFonts w:ascii="FlandersArtSans-Regular" w:hAnsi="FlandersArtSans-Regular"/>
        </w:rPr>
        <w:t>] [</w:t>
      </w:r>
      <w:r w:rsidRPr="008B44CF">
        <w:rPr>
          <w:rFonts w:ascii="FlandersArtSans-Regular" w:hAnsi="FlandersArtSans-Regular"/>
          <w:i/>
          <w:iCs/>
        </w:rPr>
        <w:t>mobiele applicatie(s)</w:t>
      </w:r>
      <w:r w:rsidRPr="008B44CF">
        <w:rPr>
          <w:rFonts w:ascii="FlandersArtSans-Regular" w:hAnsi="FlandersArtSans-Regular"/>
        </w:rPr>
        <w:t>] [</w:t>
      </w:r>
      <w:r w:rsidRPr="008B44CF">
        <w:rPr>
          <w:rFonts w:ascii="FlandersArtSans-Regular" w:hAnsi="FlandersArtSans-Regular"/>
          <w:i/>
          <w:iCs/>
        </w:rPr>
        <w:t>voldoet</w:t>
      </w:r>
      <w:r w:rsidRPr="008B44CF">
        <w:rPr>
          <w:rFonts w:ascii="FlandersArtSans-Regular" w:hAnsi="FlandersArtSans-Regular"/>
        </w:rPr>
        <w:t>] [</w:t>
      </w:r>
      <w:r w:rsidRPr="008B44CF">
        <w:rPr>
          <w:rFonts w:ascii="FlandersArtSans-Regular" w:hAnsi="FlandersArtSans-Regular"/>
          <w:i/>
          <w:iCs/>
        </w:rPr>
        <w:t>voldoen</w:t>
      </w:r>
      <w:r w:rsidRPr="008B44CF">
        <w:rPr>
          <w:rFonts w:ascii="FlandersArtSans-Regular" w:hAnsi="FlandersArtSans-Regular"/>
        </w:rPr>
        <w:t>] volledig aan [</w:t>
      </w:r>
      <w:r w:rsidRPr="008B44CF">
        <w:rPr>
          <w:rFonts w:ascii="FlandersArtSans-Regular" w:hAnsi="FlandersArtSans-Regular"/>
          <w:i/>
          <w:iCs/>
        </w:rPr>
        <w:t>xxx</w:t>
      </w:r>
      <w:r w:rsidRPr="008B44CF">
        <w:rPr>
          <w:rFonts w:ascii="FlandersArtSans-Regular" w:hAnsi="FlandersArtSans-Regular"/>
        </w:rPr>
        <w:t>]</w:t>
      </w:r>
      <w:r w:rsidR="005F6221" w:rsidRPr="005F6221">
        <w:rPr>
          <w:rFonts w:ascii="FlandersArtSans-Regular" w:hAnsi="FlandersArtSans-Regular"/>
          <w:i/>
          <w:iCs/>
          <w:vertAlign w:val="superscript"/>
        </w:rPr>
        <w:t xml:space="preserve"> </w:t>
      </w:r>
      <w:r w:rsidR="005F6221" w:rsidRPr="005F6221">
        <w:rPr>
          <w:rFonts w:ascii="FlandersArtSans-Regular" w:hAnsi="FlandersArtSans-Regular"/>
          <w:vertAlign w:val="superscript"/>
        </w:rPr>
        <w:footnoteReference w:id="4"/>
      </w:r>
      <w:r w:rsidRPr="005F6221">
        <w:rPr>
          <w:rFonts w:ascii="FlandersArtSans-Regular" w:hAnsi="FlandersArtSans-Regular"/>
        </w:rPr>
        <w:t>.</w:t>
      </w:r>
    </w:p>
    <w:p w14:paraId="3991DBE8" w14:textId="798A83C3" w:rsidR="008B44CF" w:rsidRPr="008B44CF" w:rsidRDefault="008B44CF" w:rsidP="008B44CF">
      <w:pPr>
        <w:rPr>
          <w:rFonts w:ascii="FlandersArtSans-Regular" w:hAnsi="FlandersArtSans-Regular"/>
        </w:rPr>
      </w:pPr>
      <w:r w:rsidRPr="008B44CF">
        <w:rPr>
          <w:rFonts w:ascii="FlandersArtSans-Regular" w:hAnsi="FlandersArtSans-Regular"/>
        </w:rPr>
        <w:t>b.</w:t>
      </w:r>
      <w:r w:rsidR="005F6221">
        <w:rPr>
          <w:rStyle w:val="Voetnootmarkering"/>
          <w:rFonts w:ascii="Cambria" w:hAnsi="Cambria" w:cs="Cambria"/>
        </w:rPr>
        <w:footnoteReference w:id="5"/>
      </w:r>
      <w:r w:rsidRPr="008B44CF">
        <w:rPr>
          <w:rFonts w:ascii="Cambria" w:hAnsi="Cambria" w:cs="Cambria"/>
        </w:rPr>
        <w:t> </w:t>
      </w:r>
      <w:r w:rsidR="005F6221" w:rsidRPr="008B44CF">
        <w:rPr>
          <w:rFonts w:ascii="FlandersArtSans-Regular" w:hAnsi="FlandersArtSans-Regular"/>
        </w:rPr>
        <w:t xml:space="preserve"> </w:t>
      </w:r>
      <w:r w:rsidRPr="008B44CF">
        <w:rPr>
          <w:rFonts w:ascii="FlandersArtSans-Regular" w:hAnsi="FlandersArtSans-Regular"/>
        </w:rPr>
        <w:t>Deze [</w:t>
      </w:r>
      <w:r w:rsidRPr="008B44CF">
        <w:rPr>
          <w:rFonts w:ascii="FlandersArtSans-Regular" w:hAnsi="FlandersArtSans-Regular"/>
          <w:i/>
          <w:iCs/>
        </w:rPr>
        <w:t>website(s)</w:t>
      </w:r>
      <w:r w:rsidRPr="008B44CF">
        <w:rPr>
          <w:rFonts w:ascii="FlandersArtSans-Regular" w:hAnsi="FlandersArtSans-Regular"/>
        </w:rPr>
        <w:t>] [</w:t>
      </w:r>
      <w:r w:rsidRPr="008B44CF">
        <w:rPr>
          <w:rFonts w:ascii="FlandersArtSans-Regular" w:hAnsi="FlandersArtSans-Regular"/>
          <w:i/>
          <w:iCs/>
        </w:rPr>
        <w:t>mobiele applicatie(s)</w:t>
      </w:r>
      <w:r w:rsidRPr="008B44CF">
        <w:rPr>
          <w:rFonts w:ascii="FlandersArtSans-Regular" w:hAnsi="FlandersArtSans-Regular"/>
        </w:rPr>
        <w:t>] [</w:t>
      </w:r>
      <w:r w:rsidRPr="008B44CF">
        <w:rPr>
          <w:rFonts w:ascii="FlandersArtSans-Regular" w:hAnsi="FlandersArtSans-Regular"/>
          <w:i/>
          <w:iCs/>
        </w:rPr>
        <w:t>voldoet</w:t>
      </w:r>
      <w:r w:rsidRPr="008B44CF">
        <w:rPr>
          <w:rFonts w:ascii="FlandersArtSans-Regular" w:hAnsi="FlandersArtSans-Regular"/>
        </w:rPr>
        <w:t>] [</w:t>
      </w:r>
      <w:r w:rsidRPr="008B44CF">
        <w:rPr>
          <w:rFonts w:ascii="FlandersArtSans-Regular" w:hAnsi="FlandersArtSans-Regular"/>
          <w:i/>
          <w:iCs/>
        </w:rPr>
        <w:t>voldoen</w:t>
      </w:r>
      <w:r w:rsidRPr="008B44CF">
        <w:rPr>
          <w:rFonts w:ascii="FlandersArtSans-Regular" w:hAnsi="FlandersArtSans-Regular"/>
        </w:rPr>
        <w:t>]</w:t>
      </w:r>
      <w:r w:rsidRPr="008B44CF">
        <w:rPr>
          <w:rFonts w:ascii="Cambria" w:hAnsi="Cambria" w:cs="Cambria"/>
        </w:rPr>
        <w:t> </w:t>
      </w:r>
      <w:r w:rsidRPr="008B44CF">
        <w:rPr>
          <w:rFonts w:ascii="FlandersArtSans-Regular" w:hAnsi="FlandersArtSans-Regular"/>
        </w:rPr>
        <w:t>gedeeltelijk</w:t>
      </w:r>
      <w:r w:rsidR="00546DEA">
        <w:rPr>
          <w:rStyle w:val="Voetnootmarkering"/>
          <w:rFonts w:ascii="FlandersArtSans-Regular" w:hAnsi="FlandersArtSans-Regular"/>
        </w:rPr>
        <w:footnoteReference w:id="6"/>
      </w:r>
      <w:r w:rsidRPr="008B44CF">
        <w:rPr>
          <w:rFonts w:ascii="Cambria" w:hAnsi="Cambria" w:cs="Cambria"/>
        </w:rPr>
        <w:t> </w:t>
      </w:r>
      <w:r w:rsidRPr="008B44CF">
        <w:rPr>
          <w:rFonts w:ascii="FlandersArtSans-Regular" w:hAnsi="FlandersArtSans-Regular"/>
        </w:rPr>
        <w:t>aan [</w:t>
      </w:r>
      <w:r w:rsidRPr="008B44CF">
        <w:rPr>
          <w:rFonts w:ascii="FlandersArtSans-Regular" w:hAnsi="FlandersArtSans-Regular"/>
          <w:i/>
          <w:iCs/>
        </w:rPr>
        <w:t>xxx</w:t>
      </w:r>
      <w:r w:rsidRPr="008B44CF">
        <w:rPr>
          <w:rFonts w:ascii="FlandersArtSans-Regular" w:hAnsi="FlandersArtSans-Regular"/>
        </w:rPr>
        <w:t>],</w:t>
      </w:r>
      <w:r w:rsidR="00B739CB">
        <w:rPr>
          <w:rStyle w:val="Voetnootmarkering"/>
          <w:rFonts w:ascii="FlandersArtSans-Regular" w:hAnsi="FlandersArtSans-Regular"/>
        </w:rPr>
        <w:footnoteReference w:id="7"/>
      </w:r>
      <w:r w:rsidRPr="008B44CF">
        <w:rPr>
          <w:rFonts w:ascii="FlandersArtSans-Regular" w:hAnsi="FlandersArtSans-Regular"/>
        </w:rPr>
        <w:t xml:space="preserve"> [</w:t>
      </w:r>
      <w:r w:rsidRPr="008B44CF">
        <w:rPr>
          <w:rFonts w:ascii="FlandersArtSans-Regular" w:hAnsi="FlandersArtSans-Regular"/>
          <w:i/>
          <w:iCs/>
        </w:rPr>
        <w:t>omdat niet aan de onderstaande eis(en) is voldaan</w:t>
      </w:r>
      <w:r w:rsidRPr="008B44CF">
        <w:rPr>
          <w:rFonts w:ascii="FlandersArtSans-Regular" w:hAnsi="FlandersArtSans-Regular"/>
        </w:rPr>
        <w:t>] [</w:t>
      </w:r>
      <w:r w:rsidRPr="008B44CF">
        <w:rPr>
          <w:rFonts w:ascii="FlandersArtSans-Regular" w:hAnsi="FlandersArtSans-Regular"/>
          <w:i/>
          <w:iCs/>
        </w:rPr>
        <w:t>en/of</w:t>
      </w:r>
      <w:r w:rsidRPr="008B44CF">
        <w:rPr>
          <w:rFonts w:ascii="FlandersArtSans-Regular" w:hAnsi="FlandersArtSans-Regular"/>
        </w:rPr>
        <w:t>] [</w:t>
      </w:r>
      <w:r w:rsidRPr="008B44CF">
        <w:rPr>
          <w:rFonts w:ascii="FlandersArtSans-Regular" w:hAnsi="FlandersArtSans-Regular"/>
          <w:i/>
          <w:iCs/>
        </w:rPr>
        <w:t>omdat de volgende vrijstellingen gelden</w:t>
      </w:r>
      <w:r w:rsidRPr="008B44CF">
        <w:rPr>
          <w:rFonts w:ascii="FlandersArtSans-Regular" w:hAnsi="FlandersArtSans-Regular"/>
        </w:rPr>
        <w:t>].</w:t>
      </w:r>
    </w:p>
    <w:p w14:paraId="2BAE1A04" w14:textId="13777F68" w:rsidR="008B44CF" w:rsidRPr="008B44CF" w:rsidRDefault="008B44CF" w:rsidP="008B44CF">
      <w:pPr>
        <w:rPr>
          <w:rFonts w:ascii="FlandersArtSans-Regular" w:hAnsi="FlandersArtSans-Regular"/>
        </w:rPr>
      </w:pPr>
      <w:r w:rsidRPr="008B44CF">
        <w:rPr>
          <w:rFonts w:ascii="FlandersArtSans-Regular" w:hAnsi="FlandersArtSans-Regular"/>
        </w:rPr>
        <w:t>c.</w:t>
      </w:r>
      <w:r w:rsidR="0044706D">
        <w:rPr>
          <w:rStyle w:val="Voetnootmarkering"/>
          <w:rFonts w:ascii="FlandersArtSans-Regular" w:hAnsi="FlandersArtSans-Regular"/>
        </w:rPr>
        <w:footnoteReference w:id="8"/>
      </w:r>
      <w:r w:rsidRPr="008B44CF">
        <w:rPr>
          <w:rFonts w:ascii="Cambria" w:hAnsi="Cambria" w:cs="Cambria"/>
        </w:rPr>
        <w:t> </w:t>
      </w:r>
      <w:r w:rsidRPr="008B44CF">
        <w:rPr>
          <w:rFonts w:ascii="FlandersArtSans-Regular" w:hAnsi="FlandersArtSans-Regular"/>
        </w:rPr>
        <w:t>Deze [</w:t>
      </w:r>
      <w:r w:rsidRPr="008B44CF">
        <w:rPr>
          <w:rFonts w:ascii="FlandersArtSans-Regular" w:hAnsi="FlandersArtSans-Regular"/>
          <w:i/>
          <w:iCs/>
        </w:rPr>
        <w:t>website(s)</w:t>
      </w:r>
      <w:r w:rsidRPr="008B44CF">
        <w:rPr>
          <w:rFonts w:ascii="FlandersArtSans-Regular" w:hAnsi="FlandersArtSans-Regular"/>
        </w:rPr>
        <w:t>] [</w:t>
      </w:r>
      <w:r w:rsidRPr="008B44CF">
        <w:rPr>
          <w:rFonts w:ascii="FlandersArtSans-Regular" w:hAnsi="FlandersArtSans-Regular"/>
          <w:i/>
          <w:iCs/>
        </w:rPr>
        <w:t>mobiele applicatie(s)</w:t>
      </w:r>
      <w:r w:rsidRPr="008B44CF">
        <w:rPr>
          <w:rFonts w:ascii="FlandersArtSans-Regular" w:hAnsi="FlandersArtSans-Regular"/>
        </w:rPr>
        <w:t>] [</w:t>
      </w:r>
      <w:r w:rsidRPr="008B44CF">
        <w:rPr>
          <w:rFonts w:ascii="FlandersArtSans-Regular" w:hAnsi="FlandersArtSans-Regular"/>
          <w:i/>
          <w:iCs/>
        </w:rPr>
        <w:t>voldoet</w:t>
      </w:r>
      <w:r w:rsidRPr="008B44CF">
        <w:rPr>
          <w:rFonts w:ascii="FlandersArtSans-Regular" w:hAnsi="FlandersArtSans-Regular"/>
        </w:rPr>
        <w:t>] [</w:t>
      </w:r>
      <w:r w:rsidRPr="008B44CF">
        <w:rPr>
          <w:rFonts w:ascii="FlandersArtSans-Regular" w:hAnsi="FlandersArtSans-Regular"/>
          <w:i/>
          <w:iCs/>
        </w:rPr>
        <w:t>voldoen</w:t>
      </w:r>
      <w:r w:rsidRPr="008B44CF">
        <w:rPr>
          <w:rFonts w:ascii="FlandersArtSans-Regular" w:hAnsi="FlandersArtSans-Regular"/>
        </w:rPr>
        <w:t>] niet aan [</w:t>
      </w:r>
      <w:r w:rsidRPr="008B44CF">
        <w:rPr>
          <w:rFonts w:ascii="FlandersArtSans-Regular" w:hAnsi="FlandersArtSans-Regular"/>
          <w:i/>
          <w:iCs/>
        </w:rPr>
        <w:t>xxx</w:t>
      </w:r>
      <w:r w:rsidRPr="008B44CF">
        <w:rPr>
          <w:rFonts w:ascii="FlandersArtSans-Regular" w:hAnsi="FlandersArtSans-Regular"/>
        </w:rPr>
        <w:t>]</w:t>
      </w:r>
      <w:r w:rsidR="0044706D">
        <w:rPr>
          <w:rStyle w:val="Voetnootmarkering"/>
          <w:rFonts w:ascii="FlandersArtSans-Regular" w:hAnsi="FlandersArtSans-Regular"/>
        </w:rPr>
        <w:footnoteReference w:id="9"/>
      </w:r>
      <w:r w:rsidRPr="008B44CF">
        <w:rPr>
          <w:rFonts w:ascii="FlandersArtSans-Regular" w:hAnsi="FlandersArtSans-Regular"/>
        </w:rPr>
        <w:t>. De [</w:t>
      </w:r>
      <w:r w:rsidRPr="008B44CF">
        <w:rPr>
          <w:rFonts w:ascii="FlandersArtSans-Regular" w:hAnsi="FlandersArtSans-Regular"/>
          <w:i/>
          <w:iCs/>
        </w:rPr>
        <w:t>de eis(en) waaraan niet is voldaan</w:t>
      </w:r>
      <w:r w:rsidRPr="008B44CF">
        <w:rPr>
          <w:rFonts w:ascii="FlandersArtSans-Regular" w:hAnsi="FlandersArtSans-Regular"/>
        </w:rPr>
        <w:t>] [</w:t>
      </w:r>
      <w:r w:rsidRPr="008B44CF">
        <w:rPr>
          <w:rFonts w:ascii="FlandersArtSans-Regular" w:hAnsi="FlandersArtSans-Regular"/>
          <w:i/>
          <w:iCs/>
        </w:rPr>
        <w:t>en/of</w:t>
      </w:r>
      <w:r w:rsidRPr="008B44CF">
        <w:rPr>
          <w:rFonts w:ascii="FlandersArtSans-Regular" w:hAnsi="FlandersArtSans-Regular"/>
        </w:rPr>
        <w:t>] [</w:t>
      </w:r>
      <w:r w:rsidRPr="008B44CF">
        <w:rPr>
          <w:rFonts w:ascii="FlandersArtSans-Regular" w:hAnsi="FlandersArtSans-Regular"/>
          <w:i/>
          <w:iCs/>
        </w:rPr>
        <w:t>de vrijstellingen</w:t>
      </w:r>
      <w:r w:rsidRPr="008B44CF">
        <w:rPr>
          <w:rFonts w:ascii="FlandersArtSans-Regular" w:hAnsi="FlandersArtSans-Regular"/>
        </w:rPr>
        <w:t>] worden hieronder genoemd.</w:t>
      </w:r>
    </w:p>
    <w:p w14:paraId="5128D0E9" w14:textId="34007D6F" w:rsidR="008B44CF" w:rsidRPr="008B44CF" w:rsidRDefault="008B44CF" w:rsidP="008B44CF">
      <w:pPr>
        <w:rPr>
          <w:rFonts w:ascii="FlandersArtSans-Regular" w:hAnsi="FlandersArtSans-Regular"/>
        </w:rPr>
      </w:pPr>
      <w:r w:rsidRPr="008B44CF">
        <w:rPr>
          <w:rFonts w:ascii="FlandersArtSans-Regular" w:hAnsi="FlandersArtSans-Regular"/>
          <w:b/>
          <w:bCs/>
        </w:rPr>
        <w:t>Niet-toegankelijke inhoud</w:t>
      </w:r>
      <w:r w:rsidR="00546219">
        <w:rPr>
          <w:rStyle w:val="Voetnootmarkering"/>
          <w:rFonts w:ascii="FlandersArtSans-Regular" w:hAnsi="FlandersArtSans-Regular"/>
          <w:b/>
          <w:bCs/>
        </w:rPr>
        <w:footnoteReference w:id="10"/>
      </w:r>
    </w:p>
    <w:p w14:paraId="25E36319" w14:textId="77777777" w:rsidR="008B44CF" w:rsidRPr="008B44CF" w:rsidRDefault="008B44CF" w:rsidP="008B44CF">
      <w:pPr>
        <w:rPr>
          <w:rFonts w:ascii="FlandersArtSans-Regular" w:hAnsi="FlandersArtSans-Regular"/>
        </w:rPr>
      </w:pPr>
      <w:r w:rsidRPr="008B44CF">
        <w:rPr>
          <w:rFonts w:ascii="FlandersArtSans-Regular" w:hAnsi="FlandersArtSans-Regular"/>
        </w:rPr>
        <w:lastRenderedPageBreak/>
        <w:t>De onderstaande inhoud is niet-toegankelijk om de volgende reden(en):</w:t>
      </w:r>
    </w:p>
    <w:p w14:paraId="1F5D7181" w14:textId="7F3487ED" w:rsidR="008B44CF" w:rsidRPr="008B44CF" w:rsidRDefault="008B44CF" w:rsidP="008B44CF">
      <w:pPr>
        <w:numPr>
          <w:ilvl w:val="0"/>
          <w:numId w:val="1"/>
        </w:numPr>
        <w:rPr>
          <w:rFonts w:ascii="FlandersArtSans-Regular" w:hAnsi="FlandersArtSans-Regular"/>
        </w:rPr>
      </w:pPr>
      <w:r w:rsidRPr="008B44CF">
        <w:rPr>
          <w:rFonts w:ascii="FlandersArtSans-Regular" w:hAnsi="FlandersArtSans-Regular"/>
        </w:rPr>
        <w:t>niet-naleving van de [</w:t>
      </w:r>
      <w:r w:rsidRPr="008B44CF">
        <w:rPr>
          <w:rFonts w:ascii="FlandersArtSans-Regular" w:hAnsi="FlandersArtSans-Regular"/>
          <w:i/>
          <w:iCs/>
        </w:rPr>
        <w:t>nationale wetgeving</w:t>
      </w:r>
      <w:r w:rsidRPr="008B44CF">
        <w:rPr>
          <w:rFonts w:ascii="FlandersArtSans-Regular" w:hAnsi="FlandersArtSans-Regular"/>
        </w:rPr>
        <w:t>]</w:t>
      </w:r>
      <w:r w:rsidRPr="008B44CF">
        <w:rPr>
          <w:rFonts w:ascii="FlandersArtSans-Regular" w:hAnsi="FlandersArtSans-Regular"/>
        </w:rPr>
        <w:br/>
        <w:t>[</w:t>
      </w:r>
      <w:r w:rsidRPr="008B44CF">
        <w:rPr>
          <w:rFonts w:ascii="FlandersArtSans-Regular" w:hAnsi="FlandersArtSans-Regular"/>
          <w:i/>
          <w:iCs/>
        </w:rPr>
        <w:t>Noem de eis(en) van website(s)/mobile toepassing(en) die niet worden nageleefd, en/of, beschrijf welk(e) deel(delen)/inhoud/functie(s) nog niet aan de eis(en) voldoen.</w:t>
      </w:r>
      <w:r w:rsidRPr="008B44CF">
        <w:rPr>
          <w:rFonts w:ascii="FlandersArtSans-Regular" w:hAnsi="FlandersArtSans-Regular"/>
        </w:rPr>
        <w:t>]</w:t>
      </w:r>
      <w:r w:rsidR="00B80FEB">
        <w:rPr>
          <w:rStyle w:val="Voetnootmarkering"/>
          <w:rFonts w:ascii="FlandersArtSans-Regular" w:hAnsi="FlandersArtSans-Regular"/>
        </w:rPr>
        <w:footnoteReference w:id="11"/>
      </w:r>
    </w:p>
    <w:p w14:paraId="5ED816E9" w14:textId="77777777" w:rsidR="008B44CF" w:rsidRPr="008B44CF" w:rsidRDefault="008B44CF" w:rsidP="008B44CF">
      <w:pPr>
        <w:numPr>
          <w:ilvl w:val="0"/>
          <w:numId w:val="1"/>
        </w:numPr>
        <w:rPr>
          <w:rFonts w:ascii="FlandersArtSans-Regular" w:hAnsi="FlandersArtSans-Regular"/>
        </w:rPr>
      </w:pPr>
      <w:r w:rsidRPr="008B44CF">
        <w:rPr>
          <w:rFonts w:ascii="FlandersArtSans-Regular" w:hAnsi="FlandersArtSans-Regular"/>
        </w:rPr>
        <w:t>onevenredige last</w:t>
      </w:r>
      <w:r w:rsidRPr="008B44CF">
        <w:rPr>
          <w:rFonts w:ascii="FlandersArtSans-Regular" w:hAnsi="FlandersArtSans-Regular"/>
        </w:rPr>
        <w:br/>
        <w:t>[</w:t>
      </w:r>
      <w:r w:rsidRPr="008B44CF">
        <w:rPr>
          <w:rFonts w:ascii="FlandersArtSans-Regular" w:hAnsi="FlandersArtSans-Regular"/>
          <w:i/>
          <w:iCs/>
        </w:rPr>
        <w:t>Noem het/de niet-toegankelijke deel (delen)/inhoud/functie(s) waarvoor de vrijstelling op grond van onevenredige last, in de zin van</w:t>
      </w:r>
      <w:r w:rsidRPr="008B44CF">
        <w:rPr>
          <w:rFonts w:ascii="Cambria" w:hAnsi="Cambria" w:cs="Cambria"/>
          <w:i/>
          <w:iCs/>
        </w:rPr>
        <w:t> </w:t>
      </w:r>
      <w:hyperlink r:id="rId11" w:anchor="d1e807-1-1" w:tgtFrame="_blank" w:history="1">
        <w:r w:rsidRPr="008B44CF">
          <w:rPr>
            <w:rStyle w:val="Hyperlink"/>
            <w:rFonts w:ascii="FlandersArtSans-Regular" w:hAnsi="FlandersArtSans-Regular"/>
            <w:i/>
            <w:iCs/>
          </w:rPr>
          <w:t>artikel 5 van Richtlijn (EU) 2016/2102</w:t>
        </w:r>
      </w:hyperlink>
      <w:r w:rsidRPr="008B44CF">
        <w:rPr>
          <w:rFonts w:ascii="Cambria" w:hAnsi="Cambria" w:cs="Cambria"/>
          <w:i/>
          <w:iCs/>
        </w:rPr>
        <w:t> </w:t>
      </w:r>
      <w:r w:rsidRPr="008B44CF">
        <w:rPr>
          <w:rFonts w:ascii="FlandersArtSans-Regular" w:hAnsi="FlandersArtSans-Regular"/>
          <w:i/>
          <w:iCs/>
        </w:rPr>
        <w:t>tijdelijk wordt ingeroepen.</w:t>
      </w:r>
      <w:r w:rsidRPr="008B44CF">
        <w:rPr>
          <w:rFonts w:ascii="FlandersArtSans-Regular" w:hAnsi="FlandersArtSans-Regular"/>
        </w:rPr>
        <w:t>]</w:t>
      </w:r>
    </w:p>
    <w:p w14:paraId="22F3D990" w14:textId="77777777" w:rsidR="008B44CF" w:rsidRPr="008B44CF" w:rsidRDefault="008B44CF" w:rsidP="008B44CF">
      <w:pPr>
        <w:numPr>
          <w:ilvl w:val="0"/>
          <w:numId w:val="1"/>
        </w:numPr>
        <w:rPr>
          <w:rFonts w:ascii="FlandersArtSans-Regular" w:hAnsi="FlandersArtSans-Regular"/>
        </w:rPr>
      </w:pPr>
      <w:r w:rsidRPr="008B44CF">
        <w:rPr>
          <w:rFonts w:ascii="FlandersArtSans-Regular" w:hAnsi="FlandersArtSans-Regular"/>
        </w:rPr>
        <w:t>de inhoud valt buiten de werkingssfeer van de toepasselijke wetgeving</w:t>
      </w:r>
      <w:r w:rsidRPr="008B44CF">
        <w:rPr>
          <w:rFonts w:ascii="FlandersArtSans-Regular" w:hAnsi="FlandersArtSans-Regular"/>
        </w:rPr>
        <w:br/>
        <w:t>[</w:t>
      </w:r>
      <w:r w:rsidRPr="008B44CF">
        <w:rPr>
          <w:rFonts w:ascii="FlandersArtSans-Regular" w:hAnsi="FlandersArtSans-Regular"/>
          <w:i/>
          <w:iCs/>
        </w:rPr>
        <w:t>Noem het/de niet-toegankelijke deel (delen)/inhoud/functie(s) dat/die buiten de toepasselijke wetgeving valt/vallen.</w:t>
      </w:r>
      <w:r w:rsidRPr="008B44CF">
        <w:rPr>
          <w:rFonts w:ascii="FlandersArtSans-Regular" w:hAnsi="FlandersArtSans-Regular"/>
        </w:rPr>
        <w:t>]</w:t>
      </w:r>
    </w:p>
    <w:p w14:paraId="7FEE38E2" w14:textId="77777777" w:rsidR="008B44CF" w:rsidRPr="008B44CF" w:rsidRDefault="008B44CF" w:rsidP="008B44CF">
      <w:pPr>
        <w:rPr>
          <w:rFonts w:ascii="FlandersArtSans-Regular" w:hAnsi="FlandersArtSans-Regular"/>
        </w:rPr>
      </w:pPr>
      <w:r w:rsidRPr="008B44CF">
        <w:rPr>
          <w:rFonts w:ascii="FlandersArtSans-Regular" w:hAnsi="FlandersArtSans-Regular"/>
        </w:rPr>
        <w:t>[</w:t>
      </w:r>
      <w:r w:rsidRPr="008B44CF">
        <w:rPr>
          <w:rFonts w:ascii="FlandersArtSans-Regular" w:hAnsi="FlandersArtSans-Regular"/>
          <w:i/>
          <w:iCs/>
        </w:rPr>
        <w:t>Vermeld toegankelijke alternatieven, indien van toepassing.</w:t>
      </w:r>
      <w:r w:rsidRPr="008B44CF">
        <w:rPr>
          <w:rFonts w:ascii="FlandersArtSans-Regular" w:hAnsi="FlandersArtSans-Regular"/>
        </w:rPr>
        <w:t>]</w:t>
      </w:r>
    </w:p>
    <w:p w14:paraId="7109328E" w14:textId="77777777" w:rsidR="008B44CF" w:rsidRPr="008B44CF" w:rsidRDefault="008B44CF" w:rsidP="008B44CF">
      <w:pPr>
        <w:rPr>
          <w:rFonts w:ascii="FlandersArtSans-Regular" w:hAnsi="FlandersArtSans-Regular"/>
        </w:rPr>
      </w:pPr>
      <w:r w:rsidRPr="008B44CF">
        <w:rPr>
          <w:rFonts w:ascii="FlandersArtSans-Regular" w:hAnsi="FlandersArtSans-Regular"/>
          <w:b/>
          <w:bCs/>
        </w:rPr>
        <w:t>Opstelling van deze toegankelijkheidsverklaring</w:t>
      </w:r>
    </w:p>
    <w:p w14:paraId="08E5668D" w14:textId="5A01B7C5" w:rsidR="008B44CF" w:rsidRPr="008B44CF" w:rsidRDefault="008B44CF" w:rsidP="008B44CF">
      <w:pPr>
        <w:rPr>
          <w:rFonts w:ascii="FlandersArtSans-Regular" w:hAnsi="FlandersArtSans-Regular"/>
        </w:rPr>
      </w:pPr>
      <w:r w:rsidRPr="008B44CF">
        <w:rPr>
          <w:rFonts w:ascii="FlandersArtSans-Regular" w:hAnsi="FlandersArtSans-Regular"/>
        </w:rPr>
        <w:t>Deze toegankelijkheidsverklaring is opgesteld op [</w:t>
      </w:r>
      <w:r w:rsidRPr="008B44CF">
        <w:rPr>
          <w:rFonts w:ascii="FlandersArtSans-Regular" w:hAnsi="FlandersArtSans-Regular"/>
          <w:i/>
          <w:iCs/>
        </w:rPr>
        <w:t>datum</w:t>
      </w:r>
      <w:r w:rsidRPr="008B44CF">
        <w:rPr>
          <w:rFonts w:ascii="FlandersArtSans-Regular" w:hAnsi="FlandersArtSans-Regular"/>
        </w:rPr>
        <w:t>].</w:t>
      </w:r>
      <w:r w:rsidR="00D02EE9">
        <w:rPr>
          <w:rStyle w:val="Voetnootmarkering"/>
          <w:rFonts w:ascii="FlandersArtSans-Regular" w:hAnsi="FlandersArtSans-Regular"/>
        </w:rPr>
        <w:footnoteReference w:id="12"/>
      </w:r>
    </w:p>
    <w:p w14:paraId="639BF787" w14:textId="77777777" w:rsidR="008B44CF" w:rsidRPr="008B44CF" w:rsidRDefault="008B44CF" w:rsidP="008B44CF">
      <w:pPr>
        <w:rPr>
          <w:rFonts w:ascii="FlandersArtSans-Regular" w:hAnsi="FlandersArtSans-Regular"/>
        </w:rPr>
      </w:pPr>
      <w:r w:rsidRPr="008B44CF">
        <w:rPr>
          <w:rFonts w:ascii="FlandersArtSans-Regular" w:hAnsi="FlandersArtSans-Regular"/>
        </w:rPr>
        <w:t>[</w:t>
      </w:r>
      <w:r w:rsidRPr="008B44CF">
        <w:rPr>
          <w:rFonts w:ascii="FlandersArtSans-Regular" w:hAnsi="FlandersArtSans-Regular"/>
          <w:i/>
          <w:iCs/>
        </w:rPr>
        <w:t>Geef aan welke methode is gebruikt bij de opstelling van deze toegankelijkheidsverklaring (zie</w:t>
      </w:r>
      <w:r w:rsidRPr="008B44CF">
        <w:rPr>
          <w:rFonts w:ascii="Cambria" w:hAnsi="Cambria" w:cs="Cambria"/>
          <w:i/>
          <w:iCs/>
        </w:rPr>
        <w:t> </w:t>
      </w:r>
      <w:hyperlink r:id="rId12" w:anchor="d1e135-103-1" w:tgtFrame="_blank" w:history="1">
        <w:r w:rsidRPr="008B44CF">
          <w:rPr>
            <w:rStyle w:val="Hyperlink"/>
            <w:rFonts w:ascii="FlandersArtSans-Regular" w:hAnsi="FlandersArtSans-Regular"/>
            <w:i/>
            <w:iCs/>
          </w:rPr>
          <w:t>artikel</w:t>
        </w:r>
        <w:r w:rsidRPr="008B44CF">
          <w:rPr>
            <w:rStyle w:val="Hyperlink"/>
            <w:rFonts w:ascii="Cambria" w:hAnsi="Cambria" w:cs="Cambria"/>
            <w:i/>
            <w:iCs/>
          </w:rPr>
          <w:t> </w:t>
        </w:r>
        <w:r w:rsidRPr="008B44CF">
          <w:rPr>
            <w:rStyle w:val="Hyperlink"/>
            <w:rFonts w:ascii="FlandersArtSans-Regular" w:hAnsi="FlandersArtSans-Regular"/>
            <w:i/>
            <w:iCs/>
          </w:rPr>
          <w:t>3, lid</w:t>
        </w:r>
        <w:r w:rsidRPr="008B44CF">
          <w:rPr>
            <w:rStyle w:val="Hyperlink"/>
            <w:rFonts w:ascii="Cambria" w:hAnsi="Cambria" w:cs="Cambria"/>
            <w:i/>
            <w:iCs/>
          </w:rPr>
          <w:t> </w:t>
        </w:r>
        <w:r w:rsidRPr="008B44CF">
          <w:rPr>
            <w:rStyle w:val="Hyperlink"/>
            <w:rFonts w:ascii="FlandersArtSans-Regular" w:hAnsi="FlandersArtSans-Regular"/>
            <w:i/>
            <w:iCs/>
          </w:rPr>
          <w:t>1, van Uitvoeringbesluit (EU) 2018/1523</w:t>
        </w:r>
      </w:hyperlink>
      <w:r w:rsidRPr="008B44CF">
        <w:rPr>
          <w:rFonts w:ascii="Cambria" w:hAnsi="Cambria" w:cs="Cambria"/>
          <w:i/>
          <w:iCs/>
        </w:rPr>
        <w:t> </w:t>
      </w:r>
      <w:r w:rsidRPr="008B44CF">
        <w:rPr>
          <w:rFonts w:ascii="FlandersArtSans-Regular" w:hAnsi="FlandersArtSans-Regular"/>
          <w:i/>
          <w:iCs/>
        </w:rPr>
        <w:t>van de Commissie).</w:t>
      </w:r>
      <w:r w:rsidRPr="008B44CF">
        <w:rPr>
          <w:rFonts w:ascii="FlandersArtSans-Regular" w:hAnsi="FlandersArtSans-Regular"/>
        </w:rPr>
        <w:t>]</w:t>
      </w:r>
    </w:p>
    <w:p w14:paraId="7173DABE" w14:textId="3B082E89" w:rsidR="008B44CF" w:rsidRPr="008B44CF" w:rsidRDefault="008B44CF" w:rsidP="008B44CF">
      <w:pPr>
        <w:rPr>
          <w:rFonts w:ascii="FlandersArtSans-Regular" w:hAnsi="FlandersArtSans-Regular"/>
        </w:rPr>
      </w:pPr>
      <w:r w:rsidRPr="008B44CF">
        <w:rPr>
          <w:rFonts w:ascii="FlandersArtSans-Regular" w:hAnsi="FlandersArtSans-Regular"/>
        </w:rPr>
        <w:t>[</w:t>
      </w:r>
      <w:r w:rsidRPr="008B44CF">
        <w:rPr>
          <w:rFonts w:ascii="FlandersArtSans-Regular" w:hAnsi="FlandersArtSans-Regular"/>
          <w:i/>
          <w:iCs/>
        </w:rPr>
        <w:t>De toegankelijkheidsverklaring is voor het laatst herzien op [vul datum laatste herziening in]</w:t>
      </w:r>
      <w:r w:rsidR="00ED2D6F">
        <w:rPr>
          <w:rStyle w:val="Voetnootmarkering"/>
          <w:rFonts w:ascii="FlandersArtSans-Regular" w:hAnsi="FlandersArtSans-Regular"/>
          <w:i/>
          <w:iCs/>
        </w:rPr>
        <w:footnoteReference w:id="13"/>
      </w:r>
      <w:r w:rsidRPr="008B44CF">
        <w:rPr>
          <w:rFonts w:ascii="FlandersArtSans-Regular" w:hAnsi="FlandersArtSans-Regular"/>
          <w:i/>
          <w:iCs/>
        </w:rPr>
        <w:t>.</w:t>
      </w:r>
      <w:r w:rsidRPr="008B44CF">
        <w:rPr>
          <w:rFonts w:ascii="FlandersArtSans-Regular" w:hAnsi="FlandersArtSans-Regular"/>
        </w:rPr>
        <w:t>]</w:t>
      </w:r>
    </w:p>
    <w:p w14:paraId="049BB006" w14:textId="77777777" w:rsidR="008B44CF" w:rsidRPr="008B44CF" w:rsidRDefault="008B44CF" w:rsidP="008B44CF">
      <w:pPr>
        <w:rPr>
          <w:rFonts w:ascii="FlandersArtSans-Regular" w:hAnsi="FlandersArtSans-Regular"/>
        </w:rPr>
      </w:pPr>
      <w:r w:rsidRPr="008B44CF">
        <w:rPr>
          <w:rFonts w:ascii="FlandersArtSans-Regular" w:hAnsi="FlandersArtSans-Regular"/>
          <w:b/>
          <w:bCs/>
        </w:rPr>
        <w:t>Feedback en contactgegevens</w:t>
      </w:r>
    </w:p>
    <w:p w14:paraId="63BC998A" w14:textId="77777777" w:rsidR="008B44CF" w:rsidRPr="008B44CF" w:rsidRDefault="008B44CF" w:rsidP="008B44CF">
      <w:pPr>
        <w:rPr>
          <w:rFonts w:ascii="FlandersArtSans-Regular" w:hAnsi="FlandersArtSans-Regular"/>
        </w:rPr>
      </w:pPr>
      <w:r w:rsidRPr="008B44CF">
        <w:rPr>
          <w:rFonts w:ascii="FlandersArtSans-Regular" w:hAnsi="FlandersArtSans-Regular"/>
        </w:rPr>
        <w:t>[</w:t>
      </w:r>
      <w:r w:rsidRPr="008B44CF">
        <w:rPr>
          <w:rFonts w:ascii="FlandersArtSans-Regular" w:hAnsi="FlandersArtSans-Regular"/>
          <w:i/>
          <w:iCs/>
        </w:rPr>
        <w:t>Geef een beschrijving van, en een link naar, het feedbackmechanisme dat moet worden gebruikt om de overheidsinstantie in kennis te stellen van niet-nakoming van de regels en om informatie en inhoud te vragen die buiten het toepassingsgebied van de richtlijn valt.</w:t>
      </w:r>
      <w:r w:rsidRPr="008B44CF">
        <w:rPr>
          <w:rFonts w:ascii="FlandersArtSans-Regular" w:hAnsi="FlandersArtSans-Regular"/>
        </w:rPr>
        <w:t>]</w:t>
      </w:r>
    </w:p>
    <w:p w14:paraId="555B2849" w14:textId="77777777" w:rsidR="008B44CF" w:rsidRPr="008B44CF" w:rsidRDefault="008B44CF" w:rsidP="008B44CF">
      <w:pPr>
        <w:rPr>
          <w:rFonts w:ascii="FlandersArtSans-Regular" w:hAnsi="FlandersArtSans-Regular"/>
        </w:rPr>
      </w:pPr>
      <w:r w:rsidRPr="008B44CF">
        <w:rPr>
          <w:rFonts w:ascii="FlandersArtSans-Regular" w:hAnsi="FlandersArtSans-Regular"/>
        </w:rPr>
        <w:t>[</w:t>
      </w:r>
      <w:r w:rsidRPr="008B44CF">
        <w:rPr>
          <w:rFonts w:ascii="FlandersArtSans-Regular" w:hAnsi="FlandersArtSans-Regular"/>
          <w:i/>
          <w:iCs/>
        </w:rPr>
        <w:t>Geef contactgegevens van de betrokken entiteit(en)/eenheid (eenheden)/persoon(personen) (naargelang van het geval) die verantwoordelijk is (zijn) voor de toegankelijkheid en voor de verwerking van verzoeken die via het feedbackmechanisme worden verstuurd.</w:t>
      </w:r>
      <w:r w:rsidRPr="008B44CF">
        <w:rPr>
          <w:rFonts w:ascii="FlandersArtSans-Regular" w:hAnsi="FlandersArtSans-Regular"/>
        </w:rPr>
        <w:t>]</w:t>
      </w:r>
    </w:p>
    <w:p w14:paraId="25255A9A" w14:textId="77777777" w:rsidR="008B44CF" w:rsidRPr="008B44CF" w:rsidRDefault="008B44CF" w:rsidP="008B44CF">
      <w:pPr>
        <w:rPr>
          <w:rFonts w:ascii="FlandersArtSans-Regular" w:hAnsi="FlandersArtSans-Regular"/>
        </w:rPr>
      </w:pPr>
      <w:r w:rsidRPr="008B44CF">
        <w:rPr>
          <w:rFonts w:ascii="FlandersArtSans-Regular" w:hAnsi="FlandersArtSans-Regular"/>
          <w:b/>
          <w:bCs/>
        </w:rPr>
        <w:t>Handhavingsprocedure</w:t>
      </w:r>
    </w:p>
    <w:p w14:paraId="251196DF" w14:textId="77777777" w:rsidR="008B44CF" w:rsidRPr="008B44CF" w:rsidRDefault="008B44CF" w:rsidP="008B44CF">
      <w:pPr>
        <w:rPr>
          <w:rFonts w:ascii="FlandersArtSans-Regular" w:hAnsi="FlandersArtSans-Regular"/>
        </w:rPr>
      </w:pPr>
      <w:r w:rsidRPr="008B44CF">
        <w:rPr>
          <w:rFonts w:ascii="FlandersArtSans-Regular" w:hAnsi="FlandersArtSans-Regular"/>
        </w:rPr>
        <w:t>[</w:t>
      </w:r>
      <w:r w:rsidRPr="008B44CF">
        <w:rPr>
          <w:rFonts w:ascii="FlandersArtSans-Regular" w:hAnsi="FlandersArtSans-Regular"/>
          <w:i/>
          <w:iCs/>
        </w:rPr>
        <w:t>Geef een beschrijving van, en een link naar, de handhavingsprocedure die moet worden gevolgd in het geval van onbevredigende antwoorden op kennisgevingen of verzoeken die overeenkomstig</w:t>
      </w:r>
      <w:r w:rsidRPr="008B44CF">
        <w:rPr>
          <w:rFonts w:ascii="Cambria" w:hAnsi="Cambria" w:cs="Cambria"/>
          <w:i/>
          <w:iCs/>
        </w:rPr>
        <w:t> </w:t>
      </w:r>
      <w:hyperlink r:id="rId13" w:anchor="d1e883-1-1" w:tgtFrame="_blank" w:history="1">
        <w:r w:rsidRPr="008B44CF">
          <w:rPr>
            <w:rStyle w:val="Hyperlink"/>
            <w:rFonts w:ascii="FlandersArtSans-Regular" w:hAnsi="FlandersArtSans-Regular"/>
            <w:i/>
            <w:iCs/>
          </w:rPr>
          <w:t>artikel</w:t>
        </w:r>
        <w:r w:rsidRPr="008B44CF">
          <w:rPr>
            <w:rStyle w:val="Hyperlink"/>
            <w:rFonts w:ascii="Cambria" w:hAnsi="Cambria" w:cs="Cambria"/>
            <w:i/>
            <w:iCs/>
          </w:rPr>
          <w:t> </w:t>
        </w:r>
        <w:r w:rsidRPr="008B44CF">
          <w:rPr>
            <w:rStyle w:val="Hyperlink"/>
            <w:rFonts w:ascii="FlandersArtSans-Regular" w:hAnsi="FlandersArtSans-Regular"/>
            <w:i/>
            <w:iCs/>
          </w:rPr>
          <w:t>7, lid</w:t>
        </w:r>
        <w:r w:rsidRPr="008B44CF">
          <w:rPr>
            <w:rStyle w:val="Hyperlink"/>
            <w:rFonts w:ascii="Cambria" w:hAnsi="Cambria" w:cs="Cambria"/>
            <w:i/>
            <w:iCs/>
          </w:rPr>
          <w:t> </w:t>
        </w:r>
        <w:r w:rsidRPr="008B44CF">
          <w:rPr>
            <w:rStyle w:val="Hyperlink"/>
            <w:rFonts w:ascii="FlandersArtSans-Regular" w:hAnsi="FlandersArtSans-Regular"/>
            <w:i/>
            <w:iCs/>
          </w:rPr>
          <w:t>1, onder</w:t>
        </w:r>
        <w:r w:rsidRPr="008B44CF">
          <w:rPr>
            <w:rStyle w:val="Hyperlink"/>
            <w:rFonts w:ascii="Cambria" w:hAnsi="Cambria" w:cs="Cambria"/>
            <w:i/>
            <w:iCs/>
          </w:rPr>
          <w:t> </w:t>
        </w:r>
        <w:r w:rsidRPr="008B44CF">
          <w:rPr>
            <w:rStyle w:val="Hyperlink"/>
            <w:rFonts w:ascii="FlandersArtSans-Regular" w:hAnsi="FlandersArtSans-Regular"/>
            <w:i/>
            <w:iCs/>
          </w:rPr>
          <w:t>b),</w:t>
        </w:r>
      </w:hyperlink>
      <w:r w:rsidRPr="008B44CF">
        <w:rPr>
          <w:rFonts w:ascii="Cambria" w:hAnsi="Cambria" w:cs="Cambria"/>
          <w:i/>
          <w:iCs/>
        </w:rPr>
        <w:t> </w:t>
      </w:r>
      <w:r w:rsidRPr="008B44CF">
        <w:rPr>
          <w:rFonts w:ascii="FlandersArtSans-Regular" w:hAnsi="FlandersArtSans-Regular"/>
          <w:i/>
          <w:iCs/>
        </w:rPr>
        <w:t>van de Richtlijn zijn verstuurd.</w:t>
      </w:r>
      <w:r w:rsidRPr="008B44CF">
        <w:rPr>
          <w:rFonts w:ascii="FlandersArtSans-Regular" w:hAnsi="FlandersArtSans-Regular"/>
        </w:rPr>
        <w:t>]</w:t>
      </w:r>
    </w:p>
    <w:p w14:paraId="2ED5A315" w14:textId="77777777" w:rsidR="008B44CF" w:rsidRPr="008B44CF" w:rsidRDefault="008B44CF" w:rsidP="008B44CF">
      <w:pPr>
        <w:rPr>
          <w:rFonts w:ascii="FlandersArtSans-Regular" w:hAnsi="FlandersArtSans-Regular"/>
        </w:rPr>
      </w:pPr>
      <w:r w:rsidRPr="008B44CF">
        <w:rPr>
          <w:rFonts w:ascii="FlandersArtSans-Regular" w:hAnsi="FlandersArtSans-Regular"/>
        </w:rPr>
        <w:lastRenderedPageBreak/>
        <w:t>[</w:t>
      </w:r>
      <w:r w:rsidRPr="008B44CF">
        <w:rPr>
          <w:rFonts w:ascii="FlandersArtSans-Regular" w:hAnsi="FlandersArtSans-Regular"/>
          <w:i/>
          <w:iCs/>
        </w:rPr>
        <w:t>Contactgegevens van de betrokken handhavingsinstantie.</w:t>
      </w:r>
      <w:r w:rsidRPr="008B44CF">
        <w:rPr>
          <w:rFonts w:ascii="FlandersArtSans-Regular" w:hAnsi="FlandersArtSans-Regular"/>
        </w:rPr>
        <w:t>]</w:t>
      </w:r>
    </w:p>
    <w:p w14:paraId="6A8C1A65" w14:textId="0F359818" w:rsidR="008B44CF" w:rsidRPr="008B44CF" w:rsidRDefault="008B44CF" w:rsidP="008B44CF">
      <w:pPr>
        <w:rPr>
          <w:rFonts w:ascii="FlandersArtSans-Bold" w:hAnsi="FlandersArtSans-Bold"/>
          <w:sz w:val="24"/>
          <w:szCs w:val="24"/>
        </w:rPr>
      </w:pPr>
      <w:r w:rsidRPr="008B44CF">
        <w:rPr>
          <w:rFonts w:ascii="FlandersArtSans-Bold" w:hAnsi="FlandersArtSans-Bold"/>
          <w:sz w:val="24"/>
          <w:szCs w:val="24"/>
        </w:rPr>
        <w:t>Deel 2: Facultatieve inhoud</w:t>
      </w:r>
    </w:p>
    <w:p w14:paraId="1BDD83E3" w14:textId="77777777" w:rsidR="008B44CF" w:rsidRPr="008B44CF" w:rsidRDefault="008B44CF" w:rsidP="008B44CF">
      <w:pPr>
        <w:rPr>
          <w:rFonts w:ascii="FlandersArtSans-Regular" w:hAnsi="FlandersArtSans-Regular"/>
        </w:rPr>
      </w:pPr>
      <w:r w:rsidRPr="008B44CF">
        <w:rPr>
          <w:rFonts w:ascii="FlandersArtSans-Regular" w:hAnsi="FlandersArtSans-Regular"/>
        </w:rPr>
        <w:t>De volgende facultatieve inhoud kan worden toegevoegd aan de toegankelijkheidsverklaring, als dat passend wordt geacht:</w:t>
      </w:r>
    </w:p>
    <w:p w14:paraId="1C196439" w14:textId="77777777" w:rsidR="008B44CF" w:rsidRPr="008B44CF" w:rsidRDefault="008B44CF" w:rsidP="008B44CF">
      <w:pPr>
        <w:numPr>
          <w:ilvl w:val="0"/>
          <w:numId w:val="2"/>
        </w:numPr>
        <w:rPr>
          <w:rFonts w:ascii="FlandersArtSans-Regular" w:hAnsi="FlandersArtSans-Regular"/>
        </w:rPr>
      </w:pPr>
      <w:r w:rsidRPr="008B44CF">
        <w:rPr>
          <w:rFonts w:ascii="FlandersArtSans-Regular" w:hAnsi="FlandersArtSans-Regular"/>
        </w:rPr>
        <w:t>een toelichting bij het streven van de overheidsinstantie naar digitale toegankelijkheid, bijvoorbeeld:</w:t>
      </w:r>
    </w:p>
    <w:p w14:paraId="1526A07F" w14:textId="77777777" w:rsidR="008B44CF" w:rsidRPr="008B44CF" w:rsidRDefault="008B44CF" w:rsidP="008B44CF">
      <w:pPr>
        <w:numPr>
          <w:ilvl w:val="1"/>
          <w:numId w:val="2"/>
        </w:numPr>
        <w:rPr>
          <w:rFonts w:ascii="FlandersArtSans-Regular" w:hAnsi="FlandersArtSans-Regular"/>
        </w:rPr>
      </w:pPr>
      <w:r w:rsidRPr="008B44CF">
        <w:rPr>
          <w:rFonts w:ascii="FlandersArtSans-Regular" w:hAnsi="FlandersArtSans-Regular"/>
        </w:rPr>
        <w:t>diens intentie om tot een hoger niveau van toegankelijkheid te komen dan wettelijk vereist;</w:t>
      </w:r>
    </w:p>
    <w:p w14:paraId="05E7EE0C" w14:textId="77777777" w:rsidR="008B44CF" w:rsidRPr="008B44CF" w:rsidRDefault="008B44CF" w:rsidP="008B44CF">
      <w:pPr>
        <w:numPr>
          <w:ilvl w:val="1"/>
          <w:numId w:val="2"/>
        </w:numPr>
        <w:rPr>
          <w:rFonts w:ascii="FlandersArtSans-Regular" w:hAnsi="FlandersArtSans-Regular"/>
        </w:rPr>
      </w:pPr>
      <w:r w:rsidRPr="008B44CF">
        <w:rPr>
          <w:rFonts w:ascii="FlandersArtSans-Regular" w:hAnsi="FlandersArtSans-Regular"/>
        </w:rPr>
        <w:t>de corrigerende maatregelen die worden genomen om de niet-toegankelijkheid van inhoud van websites en mobiele applicaties te verhelpen, met inbegrip van een tijdschema voor de uitvoering van deze maatregelen;</w:t>
      </w:r>
    </w:p>
    <w:p w14:paraId="2DA407E5" w14:textId="77777777" w:rsidR="008B44CF" w:rsidRPr="008B44CF" w:rsidRDefault="008B44CF" w:rsidP="008B44CF">
      <w:pPr>
        <w:numPr>
          <w:ilvl w:val="0"/>
          <w:numId w:val="2"/>
        </w:numPr>
        <w:rPr>
          <w:rFonts w:ascii="FlandersArtSans-Regular" w:hAnsi="FlandersArtSans-Regular"/>
        </w:rPr>
      </w:pPr>
      <w:r w:rsidRPr="008B44CF">
        <w:rPr>
          <w:rFonts w:ascii="FlandersArtSans-Regular" w:hAnsi="FlandersArtSans-Regular"/>
        </w:rPr>
        <w:t>formele goedkeuring (op bestuurlijk of politiek niveau) van de toegankelijkheidsverklaring;</w:t>
      </w:r>
    </w:p>
    <w:p w14:paraId="08CFA540" w14:textId="77777777" w:rsidR="008B44CF" w:rsidRPr="008B44CF" w:rsidRDefault="008B44CF" w:rsidP="008B44CF">
      <w:pPr>
        <w:numPr>
          <w:ilvl w:val="0"/>
          <w:numId w:val="2"/>
        </w:numPr>
        <w:rPr>
          <w:rFonts w:ascii="FlandersArtSans-Regular" w:hAnsi="FlandersArtSans-Regular"/>
        </w:rPr>
      </w:pPr>
      <w:r w:rsidRPr="008B44CF">
        <w:rPr>
          <w:rFonts w:ascii="FlandersArtSans-Regular" w:hAnsi="FlandersArtSans-Regular"/>
        </w:rPr>
        <w:t>de datum van publicatie van de website en/of de mobiele applicatie;</w:t>
      </w:r>
    </w:p>
    <w:p w14:paraId="21033F8D" w14:textId="77777777" w:rsidR="008B44CF" w:rsidRPr="008B44CF" w:rsidRDefault="008B44CF" w:rsidP="008B44CF">
      <w:pPr>
        <w:numPr>
          <w:ilvl w:val="0"/>
          <w:numId w:val="2"/>
        </w:numPr>
        <w:rPr>
          <w:rFonts w:ascii="FlandersArtSans-Regular" w:hAnsi="FlandersArtSans-Regular"/>
        </w:rPr>
      </w:pPr>
      <w:r w:rsidRPr="008B44CF">
        <w:rPr>
          <w:rFonts w:ascii="FlandersArtSans-Regular" w:hAnsi="FlandersArtSans-Regular"/>
        </w:rPr>
        <w:t>de datum van de laatste actualisering van de website en/of de mobiele applicatie na een grondige herziening van de inhoud daarvan;</w:t>
      </w:r>
    </w:p>
    <w:p w14:paraId="14A9B9A6" w14:textId="77777777" w:rsidR="008B44CF" w:rsidRPr="008B44CF" w:rsidRDefault="008B44CF" w:rsidP="008B44CF">
      <w:pPr>
        <w:numPr>
          <w:ilvl w:val="0"/>
          <w:numId w:val="2"/>
        </w:numPr>
        <w:rPr>
          <w:rFonts w:ascii="FlandersArtSans-Regular" w:hAnsi="FlandersArtSans-Regular"/>
        </w:rPr>
      </w:pPr>
      <w:r w:rsidRPr="008B44CF">
        <w:rPr>
          <w:rFonts w:ascii="FlandersArtSans-Regular" w:hAnsi="FlandersArtSans-Regular"/>
        </w:rPr>
        <w:t>een link naar een evaluatieverslag, indien beschikbaar, en met name indien de nalevingsstatus van de website of de mobiele toepassing wordt aangeduid als „a) voldoet volledig aan de eisen”;</w:t>
      </w:r>
    </w:p>
    <w:p w14:paraId="4E43DC56" w14:textId="77777777" w:rsidR="008B44CF" w:rsidRPr="008B44CF" w:rsidRDefault="008B44CF" w:rsidP="008B44CF">
      <w:pPr>
        <w:numPr>
          <w:ilvl w:val="0"/>
          <w:numId w:val="2"/>
        </w:numPr>
        <w:rPr>
          <w:rFonts w:ascii="FlandersArtSans-Regular" w:hAnsi="FlandersArtSans-Regular"/>
        </w:rPr>
      </w:pPr>
      <w:r w:rsidRPr="008B44CF">
        <w:rPr>
          <w:rFonts w:ascii="FlandersArtSans-Regular" w:hAnsi="FlandersArtSans-Regular"/>
        </w:rPr>
        <w:t>aanvullende telefonische ondersteuning voor gehandicapten en gebruikersondersteuning voor hulptechnologie;</w:t>
      </w:r>
    </w:p>
    <w:p w14:paraId="1C68B094" w14:textId="77777777" w:rsidR="008B44CF" w:rsidRPr="008B44CF" w:rsidRDefault="008B44CF" w:rsidP="008B44CF">
      <w:pPr>
        <w:numPr>
          <w:ilvl w:val="0"/>
          <w:numId w:val="2"/>
        </w:numPr>
        <w:rPr>
          <w:rFonts w:ascii="FlandersArtSans-Regular" w:hAnsi="FlandersArtSans-Regular"/>
        </w:rPr>
      </w:pPr>
      <w:r w:rsidRPr="008B44CF">
        <w:rPr>
          <w:rFonts w:ascii="FlandersArtSans-Regular" w:hAnsi="FlandersArtSans-Regular"/>
        </w:rPr>
        <w:t>eventuele andere passend geachte inhoud.</w:t>
      </w:r>
    </w:p>
    <w:p w14:paraId="7C149260" w14:textId="77777777" w:rsidR="00DD6C9E" w:rsidRPr="008B44CF" w:rsidRDefault="00DD6C9E">
      <w:pPr>
        <w:rPr>
          <w:rFonts w:ascii="FlandersArtSans-Regular" w:hAnsi="FlandersArtSans-Regular"/>
        </w:rPr>
      </w:pPr>
    </w:p>
    <w:sectPr w:rsidR="00DD6C9E" w:rsidRPr="008B44C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01BE" w14:textId="77777777" w:rsidR="004C709F" w:rsidRDefault="004C709F" w:rsidP="00724C06">
      <w:pPr>
        <w:spacing w:after="0" w:line="240" w:lineRule="auto"/>
      </w:pPr>
      <w:r>
        <w:separator/>
      </w:r>
    </w:p>
  </w:endnote>
  <w:endnote w:type="continuationSeparator" w:id="0">
    <w:p w14:paraId="250E82D9" w14:textId="77777777" w:rsidR="004C709F" w:rsidRDefault="004C709F" w:rsidP="0072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EE65" w14:textId="3C55908D" w:rsidR="00724C06" w:rsidRDefault="003D5E7E" w:rsidP="003D5E7E">
    <w:pPr>
      <w:pStyle w:val="Voettekst"/>
      <w:tabs>
        <w:tab w:val="clear" w:pos="4536"/>
        <w:tab w:val="clear" w:pos="9072"/>
        <w:tab w:val="left" w:pos="7590"/>
        <w:tab w:val="left" w:pos="8290"/>
      </w:tabs>
    </w:pPr>
    <w:r w:rsidRPr="00AA28A7">
      <w:rPr>
        <w:noProof/>
      </w:rPr>
      <w:drawing>
        <wp:anchor distT="0" distB="0" distL="114300" distR="114300" simplePos="0" relativeHeight="251661312" behindDoc="1" locked="0" layoutInCell="1" allowOverlap="1" wp14:anchorId="083EF7C7" wp14:editId="610E7439">
          <wp:simplePos x="0" y="0"/>
          <wp:positionH relativeFrom="margin">
            <wp:posOffset>0</wp:posOffset>
          </wp:positionH>
          <wp:positionV relativeFrom="page">
            <wp:posOffset>9938385</wp:posOffset>
          </wp:positionV>
          <wp:extent cx="1804670" cy="540689"/>
          <wp:effectExtent l="0" t="0" r="5080" b="0"/>
          <wp:wrapNone/>
          <wp:docPr id="1"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Pr>
        <w:noProof/>
      </w:rPr>
      <w:drawing>
        <wp:anchor distT="0" distB="0" distL="114300" distR="114300" simplePos="0" relativeHeight="251662336" behindDoc="0" locked="0" layoutInCell="1" allowOverlap="1" wp14:anchorId="4306B80A" wp14:editId="2FBF00E9">
          <wp:simplePos x="0" y="0"/>
          <wp:positionH relativeFrom="margin">
            <wp:posOffset>3779520</wp:posOffset>
          </wp:positionH>
          <wp:positionV relativeFrom="paragraph">
            <wp:posOffset>-121285</wp:posOffset>
          </wp:positionV>
          <wp:extent cx="1981200" cy="5791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579120"/>
                  </a:xfrm>
                  <a:prstGeom prst="rect">
                    <a:avLst/>
                  </a:prstGeom>
                  <a:noFill/>
                  <a:ln>
                    <a:noFill/>
                  </a:ln>
                </pic:spPr>
              </pic:pic>
            </a:graphicData>
          </a:graphic>
        </wp:anchor>
      </w:drawing>
    </w:r>
    <w:r w:rsidR="00F53CE5">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24AE" w14:textId="77777777" w:rsidR="004C709F" w:rsidRDefault="004C709F" w:rsidP="00724C06">
      <w:pPr>
        <w:spacing w:after="0" w:line="240" w:lineRule="auto"/>
      </w:pPr>
      <w:r>
        <w:separator/>
      </w:r>
    </w:p>
  </w:footnote>
  <w:footnote w:type="continuationSeparator" w:id="0">
    <w:p w14:paraId="5A7E915B" w14:textId="77777777" w:rsidR="004C709F" w:rsidRDefault="004C709F" w:rsidP="00724C06">
      <w:pPr>
        <w:spacing w:after="0" w:line="240" w:lineRule="auto"/>
      </w:pPr>
      <w:r>
        <w:continuationSeparator/>
      </w:r>
    </w:p>
  </w:footnote>
  <w:footnote w:id="1">
    <w:p w14:paraId="5663ED85" w14:textId="644F3A4A" w:rsidR="006B0BAC" w:rsidRDefault="00E819D6">
      <w:pPr>
        <w:pStyle w:val="Voetnoottekst"/>
      </w:pPr>
      <w:r>
        <w:rPr>
          <w:rStyle w:val="Voetnootmarkering"/>
        </w:rPr>
        <w:footnoteRef/>
      </w:r>
      <w:r>
        <w:t xml:space="preserve"> </w:t>
      </w:r>
      <w:r w:rsidR="006B0BAC" w:rsidRPr="006B0BAC">
        <w:t>Bij mobiele applicaties graag informatie over de versie en de datum vermelden.</w:t>
      </w:r>
    </w:p>
  </w:footnote>
  <w:footnote w:id="2">
    <w:p w14:paraId="2152287E" w14:textId="7AF20B1B" w:rsidR="00CF3FF2" w:rsidRDefault="00CF3FF2">
      <w:pPr>
        <w:pStyle w:val="Voetnoottekst"/>
      </w:pPr>
      <w:r>
        <w:rPr>
          <w:rStyle w:val="Voetnootmarkering"/>
        </w:rPr>
        <w:footnoteRef/>
      </w:r>
      <w:r>
        <w:t xml:space="preserve"> </w:t>
      </w:r>
      <w:r w:rsidRPr="00CF3FF2">
        <w:t>Kies een van de onderstaande opties, bv. a), b) of c), en schrap de opties die niet van toepassing zijn.</w:t>
      </w:r>
    </w:p>
  </w:footnote>
  <w:footnote w:id="3">
    <w:p w14:paraId="07793467" w14:textId="77777777" w:rsidR="005F6221" w:rsidRDefault="005F6221" w:rsidP="005F6221">
      <w:pPr>
        <w:pStyle w:val="Voetnoottekst"/>
      </w:pPr>
      <w:r>
        <w:rPr>
          <w:rStyle w:val="Voetnootmarkering"/>
        </w:rPr>
        <w:footnoteRef/>
      </w:r>
      <w:r>
        <w:t xml:space="preserve"> </w:t>
      </w:r>
      <w:r w:rsidRPr="00031F17">
        <w:t>Selecteer a) alleen indien volledig en zonder uitzondering aan alle eisen van de normen en technische specificaties is voldaan.</w:t>
      </w:r>
    </w:p>
  </w:footnote>
  <w:footnote w:id="4">
    <w:p w14:paraId="43CB692C" w14:textId="77777777" w:rsidR="005F6221" w:rsidRDefault="005F6221" w:rsidP="005F6221">
      <w:pPr>
        <w:pStyle w:val="Voetnoottekst"/>
      </w:pPr>
      <w:r>
        <w:rPr>
          <w:rStyle w:val="Voetnootmarkering"/>
        </w:rPr>
        <w:footnoteRef/>
      </w:r>
      <w:r>
        <w:t xml:space="preserve"> </w:t>
      </w:r>
      <w:r w:rsidRPr="00716CF7">
        <w:rPr>
          <w:i/>
          <w:iCs/>
        </w:rPr>
        <w:t>Voeg een referentie naar de normen en/of technische specificaties toe, dan wel een referentie naar de nationale wetgeving tot omzetting van de richtlijn.</w:t>
      </w:r>
    </w:p>
  </w:footnote>
  <w:footnote w:id="5">
    <w:p w14:paraId="661FE370" w14:textId="35EBD451" w:rsidR="00546DEA" w:rsidRDefault="005F6221" w:rsidP="005F6221">
      <w:pPr>
        <w:pStyle w:val="Voetnoottekst"/>
      </w:pPr>
      <w:r>
        <w:rPr>
          <w:rStyle w:val="Voetnootmarkering"/>
        </w:rPr>
        <w:footnoteRef/>
      </w:r>
      <w:r>
        <w:t xml:space="preserve"> </w:t>
      </w:r>
      <w:r w:rsidR="00546DEA" w:rsidRPr="00546DEA">
        <w:t>Selecteer b) indien, op enkele uitzonderingen na, aan de meeste eisen van de normen en technische specificaties is voldaan.</w:t>
      </w:r>
    </w:p>
  </w:footnote>
  <w:footnote w:id="6">
    <w:p w14:paraId="130BD3FE" w14:textId="042F05AA" w:rsidR="00B739CB" w:rsidRDefault="00546DEA">
      <w:pPr>
        <w:pStyle w:val="Voetnoottekst"/>
      </w:pPr>
      <w:r>
        <w:rPr>
          <w:rStyle w:val="Voetnootmarkering"/>
        </w:rPr>
        <w:footnoteRef/>
      </w:r>
      <w:r>
        <w:t xml:space="preserve"> </w:t>
      </w:r>
      <w:r w:rsidR="00C40EF9" w:rsidRPr="00C40EF9">
        <w:t>Dit betekent dat nog niet volledig aan de eisen is voldaan en dat de nodige maatregelen moeten worden genomen om volledige overeenstemming te bereiken.</w:t>
      </w:r>
    </w:p>
  </w:footnote>
  <w:footnote w:id="7">
    <w:p w14:paraId="768C60C2" w14:textId="56E1DB80" w:rsidR="00B739CB" w:rsidRPr="00B739CB" w:rsidRDefault="00B739CB">
      <w:pPr>
        <w:pStyle w:val="Voetnoottekst"/>
        <w:rPr>
          <w:i/>
          <w:iCs/>
        </w:rPr>
      </w:pPr>
      <w:r>
        <w:rPr>
          <w:rStyle w:val="Voetnootmarkering"/>
        </w:rPr>
        <w:footnoteRef/>
      </w:r>
      <w:r>
        <w:t xml:space="preserve"> </w:t>
      </w:r>
      <w:r w:rsidRPr="00716CF7">
        <w:rPr>
          <w:i/>
          <w:iCs/>
        </w:rPr>
        <w:t>Voeg een referentie naar de normen en/of technische specificaties toe, dan wel een referentie naar de nationale wetgeving tot omzetting van de richtlijn.</w:t>
      </w:r>
    </w:p>
  </w:footnote>
  <w:footnote w:id="8">
    <w:p w14:paraId="6A5F6DC1" w14:textId="38AB8453" w:rsidR="0044706D" w:rsidRDefault="0044706D">
      <w:pPr>
        <w:pStyle w:val="Voetnoottekst"/>
      </w:pPr>
      <w:r>
        <w:rPr>
          <w:rStyle w:val="Voetnootmarkering"/>
        </w:rPr>
        <w:footnoteRef/>
      </w:r>
      <w:r>
        <w:t xml:space="preserve"> </w:t>
      </w:r>
      <w:r w:rsidRPr="0044706D">
        <w:t>Selecteer c) indien niet is voldaan aan de meeste eisen van de normen en technische specificaties.</w:t>
      </w:r>
    </w:p>
  </w:footnote>
  <w:footnote w:id="9">
    <w:p w14:paraId="4AA33DC2" w14:textId="6587E91A" w:rsidR="0044706D" w:rsidRDefault="0044706D">
      <w:pPr>
        <w:pStyle w:val="Voetnoottekst"/>
      </w:pPr>
      <w:r>
        <w:rPr>
          <w:rStyle w:val="Voetnootmarkering"/>
        </w:rPr>
        <w:footnoteRef/>
      </w:r>
      <w:r>
        <w:t xml:space="preserve"> </w:t>
      </w:r>
      <w:r w:rsidRPr="00716CF7">
        <w:rPr>
          <w:i/>
          <w:iCs/>
        </w:rPr>
        <w:t>Voeg een referentie naar de normen en/of technische specificaties toe, dan wel een referentie naar de nationale wetgeving tot omzetting van de richtlijn.</w:t>
      </w:r>
    </w:p>
  </w:footnote>
  <w:footnote w:id="10">
    <w:tbl>
      <w:tblPr>
        <w:tblW w:w="5000" w:type="pct"/>
        <w:shd w:val="clear" w:color="auto" w:fill="FFFFFF"/>
        <w:tblCellMar>
          <w:left w:w="0" w:type="dxa"/>
          <w:right w:w="0" w:type="dxa"/>
        </w:tblCellMar>
        <w:tblLook w:val="04A0" w:firstRow="1" w:lastRow="0" w:firstColumn="1" w:lastColumn="0" w:noHBand="0" w:noVBand="1"/>
      </w:tblPr>
      <w:tblGrid>
        <w:gridCol w:w="9072"/>
      </w:tblGrid>
      <w:tr w:rsidR="00546219" w:rsidRPr="00546219" w14:paraId="2A834021" w14:textId="77777777" w:rsidTr="00546219">
        <w:tc>
          <w:tcPr>
            <w:tcW w:w="0" w:type="auto"/>
            <w:shd w:val="clear" w:color="auto" w:fill="FFFFFF"/>
            <w:hideMark/>
          </w:tcPr>
          <w:p w14:paraId="730BE5FE" w14:textId="0D4A260F" w:rsidR="00546219" w:rsidRPr="00546219" w:rsidRDefault="00546219" w:rsidP="00546219">
            <w:pPr>
              <w:pStyle w:val="Voetnoottekst"/>
            </w:pPr>
            <w:r>
              <w:rPr>
                <w:rStyle w:val="Voetnootmarkering"/>
              </w:rPr>
              <w:footnoteRef/>
            </w:r>
            <w:r>
              <w:t xml:space="preserve"> </w:t>
            </w:r>
            <w:r w:rsidRPr="00546219">
              <w:t>Kan worden geschrapt indien niet van toepassing.</w:t>
            </w:r>
          </w:p>
        </w:tc>
      </w:tr>
    </w:tbl>
    <w:p w14:paraId="11D8DE6C" w14:textId="08BE67EE" w:rsidR="00546219" w:rsidRDefault="00546219">
      <w:pPr>
        <w:pStyle w:val="Voetnoottekst"/>
      </w:pPr>
    </w:p>
  </w:footnote>
  <w:footnote w:id="11">
    <w:p w14:paraId="55389277" w14:textId="77777777" w:rsidR="00B80FEB" w:rsidRPr="00B80FEB" w:rsidRDefault="00B80FEB" w:rsidP="00B80FEB">
      <w:pPr>
        <w:pStyle w:val="Voetnoottekst"/>
      </w:pPr>
      <w:r>
        <w:rPr>
          <w:rStyle w:val="Voetnootmarkering"/>
        </w:rPr>
        <w:footnoteRef/>
      </w:r>
      <w:r>
        <w:t xml:space="preserve"> </w:t>
      </w:r>
      <w:r w:rsidRPr="00B80FEB">
        <w:t>Beschrijf, voor zover mogelijk, in niet-technische termen in welk opzicht de inhoud niet toegankelijk is, met inbegrip van de verwijzing(en) naar de toepasselijke normen en/of technische specificaties waaraan niet is voldaan; bijvoorbeeld:</w:t>
      </w:r>
    </w:p>
    <w:p w14:paraId="1D4F844A" w14:textId="715EAC39" w:rsidR="00B80FEB" w:rsidRDefault="00B80FEB">
      <w:pPr>
        <w:pStyle w:val="Voetnoottekst"/>
      </w:pPr>
      <w:r w:rsidRPr="00B80FEB">
        <w:t>„Het login-formulier van de applicatie voor het delen van documenten is niet volledig geschikt voor gebruik met een toetsenbord (eis nummer XXX (indien van toepassing)).”.</w:t>
      </w:r>
    </w:p>
  </w:footnote>
  <w:footnote w:id="12">
    <w:p w14:paraId="5E7BCF49" w14:textId="1122056D" w:rsidR="00ED2D6F" w:rsidRDefault="00D02EE9">
      <w:pPr>
        <w:pStyle w:val="Voetnoottekst"/>
      </w:pPr>
      <w:r>
        <w:rPr>
          <w:rStyle w:val="Voetnootmarkering"/>
        </w:rPr>
        <w:footnoteRef/>
      </w:r>
      <w:r>
        <w:t xml:space="preserve"> </w:t>
      </w:r>
      <w:r w:rsidRPr="00D02EE9">
        <w:t>Vul de datum in van eerste opstelling of van een latere actualisering van de toegankelijkheidsverklaring naar aanleiding van een evaluatie van de websites/mobiele applicaties waarop zij van toepassing is. Aanbevolen wordt een evaluatie uit te voeren en de toegankelijkheidsverklaring te actualiseren na een grondige herziening van de website/mobiele applicatie.</w:t>
      </w:r>
    </w:p>
  </w:footnote>
  <w:footnote w:id="13">
    <w:p w14:paraId="43EE0F24" w14:textId="2FC131CB" w:rsidR="00ED2D6F" w:rsidRDefault="00ED2D6F">
      <w:pPr>
        <w:pStyle w:val="Voetnoottekst"/>
      </w:pPr>
      <w:r>
        <w:rPr>
          <w:rStyle w:val="Voetnootmarkering"/>
        </w:rPr>
        <w:footnoteRef/>
      </w:r>
      <w:r>
        <w:t xml:space="preserve"> </w:t>
      </w:r>
      <w:r w:rsidRPr="00ED2D6F">
        <w:t>Aanbevolen wordt de nauwkeurigheid van beweringen die in de toegankelijkheidsverklaring worden gedaan regelmatig te herzien, en ten minste eenmaal per jaar. Indien een dergelijke herziening heeft plaatsgevonden zonder volledige evaluatie van de website/mobiele app, ongeacht of die herziening tot veranderingen van de toegankelijkheidsverklaring heeft geleid, gelieve de datum van de laatste van die herzieningen aan te geven.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098"/>
    <w:multiLevelType w:val="multilevel"/>
    <w:tmpl w:val="2E72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3618D"/>
    <w:multiLevelType w:val="multilevel"/>
    <w:tmpl w:val="2DC42C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1275906">
    <w:abstractNumId w:val="0"/>
  </w:num>
  <w:num w:numId="2" w16cid:durableId="1248733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CF"/>
    <w:rsid w:val="00004D6E"/>
    <w:rsid w:val="00031F17"/>
    <w:rsid w:val="003D5E7E"/>
    <w:rsid w:val="0044706D"/>
    <w:rsid w:val="004C709F"/>
    <w:rsid w:val="00546219"/>
    <w:rsid w:val="00546DEA"/>
    <w:rsid w:val="005F6221"/>
    <w:rsid w:val="006B0BAC"/>
    <w:rsid w:val="00716CF7"/>
    <w:rsid w:val="00724C06"/>
    <w:rsid w:val="007F2F22"/>
    <w:rsid w:val="008B44CF"/>
    <w:rsid w:val="00901659"/>
    <w:rsid w:val="00A42D96"/>
    <w:rsid w:val="00B739CB"/>
    <w:rsid w:val="00B80FEB"/>
    <w:rsid w:val="00C40EF9"/>
    <w:rsid w:val="00CF3FF2"/>
    <w:rsid w:val="00D02EE9"/>
    <w:rsid w:val="00DD6C9E"/>
    <w:rsid w:val="00E819D6"/>
    <w:rsid w:val="00ED2D6F"/>
    <w:rsid w:val="00F53CE5"/>
    <w:rsid w:val="067BF4B9"/>
    <w:rsid w:val="0A32B385"/>
    <w:rsid w:val="5BEDB199"/>
    <w:rsid w:val="77F67E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1F6E"/>
  <w15:chartTrackingRefBased/>
  <w15:docId w15:val="{E7361074-6394-440C-B47A-DEE59095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44CF"/>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44CF"/>
    <w:rPr>
      <w:color w:val="0563C1" w:themeColor="hyperlink"/>
      <w:u w:val="single"/>
    </w:rPr>
  </w:style>
  <w:style w:type="paragraph" w:styleId="Koptekst">
    <w:name w:val="header"/>
    <w:basedOn w:val="Standaard"/>
    <w:link w:val="KoptekstChar"/>
    <w:uiPriority w:val="99"/>
    <w:unhideWhenUsed/>
    <w:rsid w:val="00724C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C06"/>
  </w:style>
  <w:style w:type="paragraph" w:styleId="Voettekst">
    <w:name w:val="footer"/>
    <w:basedOn w:val="Standaard"/>
    <w:link w:val="VoettekstChar"/>
    <w:uiPriority w:val="99"/>
    <w:unhideWhenUsed/>
    <w:rsid w:val="00724C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C06"/>
  </w:style>
  <w:style w:type="paragraph" w:styleId="Voetnoottekst">
    <w:name w:val="footnote text"/>
    <w:basedOn w:val="Standaard"/>
    <w:link w:val="VoetnoottekstChar"/>
    <w:uiPriority w:val="99"/>
    <w:semiHidden/>
    <w:unhideWhenUsed/>
    <w:rsid w:val="00E819D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819D6"/>
    <w:rPr>
      <w:sz w:val="20"/>
      <w:szCs w:val="20"/>
    </w:rPr>
  </w:style>
  <w:style w:type="character" w:styleId="Voetnootmarkering">
    <w:name w:val="footnote reference"/>
    <w:basedOn w:val="Standaardalinea-lettertype"/>
    <w:uiPriority w:val="99"/>
    <w:semiHidden/>
    <w:unhideWhenUsed/>
    <w:rsid w:val="00E81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2886">
      <w:bodyDiv w:val="1"/>
      <w:marLeft w:val="0"/>
      <w:marRight w:val="0"/>
      <w:marTop w:val="0"/>
      <w:marBottom w:val="0"/>
      <w:divBdr>
        <w:top w:val="none" w:sz="0" w:space="0" w:color="auto"/>
        <w:left w:val="none" w:sz="0" w:space="0" w:color="auto"/>
        <w:bottom w:val="none" w:sz="0" w:space="0" w:color="auto"/>
        <w:right w:val="none" w:sz="0" w:space="0" w:color="auto"/>
      </w:divBdr>
    </w:div>
    <w:div w:id="1306349341">
      <w:bodyDiv w:val="1"/>
      <w:marLeft w:val="0"/>
      <w:marRight w:val="0"/>
      <w:marTop w:val="0"/>
      <w:marBottom w:val="0"/>
      <w:divBdr>
        <w:top w:val="none" w:sz="0" w:space="0" w:color="auto"/>
        <w:left w:val="none" w:sz="0" w:space="0" w:color="auto"/>
        <w:bottom w:val="none" w:sz="0" w:space="0" w:color="auto"/>
        <w:right w:val="none" w:sz="0" w:space="0" w:color="auto"/>
      </w:divBdr>
    </w:div>
    <w:div w:id="1457407690">
      <w:bodyDiv w:val="1"/>
      <w:marLeft w:val="0"/>
      <w:marRight w:val="0"/>
      <w:marTop w:val="0"/>
      <w:marBottom w:val="0"/>
      <w:divBdr>
        <w:top w:val="none" w:sz="0" w:space="0" w:color="auto"/>
        <w:left w:val="none" w:sz="0" w:space="0" w:color="auto"/>
        <w:bottom w:val="none" w:sz="0" w:space="0" w:color="auto"/>
        <w:right w:val="none" w:sz="0" w:space="0" w:color="auto"/>
      </w:divBdr>
    </w:div>
    <w:div w:id="1764452705">
      <w:bodyDiv w:val="1"/>
      <w:marLeft w:val="0"/>
      <w:marRight w:val="0"/>
      <w:marTop w:val="0"/>
      <w:marBottom w:val="0"/>
      <w:divBdr>
        <w:top w:val="none" w:sz="0" w:space="0" w:color="auto"/>
        <w:left w:val="none" w:sz="0" w:space="0" w:color="auto"/>
        <w:bottom w:val="none" w:sz="0" w:space="0" w:color="auto"/>
        <w:right w:val="none" w:sz="0" w:space="0" w:color="auto"/>
      </w:divBdr>
    </w:div>
    <w:div w:id="19130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NL/ALL/?uri=CELEX%3A32016L21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NL/TXT/HTML/?uri=CELEX:32018D1523&amp;from=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ALL/?uri=CELEX%3A32016L210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C02C55D768142844E30022C8566BE" ma:contentTypeVersion="5" ma:contentTypeDescription="Een nieuw document maken." ma:contentTypeScope="" ma:versionID="41c7f971a72f01c34d98a0b42262d174">
  <xsd:schema xmlns:xsd="http://www.w3.org/2001/XMLSchema" xmlns:xs="http://www.w3.org/2001/XMLSchema" xmlns:p="http://schemas.microsoft.com/office/2006/metadata/properties" xmlns:ns2="929365a9-5e99-4874-ae6d-aee670f9db97" xmlns:ns3="84b5ef7b-28d4-4665-bbd4-66d9452cc613" targetNamespace="http://schemas.microsoft.com/office/2006/metadata/properties" ma:root="true" ma:fieldsID="2efaaa934b58d71e1caaa90d82c032ec" ns2:_="" ns3:_="">
    <xsd:import namespace="929365a9-5e99-4874-ae6d-aee670f9db97"/>
    <xsd:import namespace="84b5ef7b-28d4-4665-bbd4-66d9452cc6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365a9-5e99-4874-ae6d-aee670f9d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5ef7b-28d4-4665-bbd4-66d9452cc61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9A3A8-FD51-4FA2-9BB7-F54F415D7D1B}">
  <ds:schemaRefs>
    <ds:schemaRef ds:uri="http://schemas.openxmlformats.org/officeDocument/2006/bibliography"/>
  </ds:schemaRefs>
</ds:datastoreItem>
</file>

<file path=customXml/itemProps2.xml><?xml version="1.0" encoding="utf-8"?>
<ds:datastoreItem xmlns:ds="http://schemas.openxmlformats.org/officeDocument/2006/customXml" ds:itemID="{F02C0F1D-BBFD-4853-AA14-DB10A4336A0A}">
  <ds:schemaRef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929365a9-5e99-4874-ae6d-aee670f9db97"/>
    <ds:schemaRef ds:uri="http://purl.org/dc/terms/"/>
    <ds:schemaRef ds:uri="84b5ef7b-28d4-4665-bbd4-66d9452cc613"/>
    <ds:schemaRef ds:uri="http://schemas.microsoft.com/office/2006/metadata/properties"/>
  </ds:schemaRefs>
</ds:datastoreItem>
</file>

<file path=customXml/itemProps3.xml><?xml version="1.0" encoding="utf-8"?>
<ds:datastoreItem xmlns:ds="http://schemas.openxmlformats.org/officeDocument/2006/customXml" ds:itemID="{3A5E6E68-2538-4067-ACDC-C88E29ED1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365a9-5e99-4874-ae6d-aee670f9db97"/>
    <ds:schemaRef ds:uri="84b5ef7b-28d4-4665-bbd4-66d9452cc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E41CF-6EC7-4AAF-92B4-4510F162A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829</Words>
  <Characters>4565</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Geerinck Bonnie</dc:creator>
  <cp:keywords/>
  <dc:description/>
  <cp:lastModifiedBy>Geerinck Bonnie</cp:lastModifiedBy>
  <cp:revision>22</cp:revision>
  <dcterms:created xsi:type="dcterms:W3CDTF">2023-10-30T09:35:00Z</dcterms:created>
  <dcterms:modified xsi:type="dcterms:W3CDTF">2023-11-29T09:38:00Z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0x010100A5DC02C55D768142844E30022C8566BE</vt:lpwstr>
  </property>
</Properties>
</file>