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7D8598" w14:textId="77777777" w:rsidR="00404389" w:rsidRDefault="00404389" w:rsidP="00404389">
      <w:pPr>
        <w:rPr>
          <w:rFonts w:asciiTheme="minorHAnsi" w:hAnsiTheme="minorHAnsi"/>
          <w:b/>
          <w:bCs/>
          <w:sz w:val="22"/>
          <w:lang w:val="nl-BE"/>
        </w:rPr>
      </w:pPr>
      <w:r>
        <w:rPr>
          <w:b/>
          <w:bCs/>
        </w:rPr>
        <w:t xml:space="preserve">Model gemeenteraadsbesluit </w:t>
      </w:r>
    </w:p>
    <w:p w14:paraId="6B7B1A24" w14:textId="3670C8F9" w:rsidR="00404389" w:rsidRDefault="00404389" w:rsidP="00404389">
      <w:pPr>
        <w:rPr>
          <w:b/>
          <w:bCs/>
        </w:rPr>
      </w:pPr>
      <w:r>
        <w:rPr>
          <w:b/>
          <w:bCs/>
        </w:rPr>
        <w:t>Toewijzingsreglement</w:t>
      </w:r>
    </w:p>
    <w:p w14:paraId="6CA6D614" w14:textId="77777777" w:rsidR="00404389" w:rsidRDefault="00404389" w:rsidP="00404389">
      <w:pPr>
        <w:rPr>
          <w:b/>
          <w:bCs/>
        </w:rPr>
      </w:pPr>
    </w:p>
    <w:p w14:paraId="576FB8F9" w14:textId="77777777" w:rsidR="00404389" w:rsidRDefault="00404389" w:rsidP="00404389">
      <w:pPr>
        <w:rPr>
          <w:b/>
          <w:bCs/>
        </w:rPr>
      </w:pPr>
      <w:r>
        <w:rPr>
          <w:b/>
          <w:bCs/>
        </w:rPr>
        <w:t>Aanleiding en context</w:t>
      </w:r>
    </w:p>
    <w:p w14:paraId="32BD6652" w14:textId="68A62E4F" w:rsidR="00404389" w:rsidRDefault="00404389" w:rsidP="00404389">
      <w:r>
        <w:t xml:space="preserve">Met de vorming van de nieuwe woonmaatschappijen zal op 1 januari 2024 ook een nieuw toewijsmodel in werking treden. De Vlaamse overheid schetste een breed kader waarmee de toewijzingsraden van de woonmaatschappijen aan de slag gaan om tot een concrete invulling te komen. </w:t>
      </w:r>
    </w:p>
    <w:p w14:paraId="1E5F2B8C" w14:textId="42B6BD05" w:rsidR="00404389" w:rsidRDefault="00865BA5" w:rsidP="00404389">
      <w:r>
        <w:rPr>
          <w:highlight w:val="yellow"/>
        </w:rPr>
        <w:t>Xxx (</w:t>
      </w:r>
      <w:r w:rsidR="00404389" w:rsidRPr="00404389">
        <w:rPr>
          <w:highlight w:val="yellow"/>
        </w:rPr>
        <w:t>Geef een korte schets van het traject dat tot het opstellen van het ontwerp-toewijzingsreglement heeft geleid</w:t>
      </w:r>
      <w:r w:rsidR="000C323C">
        <w:rPr>
          <w:highlight w:val="yellow"/>
        </w:rPr>
        <w:t>)</w:t>
      </w:r>
      <w:r w:rsidR="00404389" w:rsidRPr="00404389">
        <w:rPr>
          <w:highlight w:val="yellow"/>
        </w:rPr>
        <w:t>.</w:t>
      </w:r>
      <w:r w:rsidR="00404389">
        <w:t xml:space="preserve"> </w:t>
      </w:r>
    </w:p>
    <w:p w14:paraId="2D0F71AC" w14:textId="77777777" w:rsidR="00404389" w:rsidRDefault="00404389" w:rsidP="00404389">
      <w:r>
        <w:t xml:space="preserve">De woonmaatschappij neemt het initiatief om een toewijzingsraad op te richten. Alle gemeenten van het werkingsgebied zijn vertegenwoordigd in de toewijzingsraad, aangevuld met relevante huisvestings- en welzijnsactoren uit het werkingsgebied van de woonmaatschappij. De woonmaatschappij zit de toewijzingsraad voor. </w:t>
      </w:r>
    </w:p>
    <w:p w14:paraId="46074D85" w14:textId="4197914B" w:rsidR="00404389" w:rsidRDefault="00404389" w:rsidP="00404389">
      <w:r w:rsidRPr="00404389">
        <w:rPr>
          <w:highlight w:val="yellow"/>
        </w:rPr>
        <w:t>Geef een korte schets van de oprichting en samenstelling van de toewijzingsraad.</w:t>
      </w:r>
      <w:r>
        <w:t xml:space="preserve"> </w:t>
      </w:r>
    </w:p>
    <w:p w14:paraId="63A0B2C0" w14:textId="777E35EA" w:rsidR="00404389" w:rsidRDefault="00404389" w:rsidP="00404389">
      <w:r>
        <w:t xml:space="preserve">De toewijzingsraad van </w:t>
      </w:r>
      <w:r w:rsidRPr="00404389">
        <w:rPr>
          <w:highlight w:val="yellow"/>
        </w:rPr>
        <w:t>Naam Woonmaatschappij</w:t>
      </w:r>
      <w:r>
        <w:t xml:space="preserve"> heeft op basis van het nieuwe regelgevend kader en </w:t>
      </w:r>
      <w:r w:rsidRPr="00404389">
        <w:rPr>
          <w:highlight w:val="yellow"/>
        </w:rPr>
        <w:t>xxx</w:t>
      </w:r>
      <w:r>
        <w:t xml:space="preserve"> (</w:t>
      </w:r>
      <w:r w:rsidRPr="00404389">
        <w:rPr>
          <w:highlight w:val="yellow"/>
        </w:rPr>
        <w:t>benoem het traject dat geleid heeft tot het ontwerp-toewijzingsreglement</w:t>
      </w:r>
      <w:r w:rsidR="000C323C">
        <w:t>)</w:t>
      </w:r>
      <w:r>
        <w:t>, een ontwerp van toewijzingsreglement opgemaakt. Hierbij is lokaal maatwerk mogelijk voor enerzijds het instellen van een strengere lokale bindingsvoorwaarde (pijler 1) en anderzijds voor het afbakenen van specifieke doelgroepen (pijler 3).</w:t>
      </w:r>
    </w:p>
    <w:p w14:paraId="26F651AF" w14:textId="77777777" w:rsidR="00404389" w:rsidRDefault="00404389" w:rsidP="00404389">
      <w:r>
        <w:t>Daarnaast schrijft de regelgeving ook voor dat de woonmaatschappij de gemeente op de hoogte brengt van de beslissingen met betrekking tot de versnelde toewijzingen (pijler 2). De gemeenteraad kan echter enkel het ontwerp van toewijzingsreglement amenderen voor wat betreft de strengere woonbinding en de specifieke doelgroepen.</w:t>
      </w:r>
    </w:p>
    <w:p w14:paraId="52A8698F" w14:textId="27AB3080" w:rsidR="00404389" w:rsidRDefault="00404389" w:rsidP="00404389">
      <w:r>
        <w:t>De woonmaatschappij integreert de goedgekeurde toewijzingsreglementen in het definitieve toewijzingsreglement. De woonmaatschappij bezorgt vervolgens het toewijzingsreglement aan de minister opdat hij zijn vernietigingstoezicht kan uitoefenen</w:t>
      </w:r>
      <w:r w:rsidR="00711DC3">
        <w:rPr>
          <w:rStyle w:val="FootnoteReference"/>
        </w:rPr>
        <w:footnoteReference w:id="2"/>
      </w:r>
      <w:r>
        <w:t xml:space="preserve">. </w:t>
      </w:r>
    </w:p>
    <w:p w14:paraId="1348B343" w14:textId="40E2E7C2" w:rsidR="00404389" w:rsidRDefault="00404389" w:rsidP="00404389">
      <w:pPr>
        <w:shd w:val="clear" w:color="auto" w:fill="FFFFFF"/>
        <w:spacing w:after="0" w:line="240" w:lineRule="auto"/>
        <w:rPr>
          <w:rFonts w:cs="Arial"/>
          <w:color w:val="000000"/>
          <w:sz w:val="28"/>
          <w:szCs w:val="28"/>
        </w:rPr>
      </w:pPr>
    </w:p>
    <w:p w14:paraId="3214B687" w14:textId="39860FA1" w:rsidR="00CB2E6E" w:rsidRPr="0090386E" w:rsidRDefault="0090386E" w:rsidP="00CB2E6E">
      <w:pPr>
        <w:pStyle w:val="Heading7"/>
        <w:rPr>
          <w:i w:val="0"/>
          <w:iCs/>
        </w:rPr>
      </w:pPr>
      <w:r w:rsidRPr="0090386E">
        <w:rPr>
          <w:i w:val="0"/>
          <w:iCs/>
        </w:rPr>
        <w:t>Motivering</w:t>
      </w:r>
    </w:p>
    <w:p w14:paraId="5FAB15F5" w14:textId="3FE74EB0" w:rsidR="00CB2E6E" w:rsidRDefault="00CB2E6E" w:rsidP="00CB2E6E">
      <w:r>
        <w:t xml:space="preserve">De toewijzingsraad van </w:t>
      </w:r>
      <w:r w:rsidRPr="00CB2E6E">
        <w:rPr>
          <w:highlight w:val="yellow"/>
        </w:rPr>
        <w:t>xxx Naam Woonmaatschappij</w:t>
      </w:r>
      <w:r>
        <w:t xml:space="preserve"> heeft ervoor geopteerd om </w:t>
      </w:r>
      <w:r w:rsidRPr="00CB2E6E">
        <w:rPr>
          <w:highlight w:val="yellow"/>
        </w:rPr>
        <w:t>geen/een</w:t>
      </w:r>
      <w:r>
        <w:t xml:space="preserve"> strengere lokale woonbinding op te nemen. Dit wordt gemotiveerd </w:t>
      </w:r>
      <w:r w:rsidRPr="00CB2E6E">
        <w:rPr>
          <w:highlight w:val="yellow"/>
        </w:rPr>
        <w:t>vanuit xxx (geef motivering</w:t>
      </w:r>
      <w:r w:rsidR="000C323C">
        <w:t>)</w:t>
      </w:r>
      <w:r w:rsidR="00C26E13">
        <w:t xml:space="preserve">. </w:t>
      </w:r>
      <w:r>
        <w:t xml:space="preserve">De toewijzingsraad wenst </w:t>
      </w:r>
      <w:r w:rsidRPr="00CB2E6E">
        <w:rPr>
          <w:highlight w:val="yellow"/>
        </w:rPr>
        <w:t>geen/een</w:t>
      </w:r>
      <w:r>
        <w:t xml:space="preserve"> criterium te voorzien die de standaard langdurige woonbinding voorafgaat. </w:t>
      </w:r>
      <w:r w:rsidRPr="00CB2E6E">
        <w:rPr>
          <w:highlight w:val="yellow"/>
        </w:rPr>
        <w:t>Xxx (benoem desgevallend de strengere woonbinding desgevallend per gemeente).</w:t>
      </w:r>
      <w:r>
        <w:t xml:space="preserve"> </w:t>
      </w:r>
    </w:p>
    <w:p w14:paraId="41764BB2" w14:textId="5ABFA61D" w:rsidR="00CB2E6E" w:rsidRDefault="00CB2E6E" w:rsidP="00CB2E6E">
      <w:r>
        <w:t>Daarnaast heeft de toewijzingsraad bij consensus</w:t>
      </w:r>
      <w:r>
        <w:rPr>
          <w:rStyle w:val="FootnoteReference"/>
        </w:rPr>
        <w:footnoteReference w:id="3"/>
      </w:r>
      <w:r>
        <w:t xml:space="preserve"> beslist dat na de langdurige woonbinding met de gemeente </w:t>
      </w:r>
      <w:r w:rsidRPr="00CB2E6E">
        <w:rPr>
          <w:highlight w:val="yellow"/>
        </w:rPr>
        <w:t>wel/geen</w:t>
      </w:r>
      <w:r>
        <w:t xml:space="preserve"> rekening wordt gehouden met de langdurige woonbinding van de kandidaat-huurder met het werkingsgebied van de woonmaatschappij. </w:t>
      </w:r>
    </w:p>
    <w:p w14:paraId="7242B085" w14:textId="687A7A0A" w:rsidR="00CB2E6E" w:rsidRDefault="00CB2E6E" w:rsidP="00CB2E6E">
      <w:r>
        <w:t xml:space="preserve">Binnen de toewijzingsraad werd besloten om </w:t>
      </w:r>
      <w:r w:rsidRPr="00CB2E6E">
        <w:rPr>
          <w:highlight w:val="yellow"/>
        </w:rPr>
        <w:t>xxx (benoem de keuzes voor pijler 2</w:t>
      </w:r>
      <w:r w:rsidR="000C323C">
        <w:t>)</w:t>
      </w:r>
      <w:r w:rsidR="00A963CB">
        <w:t>. En om x</w:t>
      </w:r>
      <w:r w:rsidRPr="00CB2E6E">
        <w:rPr>
          <w:highlight w:val="yellow"/>
        </w:rPr>
        <w:t>xx (benoem de keuzes voor pijler 3</w:t>
      </w:r>
      <w:r w:rsidR="000C323C">
        <w:rPr>
          <w:highlight w:val="yellow"/>
        </w:rPr>
        <w:t>)</w:t>
      </w:r>
      <w:r w:rsidRPr="00CB2E6E">
        <w:rPr>
          <w:highlight w:val="yellow"/>
        </w:rPr>
        <w:t>. Xxx (benoem de afspraken rond begeleiding</w:t>
      </w:r>
      <w:r w:rsidR="00FD3730">
        <w:t>)</w:t>
      </w:r>
      <w:r w:rsidR="00FE37B2">
        <w:t xml:space="preserve">. </w:t>
      </w:r>
    </w:p>
    <w:p w14:paraId="037ADBC0" w14:textId="5324B814" w:rsidR="00CB2E6E" w:rsidRDefault="00CB2E6E" w:rsidP="00CB2E6E">
      <w:r w:rsidRPr="00CB2E6E">
        <w:rPr>
          <w:highlight w:val="yellow"/>
        </w:rPr>
        <w:t>Xxx (benoem desgevallend de keuzes per gemeente in pijler 3</w:t>
      </w:r>
      <w:r w:rsidR="000C323C">
        <w:t>)</w:t>
      </w:r>
      <w:r w:rsidR="00FE37B2">
        <w:t xml:space="preserve">. </w:t>
      </w:r>
    </w:p>
    <w:p w14:paraId="1B4D0AED" w14:textId="3E3EF8EF" w:rsidR="00CB2E6E" w:rsidRDefault="00CB2E6E" w:rsidP="00CB2E6E">
      <w:r w:rsidRPr="00CB2E6E">
        <w:rPr>
          <w:highlight w:val="yellow"/>
        </w:rPr>
        <w:t>Xxx (Benoem eventuele afspraken rond evaluatie</w:t>
      </w:r>
      <w:r w:rsidR="00FE37B2">
        <w:t xml:space="preserve">). </w:t>
      </w:r>
    </w:p>
    <w:p w14:paraId="5BE1CAE0" w14:textId="0030E592" w:rsidR="00CB2E6E" w:rsidRDefault="00CB2E6E" w:rsidP="00404389">
      <w:pPr>
        <w:shd w:val="clear" w:color="auto" w:fill="FFFFFF"/>
        <w:spacing w:after="0" w:line="240" w:lineRule="auto"/>
        <w:rPr>
          <w:rFonts w:cs="Arial"/>
          <w:color w:val="000000"/>
          <w:sz w:val="28"/>
          <w:szCs w:val="28"/>
        </w:rPr>
      </w:pPr>
    </w:p>
    <w:p w14:paraId="6EE3BE9E" w14:textId="77777777" w:rsidR="00CB2E6E" w:rsidRDefault="00CB2E6E" w:rsidP="00404389">
      <w:pPr>
        <w:shd w:val="clear" w:color="auto" w:fill="FFFFFF"/>
        <w:spacing w:after="0" w:line="240" w:lineRule="auto"/>
        <w:rPr>
          <w:rFonts w:cs="Arial"/>
          <w:color w:val="000000"/>
          <w:sz w:val="28"/>
          <w:szCs w:val="28"/>
        </w:rPr>
      </w:pPr>
    </w:p>
    <w:p w14:paraId="5990A79F" w14:textId="101F596A" w:rsidR="00CB2E6E" w:rsidRDefault="00404389" w:rsidP="00404389">
      <w:pPr>
        <w:rPr>
          <w:b/>
          <w:bCs/>
        </w:rPr>
      </w:pPr>
      <w:r>
        <w:rPr>
          <w:b/>
          <w:bCs/>
        </w:rPr>
        <w:t xml:space="preserve">Juridische </w:t>
      </w:r>
      <w:r w:rsidR="00CB2E6E">
        <w:rPr>
          <w:b/>
          <w:bCs/>
        </w:rPr>
        <w:t>grond</w:t>
      </w:r>
    </w:p>
    <w:p w14:paraId="65E43F7A" w14:textId="77777777" w:rsidR="00CB2E6E" w:rsidRDefault="00CB2E6E" w:rsidP="00CB2E6E">
      <w:r>
        <w:t>Vlaamse Codex Wonen van 2021, meer bepaald artikels 6.12 t.e.m. 6.14.</w:t>
      </w:r>
    </w:p>
    <w:p w14:paraId="00641606" w14:textId="77777777" w:rsidR="00CB2E6E" w:rsidRDefault="00CB2E6E" w:rsidP="00CB2E6E">
      <w:r>
        <w:t>Besluit van de Vlaamse Regering tot uitvoering van de Vlaamse Codex Wonen van 2021, meer bepaald artikels 6.22 t.e.m. 6.28.</w:t>
      </w:r>
    </w:p>
    <w:p w14:paraId="0EA5F078" w14:textId="0387E160" w:rsidR="00CB2E6E" w:rsidRDefault="00CB2E6E" w:rsidP="00CB2E6E">
      <w:r>
        <w:t xml:space="preserve">De installatie van de toewijzingsraad van </w:t>
      </w:r>
      <w:r w:rsidRPr="0090386E">
        <w:rPr>
          <w:highlight w:val="yellow"/>
        </w:rPr>
        <w:t>xxx Naam Woonmaatschap</w:t>
      </w:r>
      <w:r w:rsidR="0090386E" w:rsidRPr="0090386E">
        <w:rPr>
          <w:highlight w:val="yellow"/>
        </w:rPr>
        <w:t>pij</w:t>
      </w:r>
      <w:r w:rsidR="0090386E">
        <w:t xml:space="preserve">, </w:t>
      </w:r>
      <w:r>
        <w:t xml:space="preserve">zoals goedgekeurd door het bestuursorgaan van </w:t>
      </w:r>
      <w:r w:rsidR="0090386E" w:rsidRPr="0090386E">
        <w:rPr>
          <w:highlight w:val="yellow"/>
        </w:rPr>
        <w:t>xxx Naam Woonmaatschappij</w:t>
      </w:r>
      <w:r>
        <w:t>, d.d</w:t>
      </w:r>
      <w:r w:rsidRPr="0090386E">
        <w:rPr>
          <w:highlight w:val="yellow"/>
        </w:rPr>
        <w:t xml:space="preserve">. </w:t>
      </w:r>
      <w:r w:rsidR="0090386E" w:rsidRPr="0090386E">
        <w:rPr>
          <w:highlight w:val="yellow"/>
        </w:rPr>
        <w:t>xxx (datum van installatie van de toewijzingsraad)</w:t>
      </w:r>
      <w:r w:rsidRPr="0090386E">
        <w:rPr>
          <w:highlight w:val="yellow"/>
        </w:rPr>
        <w:t>.</w:t>
      </w:r>
    </w:p>
    <w:p w14:paraId="20DD53CA" w14:textId="77777777" w:rsidR="00CB2E6E" w:rsidRDefault="00CB2E6E" w:rsidP="00404389">
      <w:pPr>
        <w:rPr>
          <w:rFonts w:asciiTheme="minorHAnsi" w:eastAsiaTheme="minorHAnsi" w:hAnsiTheme="minorHAnsi" w:cstheme="minorBidi"/>
          <w:b/>
          <w:bCs/>
          <w:sz w:val="22"/>
          <w:szCs w:val="22"/>
          <w:lang w:eastAsia="en-US"/>
        </w:rPr>
      </w:pPr>
    </w:p>
    <w:p w14:paraId="3CE88647" w14:textId="77777777" w:rsidR="0090386E" w:rsidRPr="0090386E" w:rsidRDefault="0090386E" w:rsidP="0090386E">
      <w:pPr>
        <w:pStyle w:val="Heading8"/>
        <w:rPr>
          <w:b/>
          <w:bCs/>
          <w:i w:val="0"/>
          <w:iCs/>
        </w:rPr>
      </w:pPr>
      <w:r w:rsidRPr="0090386E">
        <w:rPr>
          <w:b/>
          <w:bCs/>
          <w:i w:val="0"/>
          <w:iCs/>
        </w:rPr>
        <w:t>Financiële en beleidsinformatie</w:t>
      </w:r>
    </w:p>
    <w:p w14:paraId="3F742A6F" w14:textId="77777777" w:rsidR="0090386E" w:rsidRDefault="0090386E" w:rsidP="0090386E">
      <w:r>
        <w:t>Niet van toepassing</w:t>
      </w:r>
    </w:p>
    <w:p w14:paraId="5D6FD725" w14:textId="77777777" w:rsidR="00404389" w:rsidRDefault="00404389" w:rsidP="00404389">
      <w:pPr>
        <w:rPr>
          <w:b/>
          <w:bCs/>
        </w:rPr>
      </w:pPr>
    </w:p>
    <w:p w14:paraId="4FE4E09B" w14:textId="77777777" w:rsidR="00404389" w:rsidRDefault="00404389" w:rsidP="00404389">
      <w:pPr>
        <w:shd w:val="clear" w:color="auto" w:fill="FFFFFF"/>
        <w:spacing w:after="0" w:line="240" w:lineRule="auto"/>
      </w:pPr>
    </w:p>
    <w:p w14:paraId="1A898AC8" w14:textId="77777777" w:rsidR="00404389" w:rsidRDefault="00404389" w:rsidP="00404389">
      <w:pPr>
        <w:rPr>
          <w:b/>
          <w:bCs/>
        </w:rPr>
      </w:pPr>
      <w:r>
        <w:rPr>
          <w:b/>
          <w:bCs/>
        </w:rPr>
        <w:t>Besluit</w:t>
      </w:r>
    </w:p>
    <w:p w14:paraId="299DD76D" w14:textId="1FD3314C" w:rsidR="00404389" w:rsidRDefault="00404389" w:rsidP="00404389">
      <w:r>
        <w:t>De gemeenteraad beslist:</w:t>
      </w:r>
    </w:p>
    <w:p w14:paraId="0416F64C" w14:textId="7FF3723C" w:rsidR="0090386E" w:rsidRDefault="0090386E" w:rsidP="00404389"/>
    <w:p w14:paraId="7463014D" w14:textId="77777777" w:rsidR="0090386E" w:rsidRPr="00A47B1E" w:rsidRDefault="0090386E" w:rsidP="0090386E">
      <w:pPr>
        <w:pStyle w:val="Heading2"/>
        <w:rPr>
          <w:rFonts w:asciiTheme="minorHAnsi" w:hAnsiTheme="minorHAnsi" w:cstheme="minorHAnsi"/>
        </w:rPr>
      </w:pPr>
      <w:r w:rsidRPr="00A47B1E">
        <w:rPr>
          <w:rFonts w:asciiTheme="minorHAnsi" w:hAnsiTheme="minorHAnsi" w:cstheme="minorHAnsi"/>
        </w:rPr>
        <w:t>Modelbeslissing gemeenteraad toewijzingsreglement – optie 1</w:t>
      </w:r>
    </w:p>
    <w:p w14:paraId="1535CD54" w14:textId="77777777" w:rsidR="0090386E" w:rsidRPr="00A47B1E" w:rsidRDefault="0090386E" w:rsidP="0090386E">
      <w:pPr>
        <w:rPr>
          <w:rFonts w:asciiTheme="minorHAnsi" w:hAnsiTheme="minorHAnsi" w:cstheme="minorHAnsi"/>
        </w:rPr>
      </w:pPr>
    </w:p>
    <w:p w14:paraId="4C12C7C9" w14:textId="77777777" w:rsidR="0090386E" w:rsidRPr="00A47B1E" w:rsidRDefault="0090386E" w:rsidP="0090386E">
      <w:pPr>
        <w:rPr>
          <w:rFonts w:asciiTheme="minorHAnsi" w:hAnsiTheme="minorHAnsi" w:cstheme="minorHAnsi"/>
          <w:sz w:val="20"/>
        </w:rPr>
      </w:pPr>
      <w:r w:rsidRPr="00A47B1E">
        <w:rPr>
          <w:rFonts w:asciiTheme="minorHAnsi" w:hAnsiTheme="minorHAnsi" w:cstheme="minorHAnsi"/>
          <w:sz w:val="20"/>
        </w:rPr>
        <w:t xml:space="preserve">In deze optie gaan we ervan uit dat de gemeenteraad akkoord gaat met de vooraf ontworpen bepalingen die betrekking hebben op: </w:t>
      </w:r>
    </w:p>
    <w:p w14:paraId="078753AC" w14:textId="77777777" w:rsidR="0090386E" w:rsidRPr="00A47B1E" w:rsidRDefault="0090386E" w:rsidP="0090386E">
      <w:pPr>
        <w:pStyle w:val="ListParagraph"/>
        <w:numPr>
          <w:ilvl w:val="0"/>
          <w:numId w:val="1"/>
        </w:numPr>
        <w:rPr>
          <w:rFonts w:asciiTheme="minorHAnsi" w:hAnsiTheme="minorHAnsi" w:cstheme="minorHAnsi"/>
          <w:sz w:val="20"/>
        </w:rPr>
      </w:pPr>
      <w:r w:rsidRPr="00A47B1E">
        <w:rPr>
          <w:rFonts w:asciiTheme="minorHAnsi" w:hAnsiTheme="minorHAnsi" w:cstheme="minorHAnsi"/>
          <w:sz w:val="20"/>
        </w:rPr>
        <w:t>Strengere woonbinding</w:t>
      </w:r>
    </w:p>
    <w:p w14:paraId="6DA1A54E" w14:textId="77777777" w:rsidR="0090386E" w:rsidRPr="00A47B1E" w:rsidRDefault="0090386E" w:rsidP="0090386E">
      <w:pPr>
        <w:pStyle w:val="ListParagraph"/>
        <w:numPr>
          <w:ilvl w:val="0"/>
          <w:numId w:val="1"/>
        </w:numPr>
        <w:rPr>
          <w:rFonts w:asciiTheme="minorHAnsi" w:hAnsiTheme="minorHAnsi" w:cstheme="minorHAnsi"/>
          <w:sz w:val="20"/>
        </w:rPr>
      </w:pPr>
      <w:r w:rsidRPr="00A47B1E">
        <w:rPr>
          <w:rFonts w:asciiTheme="minorHAnsi" w:hAnsiTheme="minorHAnsi" w:cstheme="minorHAnsi"/>
          <w:sz w:val="20"/>
        </w:rPr>
        <w:t xml:space="preserve">Specifieke doelgroepen </w:t>
      </w:r>
    </w:p>
    <w:p w14:paraId="6D4F8789" w14:textId="77777777" w:rsidR="0090386E" w:rsidRPr="00A47B1E" w:rsidRDefault="0090386E" w:rsidP="0090386E">
      <w:pPr>
        <w:pStyle w:val="ListParagraph"/>
        <w:numPr>
          <w:ilvl w:val="0"/>
          <w:numId w:val="1"/>
        </w:numPr>
        <w:rPr>
          <w:rFonts w:asciiTheme="minorHAnsi" w:hAnsiTheme="minorHAnsi" w:cstheme="minorHAnsi"/>
          <w:sz w:val="20"/>
        </w:rPr>
      </w:pPr>
      <w:r w:rsidRPr="00A47B1E">
        <w:rPr>
          <w:rFonts w:asciiTheme="minorHAnsi" w:hAnsiTheme="minorHAnsi" w:cstheme="minorHAnsi"/>
          <w:sz w:val="20"/>
        </w:rPr>
        <w:t>Langdurige woonbinding met het werkingsgebied</w:t>
      </w:r>
    </w:p>
    <w:p w14:paraId="1F0F89AF" w14:textId="77777777" w:rsidR="0090386E" w:rsidRPr="00A47B1E" w:rsidRDefault="0090386E" w:rsidP="0090386E">
      <w:pPr>
        <w:pStyle w:val="Heading8"/>
        <w:rPr>
          <w:rFonts w:asciiTheme="minorHAnsi" w:hAnsiTheme="minorHAnsi" w:cstheme="minorHAnsi"/>
          <w:b/>
          <w:bCs/>
          <w:sz w:val="20"/>
        </w:rPr>
      </w:pPr>
      <w:r w:rsidRPr="00A47B1E">
        <w:rPr>
          <w:rFonts w:asciiTheme="minorHAnsi" w:hAnsiTheme="minorHAnsi" w:cstheme="minorHAnsi"/>
          <w:b/>
          <w:bCs/>
          <w:sz w:val="20"/>
        </w:rPr>
        <w:t>Artikel 1</w:t>
      </w:r>
    </w:p>
    <w:p w14:paraId="3221BC3E" w14:textId="77777777" w:rsidR="0090386E" w:rsidRPr="00A47B1E" w:rsidRDefault="0090386E" w:rsidP="0090386E">
      <w:pPr>
        <w:tabs>
          <w:tab w:val="clear" w:pos="8505"/>
        </w:tabs>
        <w:spacing w:after="0" w:line="240" w:lineRule="auto"/>
        <w:jc w:val="left"/>
        <w:rPr>
          <w:rFonts w:asciiTheme="minorHAnsi" w:hAnsiTheme="minorHAnsi" w:cstheme="minorHAnsi"/>
          <w:sz w:val="20"/>
        </w:rPr>
      </w:pPr>
      <w:r w:rsidRPr="00A47B1E">
        <w:rPr>
          <w:rFonts w:asciiTheme="minorHAnsi" w:hAnsiTheme="minorHAnsi" w:cstheme="minorHAnsi"/>
          <w:sz w:val="20"/>
        </w:rPr>
        <w:t xml:space="preserve">De gemeenteraad geeft haar goedkeuring aan het ontwerp van toewijzingsreglement zoals voorgelegd door </w:t>
      </w:r>
    </w:p>
    <w:p w14:paraId="533F5CCE" w14:textId="77777777" w:rsidR="0090386E" w:rsidRPr="00A47B1E" w:rsidRDefault="0090386E" w:rsidP="0090386E">
      <w:pPr>
        <w:tabs>
          <w:tab w:val="clear" w:pos="8505"/>
        </w:tabs>
        <w:spacing w:after="0" w:line="240" w:lineRule="auto"/>
        <w:jc w:val="left"/>
        <w:rPr>
          <w:rFonts w:asciiTheme="minorHAnsi" w:hAnsiTheme="minorHAnsi" w:cstheme="minorHAnsi"/>
          <w:sz w:val="20"/>
        </w:rPr>
      </w:pPr>
      <w:r w:rsidRPr="00A47B1E">
        <w:rPr>
          <w:rFonts w:asciiTheme="minorHAnsi" w:hAnsiTheme="minorHAnsi" w:cstheme="minorHAnsi"/>
          <w:sz w:val="20"/>
        </w:rPr>
        <w:t>de toewijzingsraad  van Woonmaatschappij X.</w:t>
      </w:r>
    </w:p>
    <w:p w14:paraId="40D83336" w14:textId="77777777" w:rsidR="0090386E" w:rsidRPr="00A47B1E" w:rsidRDefault="0090386E" w:rsidP="0090386E">
      <w:pPr>
        <w:pStyle w:val="Heading8"/>
        <w:rPr>
          <w:rFonts w:asciiTheme="minorHAnsi" w:hAnsiTheme="minorHAnsi" w:cstheme="minorHAnsi"/>
          <w:b/>
          <w:bCs/>
          <w:sz w:val="20"/>
        </w:rPr>
      </w:pPr>
      <w:r w:rsidRPr="00A47B1E">
        <w:rPr>
          <w:rFonts w:asciiTheme="minorHAnsi" w:hAnsiTheme="minorHAnsi" w:cstheme="minorHAnsi"/>
          <w:b/>
          <w:bCs/>
          <w:sz w:val="20"/>
        </w:rPr>
        <w:t>Artikel 2</w:t>
      </w:r>
    </w:p>
    <w:p w14:paraId="4131796E" w14:textId="77777777" w:rsidR="0090386E" w:rsidRPr="00A47B1E" w:rsidRDefault="0090386E" w:rsidP="0090386E">
      <w:pPr>
        <w:rPr>
          <w:rFonts w:asciiTheme="minorHAnsi" w:hAnsiTheme="minorHAnsi" w:cstheme="minorHAnsi"/>
          <w:sz w:val="20"/>
        </w:rPr>
      </w:pPr>
      <w:r w:rsidRPr="00A47B1E">
        <w:rPr>
          <w:rFonts w:asciiTheme="minorHAnsi" w:hAnsiTheme="minorHAnsi" w:cstheme="minorHAnsi"/>
          <w:sz w:val="20"/>
        </w:rPr>
        <w:t xml:space="preserve">De gemeenteraad neemt kennis van de genomen beslissingen door Woonmaatschappij X met betrekking tot de versnelde toewijzingen (pijler 2). </w:t>
      </w:r>
    </w:p>
    <w:p w14:paraId="220C507F" w14:textId="77777777" w:rsidR="0090386E" w:rsidRPr="00A47B1E" w:rsidRDefault="0090386E" w:rsidP="0090386E">
      <w:pPr>
        <w:rPr>
          <w:rFonts w:asciiTheme="minorHAnsi" w:hAnsiTheme="minorHAnsi" w:cstheme="minorHAnsi"/>
          <w:b/>
          <w:bCs/>
          <w:i/>
          <w:iCs/>
          <w:sz w:val="20"/>
        </w:rPr>
      </w:pPr>
      <w:r w:rsidRPr="00A47B1E">
        <w:rPr>
          <w:rFonts w:asciiTheme="minorHAnsi" w:hAnsiTheme="minorHAnsi" w:cstheme="minorHAnsi"/>
          <w:b/>
          <w:bCs/>
          <w:i/>
          <w:iCs/>
          <w:sz w:val="20"/>
        </w:rPr>
        <w:t>Bijlagen</w:t>
      </w:r>
    </w:p>
    <w:p w14:paraId="4D78E251" w14:textId="77777777" w:rsidR="0090386E" w:rsidRPr="00A47B1E" w:rsidRDefault="0090386E" w:rsidP="0090386E">
      <w:pPr>
        <w:rPr>
          <w:rFonts w:asciiTheme="minorHAnsi" w:hAnsiTheme="minorHAnsi" w:cstheme="minorHAnsi"/>
          <w:sz w:val="20"/>
        </w:rPr>
      </w:pPr>
      <w:r w:rsidRPr="00A47B1E">
        <w:rPr>
          <w:rFonts w:asciiTheme="minorHAnsi" w:hAnsiTheme="minorHAnsi" w:cstheme="minorHAnsi"/>
          <w:sz w:val="20"/>
        </w:rPr>
        <w:t>Xxx</w:t>
      </w:r>
    </w:p>
    <w:p w14:paraId="318F1086" w14:textId="77777777" w:rsidR="0090386E" w:rsidRPr="00A47B1E" w:rsidRDefault="0090386E" w:rsidP="0090386E">
      <w:pPr>
        <w:rPr>
          <w:rFonts w:asciiTheme="minorHAnsi" w:hAnsiTheme="minorHAnsi" w:cstheme="minorHAnsi"/>
        </w:rPr>
      </w:pPr>
    </w:p>
    <w:p w14:paraId="5879A903" w14:textId="3A30DDB7" w:rsidR="0090386E" w:rsidRPr="00A47B1E" w:rsidRDefault="0090386E" w:rsidP="0090386E">
      <w:pPr>
        <w:pStyle w:val="Heading2"/>
        <w:rPr>
          <w:rFonts w:asciiTheme="minorHAnsi" w:hAnsiTheme="minorHAnsi" w:cstheme="minorHAnsi"/>
        </w:rPr>
      </w:pPr>
      <w:r w:rsidRPr="00A47B1E">
        <w:rPr>
          <w:rFonts w:asciiTheme="minorHAnsi" w:hAnsiTheme="minorHAnsi" w:cstheme="minorHAnsi"/>
        </w:rPr>
        <w:t>Modelbeslissing gemeenteraad toewijzingsreglement – optie 2</w:t>
      </w:r>
    </w:p>
    <w:p w14:paraId="4E55CB1B" w14:textId="77777777" w:rsidR="0090386E" w:rsidRPr="00A47B1E" w:rsidRDefault="0090386E" w:rsidP="0090386E">
      <w:pPr>
        <w:spacing w:line="240" w:lineRule="auto"/>
        <w:rPr>
          <w:rFonts w:asciiTheme="minorHAnsi" w:hAnsiTheme="minorHAnsi" w:cstheme="minorHAnsi"/>
        </w:rPr>
      </w:pPr>
    </w:p>
    <w:p w14:paraId="62A03800" w14:textId="77777777" w:rsidR="008342F6" w:rsidRDefault="0090386E" w:rsidP="0090386E">
      <w:pPr>
        <w:spacing w:line="240" w:lineRule="auto"/>
        <w:rPr>
          <w:rFonts w:asciiTheme="minorHAnsi" w:hAnsiTheme="minorHAnsi" w:cstheme="minorHAnsi"/>
          <w:sz w:val="20"/>
          <w:szCs w:val="22"/>
        </w:rPr>
      </w:pPr>
      <w:r w:rsidRPr="00A47B1E">
        <w:rPr>
          <w:rFonts w:asciiTheme="minorHAnsi" w:hAnsiTheme="minorHAnsi" w:cstheme="minorHAnsi"/>
          <w:sz w:val="20"/>
          <w:szCs w:val="22"/>
        </w:rPr>
        <w:t>In deze optie gaan we ervan uit dat de gemeenteraad niet akkoord gaat met de vooraf ontworpen bepalingen en gebruik maakt van de mogelijkheid om te amenderen.</w:t>
      </w:r>
    </w:p>
    <w:p w14:paraId="000ED2B2" w14:textId="6AC37131" w:rsidR="008342F6" w:rsidRDefault="008342F6" w:rsidP="008342F6">
      <w:pPr>
        <w:pStyle w:val="ListParagraph"/>
        <w:numPr>
          <w:ilvl w:val="0"/>
          <w:numId w:val="1"/>
        </w:numPr>
        <w:spacing w:line="240" w:lineRule="auto"/>
        <w:rPr>
          <w:rFonts w:asciiTheme="minorHAnsi" w:hAnsiTheme="minorHAnsi" w:cstheme="minorHAnsi"/>
          <w:sz w:val="20"/>
          <w:szCs w:val="22"/>
        </w:rPr>
      </w:pPr>
      <w:r w:rsidRPr="008342F6">
        <w:rPr>
          <w:rFonts w:asciiTheme="minorHAnsi" w:hAnsiTheme="minorHAnsi" w:cstheme="minorHAnsi"/>
          <w:sz w:val="20"/>
          <w:szCs w:val="22"/>
        </w:rPr>
        <w:t>Artikel 1 verduidelijkt welke bepalingen geamendeerd zijn in het ontwerp</w:t>
      </w:r>
      <w:r w:rsidR="00EC50BA">
        <w:rPr>
          <w:rFonts w:asciiTheme="minorHAnsi" w:hAnsiTheme="minorHAnsi" w:cstheme="minorHAnsi"/>
          <w:sz w:val="20"/>
          <w:szCs w:val="22"/>
        </w:rPr>
        <w:t xml:space="preserve"> </w:t>
      </w:r>
      <w:r w:rsidR="00EC50BA" w:rsidRPr="008342F6">
        <w:rPr>
          <w:rFonts w:asciiTheme="minorHAnsi" w:hAnsiTheme="minorHAnsi" w:cstheme="minorHAnsi"/>
          <w:sz w:val="20"/>
          <w:szCs w:val="22"/>
        </w:rPr>
        <w:t>toewijzingsreglement</w:t>
      </w:r>
      <w:r w:rsidRPr="008342F6">
        <w:rPr>
          <w:rFonts w:asciiTheme="minorHAnsi" w:hAnsiTheme="minorHAnsi" w:cstheme="minorHAnsi"/>
          <w:sz w:val="20"/>
          <w:szCs w:val="22"/>
        </w:rPr>
        <w:t xml:space="preserve">, gevoegd in bijlage. </w:t>
      </w:r>
    </w:p>
    <w:p w14:paraId="4C5D9DAE" w14:textId="16B48F82" w:rsidR="0090386E" w:rsidRDefault="008342F6" w:rsidP="008342F6">
      <w:pPr>
        <w:pStyle w:val="ListParagraph"/>
        <w:numPr>
          <w:ilvl w:val="0"/>
          <w:numId w:val="1"/>
        </w:numPr>
        <w:spacing w:line="240" w:lineRule="auto"/>
        <w:rPr>
          <w:rFonts w:asciiTheme="minorHAnsi" w:hAnsiTheme="minorHAnsi" w:cstheme="minorHAnsi"/>
          <w:sz w:val="20"/>
          <w:szCs w:val="22"/>
        </w:rPr>
      </w:pPr>
      <w:r w:rsidRPr="008342F6">
        <w:rPr>
          <w:rFonts w:asciiTheme="minorHAnsi" w:hAnsiTheme="minorHAnsi" w:cstheme="minorHAnsi"/>
          <w:sz w:val="20"/>
          <w:szCs w:val="22"/>
        </w:rPr>
        <w:t>Artikel</w:t>
      </w:r>
      <w:r>
        <w:rPr>
          <w:rFonts w:asciiTheme="minorHAnsi" w:hAnsiTheme="minorHAnsi" w:cstheme="minorHAnsi"/>
          <w:sz w:val="20"/>
          <w:szCs w:val="22"/>
        </w:rPr>
        <w:t xml:space="preserve"> 2</w:t>
      </w:r>
      <w:r w:rsidR="007E5074">
        <w:rPr>
          <w:rFonts w:asciiTheme="minorHAnsi" w:hAnsiTheme="minorHAnsi" w:cstheme="minorHAnsi"/>
          <w:sz w:val="20"/>
          <w:szCs w:val="22"/>
        </w:rPr>
        <w:t xml:space="preserve"> verduidelijkt dat de gemeente akkoord gaat met de in consensus genomen beslissing om voorrang te geven aan kandidaat-huurders met langdurige woonbinding met het werkingsgebied.</w:t>
      </w:r>
    </w:p>
    <w:p w14:paraId="66FB7F64" w14:textId="066801F9" w:rsidR="008342F6" w:rsidRDefault="008342F6" w:rsidP="008342F6">
      <w:pPr>
        <w:pStyle w:val="ListParagraph"/>
        <w:numPr>
          <w:ilvl w:val="0"/>
          <w:numId w:val="1"/>
        </w:numPr>
        <w:spacing w:line="240" w:lineRule="auto"/>
        <w:rPr>
          <w:rFonts w:asciiTheme="minorHAnsi" w:hAnsiTheme="minorHAnsi" w:cstheme="minorHAnsi"/>
          <w:sz w:val="20"/>
          <w:szCs w:val="22"/>
        </w:rPr>
      </w:pPr>
      <w:r>
        <w:rPr>
          <w:rFonts w:asciiTheme="minorHAnsi" w:hAnsiTheme="minorHAnsi" w:cstheme="minorHAnsi"/>
          <w:sz w:val="20"/>
          <w:szCs w:val="22"/>
        </w:rPr>
        <w:t>Artikel 3 en 4</w:t>
      </w:r>
      <w:r w:rsidR="007E5074">
        <w:rPr>
          <w:rFonts w:asciiTheme="minorHAnsi" w:hAnsiTheme="minorHAnsi" w:cstheme="minorHAnsi"/>
          <w:sz w:val="20"/>
          <w:szCs w:val="22"/>
        </w:rPr>
        <w:t xml:space="preserve"> verduidelijken dat de gemeente </w:t>
      </w:r>
      <w:r w:rsidR="001B1B72">
        <w:rPr>
          <w:rFonts w:asciiTheme="minorHAnsi" w:hAnsiTheme="minorHAnsi" w:cstheme="minorHAnsi"/>
          <w:sz w:val="20"/>
          <w:szCs w:val="22"/>
        </w:rPr>
        <w:t xml:space="preserve">het ontwerp toewijzingsreglement amenderen voor wat betreft de strengere woonbinding met de gemeente en de voorrangsbepalingen voor specifieke doelgroepen. </w:t>
      </w:r>
    </w:p>
    <w:p w14:paraId="7E11382A" w14:textId="77777777" w:rsidR="008342F6" w:rsidRPr="008342F6" w:rsidRDefault="008342F6" w:rsidP="001E1933">
      <w:pPr>
        <w:pStyle w:val="ListParagraph"/>
        <w:spacing w:line="240" w:lineRule="auto"/>
        <w:rPr>
          <w:rFonts w:asciiTheme="minorHAnsi" w:hAnsiTheme="minorHAnsi" w:cstheme="minorHAnsi"/>
          <w:sz w:val="20"/>
          <w:szCs w:val="22"/>
        </w:rPr>
      </w:pPr>
    </w:p>
    <w:p w14:paraId="3E76F201" w14:textId="77777777" w:rsidR="0090386E" w:rsidRPr="00A47B1E" w:rsidRDefault="0090386E" w:rsidP="0090386E">
      <w:pPr>
        <w:pStyle w:val="Heading8"/>
        <w:rPr>
          <w:rFonts w:asciiTheme="minorHAnsi" w:hAnsiTheme="minorHAnsi" w:cstheme="minorHAnsi"/>
          <w:b/>
          <w:bCs/>
          <w:sz w:val="20"/>
        </w:rPr>
      </w:pPr>
      <w:r w:rsidRPr="00A47B1E">
        <w:rPr>
          <w:rFonts w:asciiTheme="minorHAnsi" w:hAnsiTheme="minorHAnsi" w:cstheme="minorHAnsi"/>
          <w:b/>
          <w:bCs/>
          <w:sz w:val="20"/>
        </w:rPr>
        <w:t>Artikel 1</w:t>
      </w:r>
    </w:p>
    <w:p w14:paraId="742EE960" w14:textId="5D68DA45" w:rsidR="0090386E" w:rsidRPr="00A47B1E" w:rsidRDefault="00171A11" w:rsidP="0C28A40C">
      <w:pPr>
        <w:tabs>
          <w:tab w:val="clear" w:pos="8505"/>
        </w:tabs>
        <w:spacing w:after="0" w:line="240" w:lineRule="auto"/>
        <w:jc w:val="left"/>
        <w:rPr>
          <w:rFonts w:asciiTheme="minorHAnsi" w:hAnsiTheme="minorHAnsi" w:cstheme="minorBidi"/>
          <w:sz w:val="20"/>
        </w:rPr>
      </w:pPr>
      <w:r w:rsidRPr="0C28A40C">
        <w:rPr>
          <w:rFonts w:asciiTheme="minorHAnsi" w:hAnsiTheme="minorHAnsi" w:cstheme="minorBidi"/>
          <w:sz w:val="20"/>
        </w:rPr>
        <w:t xml:space="preserve">(voorbeeld) </w:t>
      </w:r>
      <w:r w:rsidR="0090386E" w:rsidRPr="0C28A40C">
        <w:rPr>
          <w:rFonts w:asciiTheme="minorHAnsi" w:hAnsiTheme="minorHAnsi" w:cstheme="minorBidi"/>
          <w:sz w:val="20"/>
        </w:rPr>
        <w:t xml:space="preserve">De gemeente maakt gebruik van de mogelijkheid van artikel 6.22 §2 Besluit Vlaamse Codex Wonen om het ontwerp toewijzingsreglement te amenderen voor wat betreft de strengere woonbinding, vermeld in 6.23, § 1, derde lid en de toewijzing aan specifieke doelgroep(en), vermeld in 6.27. </w:t>
      </w:r>
    </w:p>
    <w:p w14:paraId="46BBFFFC" w14:textId="77777777" w:rsidR="0090386E" w:rsidRPr="00A47B1E" w:rsidRDefault="0090386E" w:rsidP="0090386E">
      <w:pPr>
        <w:tabs>
          <w:tab w:val="clear" w:pos="8505"/>
        </w:tabs>
        <w:spacing w:after="0" w:line="240" w:lineRule="auto"/>
        <w:jc w:val="left"/>
        <w:rPr>
          <w:rFonts w:asciiTheme="minorHAnsi" w:hAnsiTheme="minorHAnsi" w:cstheme="minorHAnsi"/>
          <w:sz w:val="20"/>
        </w:rPr>
      </w:pPr>
    </w:p>
    <w:p w14:paraId="355846FB" w14:textId="77777777" w:rsidR="0090386E" w:rsidRPr="00A47B1E" w:rsidRDefault="0090386E" w:rsidP="0090386E">
      <w:pPr>
        <w:tabs>
          <w:tab w:val="clear" w:pos="8505"/>
        </w:tabs>
        <w:spacing w:after="0" w:line="240" w:lineRule="auto"/>
        <w:jc w:val="left"/>
        <w:rPr>
          <w:rFonts w:asciiTheme="minorHAnsi" w:hAnsiTheme="minorHAnsi" w:cstheme="minorHAnsi"/>
          <w:b/>
          <w:bCs/>
          <w:i/>
          <w:iCs/>
          <w:sz w:val="20"/>
        </w:rPr>
      </w:pPr>
      <w:r w:rsidRPr="00A47B1E">
        <w:rPr>
          <w:rFonts w:asciiTheme="minorHAnsi" w:hAnsiTheme="minorHAnsi" w:cstheme="minorHAnsi"/>
          <w:b/>
          <w:bCs/>
          <w:i/>
          <w:iCs/>
          <w:sz w:val="20"/>
        </w:rPr>
        <w:t>Artikel 2</w:t>
      </w:r>
    </w:p>
    <w:p w14:paraId="16A7DC42" w14:textId="77777777" w:rsidR="0090386E" w:rsidRPr="00A47B1E" w:rsidRDefault="0090386E" w:rsidP="0090386E">
      <w:pPr>
        <w:tabs>
          <w:tab w:val="clear" w:pos="8505"/>
        </w:tabs>
        <w:spacing w:after="0" w:line="240" w:lineRule="auto"/>
        <w:jc w:val="left"/>
        <w:rPr>
          <w:rFonts w:asciiTheme="minorHAnsi" w:hAnsiTheme="minorHAnsi" w:cstheme="minorHAnsi"/>
          <w:sz w:val="20"/>
        </w:rPr>
      </w:pPr>
    </w:p>
    <w:p w14:paraId="22206866" w14:textId="5B190E7C" w:rsidR="003C0A91" w:rsidRPr="006C5028" w:rsidRDefault="003C0A91" w:rsidP="0090386E">
      <w:pPr>
        <w:tabs>
          <w:tab w:val="clear" w:pos="8505"/>
        </w:tabs>
        <w:spacing w:after="0" w:line="240" w:lineRule="auto"/>
        <w:jc w:val="left"/>
        <w:rPr>
          <w:rFonts w:asciiTheme="minorHAnsi" w:hAnsiTheme="minorHAnsi" w:cstheme="minorHAnsi"/>
          <w:sz w:val="20"/>
        </w:rPr>
      </w:pPr>
      <w:r w:rsidRPr="006C5028">
        <w:rPr>
          <w:rFonts w:asciiTheme="minorHAnsi" w:hAnsiTheme="minorHAnsi" w:cstheme="minorHAnsi"/>
          <w:sz w:val="20"/>
        </w:rPr>
        <w:t xml:space="preserve">(voorbeeld) De gemeente geeft goedkeuring aan de beslissing van de toewijzingsraad om een voorrangsbepaling op te nemen voor kandidaat-huurders die langdurige woonbinding hebben met het werkingsgebied van Woonmaatschappij X. </w:t>
      </w:r>
    </w:p>
    <w:p w14:paraId="2B086761" w14:textId="77777777" w:rsidR="0090386E" w:rsidRPr="00A47B1E" w:rsidRDefault="0090386E" w:rsidP="0090386E">
      <w:pPr>
        <w:tabs>
          <w:tab w:val="clear" w:pos="8505"/>
        </w:tabs>
        <w:spacing w:after="0" w:line="240" w:lineRule="auto"/>
        <w:jc w:val="left"/>
        <w:rPr>
          <w:rFonts w:asciiTheme="minorHAnsi" w:hAnsiTheme="minorHAnsi" w:cstheme="minorHAnsi"/>
          <w:sz w:val="20"/>
        </w:rPr>
      </w:pPr>
    </w:p>
    <w:p w14:paraId="7C72BCFE" w14:textId="77777777" w:rsidR="0090386E" w:rsidRDefault="0090386E" w:rsidP="0090386E">
      <w:pPr>
        <w:tabs>
          <w:tab w:val="clear" w:pos="8505"/>
        </w:tabs>
        <w:spacing w:after="0" w:line="240" w:lineRule="auto"/>
        <w:jc w:val="left"/>
        <w:rPr>
          <w:rFonts w:asciiTheme="minorHAnsi" w:hAnsiTheme="minorHAnsi" w:cstheme="minorHAnsi"/>
          <w:b/>
          <w:bCs/>
          <w:i/>
          <w:iCs/>
          <w:sz w:val="20"/>
        </w:rPr>
      </w:pPr>
      <w:r w:rsidRPr="00A47B1E">
        <w:rPr>
          <w:rFonts w:asciiTheme="minorHAnsi" w:hAnsiTheme="minorHAnsi" w:cstheme="minorHAnsi"/>
          <w:b/>
          <w:bCs/>
          <w:i/>
          <w:iCs/>
          <w:sz w:val="20"/>
        </w:rPr>
        <w:t xml:space="preserve">Artikel 3 </w:t>
      </w:r>
    </w:p>
    <w:p w14:paraId="58C9446C" w14:textId="77777777" w:rsidR="0090386E" w:rsidRDefault="0090386E" w:rsidP="0090386E">
      <w:pPr>
        <w:tabs>
          <w:tab w:val="clear" w:pos="8505"/>
        </w:tabs>
        <w:spacing w:after="0" w:line="240" w:lineRule="auto"/>
        <w:jc w:val="left"/>
        <w:rPr>
          <w:rFonts w:asciiTheme="minorHAnsi" w:hAnsiTheme="minorHAnsi" w:cstheme="minorHAnsi"/>
          <w:b/>
          <w:bCs/>
          <w:i/>
          <w:iCs/>
          <w:sz w:val="20"/>
        </w:rPr>
      </w:pPr>
    </w:p>
    <w:p w14:paraId="4FF53380" w14:textId="339F7E71" w:rsidR="0090386E" w:rsidRPr="006461C7" w:rsidRDefault="00ED0F74" w:rsidP="0090386E">
      <w:pPr>
        <w:tabs>
          <w:tab w:val="clear" w:pos="8505"/>
        </w:tabs>
        <w:spacing w:after="0" w:line="240" w:lineRule="auto"/>
        <w:jc w:val="left"/>
        <w:rPr>
          <w:rFonts w:asciiTheme="minorHAnsi" w:hAnsiTheme="minorHAnsi" w:cstheme="minorHAnsi"/>
          <w:sz w:val="20"/>
        </w:rPr>
      </w:pPr>
      <w:r w:rsidRPr="00A47B1E">
        <w:rPr>
          <w:rFonts w:asciiTheme="minorHAnsi" w:hAnsiTheme="minorHAnsi" w:cstheme="minorHAnsi"/>
          <w:sz w:val="20"/>
        </w:rPr>
        <w:t>(voorbeeld) De gemeente geeft haar goedkeuring aan de</w:t>
      </w:r>
      <w:r w:rsidR="00DC5759">
        <w:rPr>
          <w:rFonts w:asciiTheme="minorHAnsi" w:hAnsiTheme="minorHAnsi" w:cstheme="minorHAnsi"/>
          <w:sz w:val="20"/>
        </w:rPr>
        <w:t xml:space="preserve"> geamendeerde</w:t>
      </w:r>
      <w:r w:rsidRPr="00A47B1E">
        <w:rPr>
          <w:rFonts w:asciiTheme="minorHAnsi" w:hAnsiTheme="minorHAnsi" w:cstheme="minorHAnsi"/>
          <w:sz w:val="20"/>
        </w:rPr>
        <w:t xml:space="preserve"> voorrangsbepaling voor kandidaat-huurders die de afgelopen 20 jaar in de gemeente hebben gewoond.</w:t>
      </w:r>
    </w:p>
    <w:p w14:paraId="3B0FB3E3" w14:textId="77777777" w:rsidR="00ED0F74" w:rsidRPr="00A47B1E" w:rsidRDefault="00ED0F74" w:rsidP="0090386E">
      <w:pPr>
        <w:tabs>
          <w:tab w:val="clear" w:pos="8505"/>
        </w:tabs>
        <w:spacing w:after="0" w:line="240" w:lineRule="auto"/>
        <w:jc w:val="left"/>
        <w:rPr>
          <w:rFonts w:asciiTheme="minorHAnsi" w:hAnsiTheme="minorHAnsi" w:cstheme="minorHAnsi"/>
          <w:b/>
          <w:bCs/>
          <w:i/>
          <w:iCs/>
          <w:sz w:val="20"/>
        </w:rPr>
      </w:pPr>
    </w:p>
    <w:p w14:paraId="0CC59CAE" w14:textId="77777777" w:rsidR="0090386E" w:rsidRPr="00A47B1E" w:rsidRDefault="0090386E" w:rsidP="0090386E">
      <w:pPr>
        <w:rPr>
          <w:rFonts w:asciiTheme="minorHAnsi" w:hAnsiTheme="minorHAnsi" w:cstheme="minorHAnsi"/>
          <w:b/>
          <w:bCs/>
          <w:i/>
          <w:iCs/>
        </w:rPr>
      </w:pPr>
      <w:r w:rsidRPr="00A47B1E">
        <w:rPr>
          <w:rFonts w:asciiTheme="minorHAnsi" w:hAnsiTheme="minorHAnsi" w:cstheme="minorHAnsi"/>
          <w:b/>
          <w:bCs/>
          <w:i/>
          <w:iCs/>
        </w:rPr>
        <w:t>Artikel 4</w:t>
      </w:r>
    </w:p>
    <w:p w14:paraId="14187743" w14:textId="68CE5906" w:rsidR="0090386E" w:rsidRPr="00172730" w:rsidRDefault="0090386E" w:rsidP="0090386E">
      <w:pPr>
        <w:rPr>
          <w:rFonts w:asciiTheme="minorHAnsi" w:hAnsiTheme="minorHAnsi" w:cstheme="minorHAnsi"/>
          <w:sz w:val="20"/>
        </w:rPr>
      </w:pPr>
      <w:r w:rsidRPr="00172730">
        <w:rPr>
          <w:rFonts w:asciiTheme="minorHAnsi" w:hAnsiTheme="minorHAnsi" w:cstheme="minorHAnsi"/>
          <w:sz w:val="20"/>
        </w:rPr>
        <w:t>(voorbeeld) De gemeente geeft haar goedkeuring aan de</w:t>
      </w:r>
      <w:r w:rsidR="00DC5759" w:rsidRPr="00172730">
        <w:rPr>
          <w:rFonts w:asciiTheme="minorHAnsi" w:hAnsiTheme="minorHAnsi" w:cstheme="minorHAnsi"/>
          <w:sz w:val="20"/>
        </w:rPr>
        <w:t xml:space="preserve"> geamendeerde</w:t>
      </w:r>
      <w:r w:rsidRPr="00172730">
        <w:rPr>
          <w:rFonts w:asciiTheme="minorHAnsi" w:hAnsiTheme="minorHAnsi" w:cstheme="minorHAnsi"/>
          <w:sz w:val="20"/>
        </w:rPr>
        <w:t xml:space="preserve"> voorrangsbepaling voor kandidaat-huurders die behoren tot de doelgroep X. Deze voorrangsbepaling is van toepassing op de adressenlijst gevoegd bij dit besluit en wordt gemotiveerd in het doelgroepenplan gevoegd bij dit besluit. </w:t>
      </w:r>
    </w:p>
    <w:p w14:paraId="09A3F3B9" w14:textId="77777777" w:rsidR="0090386E" w:rsidRPr="00A47B1E" w:rsidRDefault="0090386E" w:rsidP="0090386E">
      <w:pPr>
        <w:pStyle w:val="Heading8"/>
        <w:rPr>
          <w:rFonts w:asciiTheme="minorHAnsi" w:hAnsiTheme="minorHAnsi" w:cstheme="minorHAnsi"/>
          <w:b/>
          <w:bCs/>
          <w:sz w:val="20"/>
        </w:rPr>
      </w:pPr>
      <w:r w:rsidRPr="00A47B1E">
        <w:rPr>
          <w:rFonts w:asciiTheme="minorHAnsi" w:hAnsiTheme="minorHAnsi" w:cstheme="minorHAnsi"/>
          <w:b/>
          <w:bCs/>
          <w:sz w:val="20"/>
        </w:rPr>
        <w:t>Artikel 5</w:t>
      </w:r>
    </w:p>
    <w:p w14:paraId="71C9C464" w14:textId="77777777" w:rsidR="0090386E" w:rsidRPr="00A47B1E" w:rsidRDefault="0090386E" w:rsidP="0090386E">
      <w:pPr>
        <w:rPr>
          <w:rFonts w:asciiTheme="minorHAnsi" w:hAnsiTheme="minorHAnsi" w:cstheme="minorHAnsi"/>
          <w:sz w:val="20"/>
        </w:rPr>
      </w:pPr>
      <w:r w:rsidRPr="00A47B1E">
        <w:rPr>
          <w:rFonts w:asciiTheme="minorHAnsi" w:hAnsiTheme="minorHAnsi" w:cstheme="minorHAnsi"/>
          <w:sz w:val="20"/>
        </w:rPr>
        <w:t xml:space="preserve">De gemeente neemt kennis van de genomen beslissingen door Woonmaatschappij X met betrekking tot de versnelde toewijzingen (pijler 2). </w:t>
      </w:r>
    </w:p>
    <w:p w14:paraId="64801568" w14:textId="77777777" w:rsidR="0090386E" w:rsidRPr="00A47B1E" w:rsidRDefault="0090386E" w:rsidP="0090386E">
      <w:pPr>
        <w:rPr>
          <w:rFonts w:asciiTheme="minorHAnsi" w:hAnsiTheme="minorHAnsi" w:cstheme="minorHAnsi"/>
          <w:b/>
          <w:bCs/>
          <w:i/>
          <w:iCs/>
          <w:sz w:val="20"/>
        </w:rPr>
      </w:pPr>
      <w:r w:rsidRPr="00A47B1E">
        <w:rPr>
          <w:rFonts w:asciiTheme="minorHAnsi" w:hAnsiTheme="minorHAnsi" w:cstheme="minorHAnsi"/>
          <w:b/>
          <w:bCs/>
          <w:i/>
          <w:iCs/>
          <w:sz w:val="20"/>
        </w:rPr>
        <w:t>Bijlagen</w:t>
      </w:r>
    </w:p>
    <w:p w14:paraId="17E140FC" w14:textId="77777777" w:rsidR="0090386E" w:rsidRPr="007926A2" w:rsidRDefault="0090386E" w:rsidP="0090386E">
      <w:pPr>
        <w:rPr>
          <w:highlight w:val="yellow"/>
        </w:rPr>
      </w:pPr>
      <w:r w:rsidRPr="007926A2">
        <w:rPr>
          <w:highlight w:val="yellow"/>
        </w:rPr>
        <w:t>verwijzen naar bijlagen</w:t>
      </w:r>
    </w:p>
    <w:p w14:paraId="3786D2E6" w14:textId="3E93B12A" w:rsidR="0090386E" w:rsidRPr="007926A2" w:rsidRDefault="002904A9" w:rsidP="0090386E">
      <w:pPr>
        <w:numPr>
          <w:ilvl w:val="0"/>
          <w:numId w:val="4"/>
        </w:numPr>
        <w:tabs>
          <w:tab w:val="clear" w:pos="8505"/>
        </w:tabs>
        <w:ind w:right="2550"/>
        <w:rPr>
          <w:highlight w:val="yellow"/>
        </w:rPr>
      </w:pPr>
      <w:r>
        <w:rPr>
          <w:highlight w:val="yellow"/>
        </w:rPr>
        <w:t>Geamendeerde o</w:t>
      </w:r>
      <w:r w:rsidR="0090386E" w:rsidRPr="007926A2">
        <w:rPr>
          <w:highlight w:val="yellow"/>
        </w:rPr>
        <w:t>ntwerp toewijzingsreglement</w:t>
      </w:r>
    </w:p>
    <w:p w14:paraId="4A5582BE" w14:textId="77777777" w:rsidR="0090386E" w:rsidRDefault="0090386E" w:rsidP="0090386E">
      <w:pPr>
        <w:numPr>
          <w:ilvl w:val="0"/>
          <w:numId w:val="4"/>
        </w:numPr>
        <w:tabs>
          <w:tab w:val="clear" w:pos="8505"/>
        </w:tabs>
        <w:ind w:right="2550"/>
        <w:rPr>
          <w:highlight w:val="yellow"/>
        </w:rPr>
      </w:pPr>
      <w:r w:rsidRPr="007926A2">
        <w:rPr>
          <w:highlight w:val="yellow"/>
        </w:rPr>
        <w:t>Toelichting bij nieuw toewijzingsmodel</w:t>
      </w:r>
    </w:p>
    <w:p w14:paraId="08B26A99" w14:textId="4DB67963" w:rsidR="00B57FC7" w:rsidRPr="007926A2" w:rsidRDefault="00B57FC7" w:rsidP="0090386E">
      <w:pPr>
        <w:numPr>
          <w:ilvl w:val="0"/>
          <w:numId w:val="4"/>
        </w:numPr>
        <w:tabs>
          <w:tab w:val="clear" w:pos="8505"/>
        </w:tabs>
        <w:ind w:right="2550"/>
        <w:rPr>
          <w:highlight w:val="yellow"/>
        </w:rPr>
      </w:pPr>
      <w:r>
        <w:rPr>
          <w:highlight w:val="yellow"/>
        </w:rPr>
        <w:t>Beslis</w:t>
      </w:r>
      <w:r w:rsidR="00EE2259">
        <w:rPr>
          <w:highlight w:val="yellow"/>
        </w:rPr>
        <w:t>s</w:t>
      </w:r>
      <w:r>
        <w:rPr>
          <w:highlight w:val="yellow"/>
        </w:rPr>
        <w:t>ingen genomen met betrekking tot de versnelde toewijzingen (pijler 2)</w:t>
      </w:r>
    </w:p>
    <w:p w14:paraId="78F2A086" w14:textId="77777777" w:rsidR="009348C0" w:rsidRPr="009348C0" w:rsidRDefault="009348C0" w:rsidP="009348C0">
      <w:pPr>
        <w:pStyle w:val="ListParagraph"/>
        <w:numPr>
          <w:ilvl w:val="0"/>
          <w:numId w:val="4"/>
        </w:numPr>
        <w:rPr>
          <w:rFonts w:asciiTheme="minorHAnsi" w:hAnsiTheme="minorHAnsi" w:cstheme="minorHAnsi"/>
          <w:sz w:val="20"/>
        </w:rPr>
      </w:pPr>
      <w:r w:rsidRPr="009348C0">
        <w:rPr>
          <w:rFonts w:asciiTheme="minorHAnsi" w:hAnsiTheme="minorHAnsi" w:cstheme="minorHAnsi"/>
          <w:sz w:val="20"/>
        </w:rPr>
        <w:t>Xxx</w:t>
      </w:r>
    </w:p>
    <w:p w14:paraId="7682F96F" w14:textId="77777777" w:rsidR="00404389" w:rsidRDefault="00404389" w:rsidP="00404389">
      <w:pPr>
        <w:rPr>
          <w:rFonts w:asciiTheme="minorHAnsi" w:hAnsiTheme="minorHAnsi" w:cstheme="minorBidi"/>
          <w:sz w:val="22"/>
          <w:szCs w:val="22"/>
          <w:lang w:eastAsia="en-US"/>
        </w:rPr>
      </w:pPr>
    </w:p>
    <w:p w14:paraId="1A383119" w14:textId="77777777" w:rsidR="00404389" w:rsidRDefault="00404389" w:rsidP="00404389">
      <w:pPr>
        <w:rPr>
          <w:b/>
          <w:bCs/>
        </w:rPr>
      </w:pPr>
    </w:p>
    <w:p w14:paraId="6925566A" w14:textId="77777777" w:rsidR="00404389" w:rsidRDefault="00404389" w:rsidP="0055234B">
      <w:pPr>
        <w:pStyle w:val="Heading2"/>
        <w:rPr>
          <w:rFonts w:asciiTheme="minorHAnsi" w:hAnsiTheme="minorHAnsi" w:cstheme="minorHAnsi"/>
        </w:rPr>
      </w:pPr>
    </w:p>
    <w:p w14:paraId="1B9EFCE2" w14:textId="77777777" w:rsidR="0055234B" w:rsidRPr="00A47B1E" w:rsidRDefault="0055234B" w:rsidP="0055234B">
      <w:pPr>
        <w:spacing w:line="240" w:lineRule="auto"/>
        <w:rPr>
          <w:rFonts w:asciiTheme="minorHAnsi" w:hAnsiTheme="minorHAnsi" w:cstheme="minorHAnsi"/>
          <w:sz w:val="20"/>
          <w:szCs w:val="22"/>
        </w:rPr>
      </w:pPr>
    </w:p>
    <w:sectPr w:rsidR="0055234B" w:rsidRPr="00A47B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38E8A8" w14:textId="77777777" w:rsidR="00415070" w:rsidRDefault="00415070" w:rsidP="00711DC3">
      <w:pPr>
        <w:spacing w:after="0" w:line="240" w:lineRule="auto"/>
      </w:pPr>
      <w:r>
        <w:separator/>
      </w:r>
    </w:p>
  </w:endnote>
  <w:endnote w:type="continuationSeparator" w:id="0">
    <w:p w14:paraId="02553230" w14:textId="77777777" w:rsidR="00415070" w:rsidRDefault="00415070" w:rsidP="00711DC3">
      <w:pPr>
        <w:spacing w:after="0" w:line="240" w:lineRule="auto"/>
      </w:pPr>
      <w:r>
        <w:continuationSeparator/>
      </w:r>
    </w:p>
  </w:endnote>
  <w:endnote w:type="continuationNotice" w:id="1">
    <w:p w14:paraId="6C862A66" w14:textId="77777777" w:rsidR="00415070" w:rsidRDefault="00415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CDE1D7" w14:textId="77777777" w:rsidR="00415070" w:rsidRDefault="00415070" w:rsidP="00711DC3">
      <w:pPr>
        <w:spacing w:after="0" w:line="240" w:lineRule="auto"/>
      </w:pPr>
      <w:r>
        <w:separator/>
      </w:r>
    </w:p>
  </w:footnote>
  <w:footnote w:type="continuationSeparator" w:id="0">
    <w:p w14:paraId="5BBC015E" w14:textId="77777777" w:rsidR="00415070" w:rsidRDefault="00415070" w:rsidP="00711DC3">
      <w:pPr>
        <w:spacing w:after="0" w:line="240" w:lineRule="auto"/>
      </w:pPr>
      <w:r>
        <w:continuationSeparator/>
      </w:r>
    </w:p>
  </w:footnote>
  <w:footnote w:type="continuationNotice" w:id="1">
    <w:p w14:paraId="08B21659" w14:textId="77777777" w:rsidR="00415070" w:rsidRDefault="00415070">
      <w:pPr>
        <w:spacing w:after="0" w:line="240" w:lineRule="auto"/>
      </w:pPr>
    </w:p>
  </w:footnote>
  <w:footnote w:id="2">
    <w:p w14:paraId="6D706DB2" w14:textId="07861EF0" w:rsidR="00711DC3" w:rsidRPr="00CB2E6E" w:rsidRDefault="00711DC3">
      <w:pPr>
        <w:pStyle w:val="FootnoteText"/>
        <w:rPr>
          <w:sz w:val="16"/>
          <w:szCs w:val="16"/>
          <w:lang w:val="nl-BE"/>
        </w:rPr>
      </w:pPr>
      <w:r w:rsidRPr="00CB2E6E">
        <w:rPr>
          <w:rStyle w:val="FootnoteReference"/>
          <w:sz w:val="16"/>
          <w:szCs w:val="16"/>
        </w:rPr>
        <w:footnoteRef/>
      </w:r>
      <w:r w:rsidRPr="00CB2E6E">
        <w:rPr>
          <w:sz w:val="16"/>
          <w:szCs w:val="16"/>
        </w:rPr>
        <w:t xml:space="preserve"> </w:t>
      </w:r>
      <w:r w:rsidRPr="00CB2E6E">
        <w:rPr>
          <w:sz w:val="16"/>
          <w:szCs w:val="16"/>
          <w:lang w:val="nl-BE"/>
        </w:rPr>
        <w:t xml:space="preserve">Dit is alleen nodig als het toewijzingsreglement een doelgroep bevat die niet opgenomen is in art. 6.27, §1, tweede lid BVCW (zoals van kracht vanaf 1 januari 2024) </w:t>
      </w:r>
    </w:p>
  </w:footnote>
  <w:footnote w:id="3">
    <w:p w14:paraId="0554937C" w14:textId="7C3387CE" w:rsidR="00CB2E6E" w:rsidRPr="00CB2E6E" w:rsidRDefault="00CB2E6E">
      <w:pPr>
        <w:pStyle w:val="FootnoteText"/>
        <w:rPr>
          <w:lang w:val="nl-BE"/>
        </w:rPr>
      </w:pPr>
      <w:r w:rsidRPr="00CB2E6E">
        <w:rPr>
          <w:rStyle w:val="FootnoteReference"/>
          <w:sz w:val="16"/>
          <w:szCs w:val="16"/>
        </w:rPr>
        <w:footnoteRef/>
      </w:r>
      <w:r w:rsidRPr="00CB2E6E">
        <w:rPr>
          <w:sz w:val="16"/>
          <w:szCs w:val="16"/>
        </w:rPr>
        <w:t xml:space="preserve"> </w:t>
      </w:r>
      <w:r w:rsidRPr="00CB2E6E">
        <w:rPr>
          <w:sz w:val="16"/>
          <w:szCs w:val="16"/>
          <w:lang w:val="nl-BE"/>
        </w:rPr>
        <w:t>Als de toewijzingsraad kiest om wél rekening te houden met de langdurige woonbinding in het werkingsgebied van de woonmaatschappij, kan dit alleen mét consensus</w:t>
      </w:r>
      <w:r>
        <w:rPr>
          <w:lang w:val="nl-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F6BF2"/>
    <w:multiLevelType w:val="hybridMultilevel"/>
    <w:tmpl w:val="C1FED422"/>
    <w:lvl w:ilvl="0" w:tplc="3D2AD534">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44E845AF"/>
    <w:multiLevelType w:val="hybridMultilevel"/>
    <w:tmpl w:val="52C8331C"/>
    <w:lvl w:ilvl="0" w:tplc="4DB0C6E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3140EF"/>
    <w:multiLevelType w:val="hybridMultilevel"/>
    <w:tmpl w:val="2D80E476"/>
    <w:lvl w:ilvl="0" w:tplc="61F2FE4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77D867CD"/>
    <w:multiLevelType w:val="hybridMultilevel"/>
    <w:tmpl w:val="4746A2BC"/>
    <w:lvl w:ilvl="0" w:tplc="45A2D1FC">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862282850">
    <w:abstractNumId w:val="1"/>
  </w:num>
  <w:num w:numId="2" w16cid:durableId="572862552">
    <w:abstractNumId w:val="2"/>
  </w:num>
  <w:num w:numId="3" w16cid:durableId="1288657991">
    <w:abstractNumId w:val="3"/>
  </w:num>
  <w:num w:numId="4" w16cid:durableId="57945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4B"/>
    <w:rsid w:val="00011B74"/>
    <w:rsid w:val="00082B65"/>
    <w:rsid w:val="00095419"/>
    <w:rsid w:val="000B272E"/>
    <w:rsid w:val="000C323C"/>
    <w:rsid w:val="00171A11"/>
    <w:rsid w:val="00172730"/>
    <w:rsid w:val="001B1B72"/>
    <w:rsid w:val="001E1933"/>
    <w:rsid w:val="001F7A64"/>
    <w:rsid w:val="0020170A"/>
    <w:rsid w:val="002063BB"/>
    <w:rsid w:val="00260B64"/>
    <w:rsid w:val="0028106A"/>
    <w:rsid w:val="002904A9"/>
    <w:rsid w:val="002A21C9"/>
    <w:rsid w:val="002C56FF"/>
    <w:rsid w:val="00315129"/>
    <w:rsid w:val="003C0A91"/>
    <w:rsid w:val="003D4897"/>
    <w:rsid w:val="003E77B0"/>
    <w:rsid w:val="00404389"/>
    <w:rsid w:val="00415070"/>
    <w:rsid w:val="00440941"/>
    <w:rsid w:val="0046656C"/>
    <w:rsid w:val="00481149"/>
    <w:rsid w:val="004E5763"/>
    <w:rsid w:val="00501CD1"/>
    <w:rsid w:val="00513E47"/>
    <w:rsid w:val="0055040D"/>
    <w:rsid w:val="0055234B"/>
    <w:rsid w:val="00574D92"/>
    <w:rsid w:val="00593E80"/>
    <w:rsid w:val="005A6C6B"/>
    <w:rsid w:val="005E78A9"/>
    <w:rsid w:val="00644CC0"/>
    <w:rsid w:val="006461C7"/>
    <w:rsid w:val="00666A87"/>
    <w:rsid w:val="006C5028"/>
    <w:rsid w:val="006F3C58"/>
    <w:rsid w:val="00711DC3"/>
    <w:rsid w:val="00757AE8"/>
    <w:rsid w:val="007979E9"/>
    <w:rsid w:val="007E49A9"/>
    <w:rsid w:val="007E5074"/>
    <w:rsid w:val="007F079D"/>
    <w:rsid w:val="007F7C8F"/>
    <w:rsid w:val="00804FE7"/>
    <w:rsid w:val="00830CD1"/>
    <w:rsid w:val="008342F6"/>
    <w:rsid w:val="00837B9D"/>
    <w:rsid w:val="00865BA5"/>
    <w:rsid w:val="008B01A3"/>
    <w:rsid w:val="008C59AD"/>
    <w:rsid w:val="008F4C48"/>
    <w:rsid w:val="0090386E"/>
    <w:rsid w:val="009348C0"/>
    <w:rsid w:val="00984B03"/>
    <w:rsid w:val="00991418"/>
    <w:rsid w:val="009C5E80"/>
    <w:rsid w:val="009E0417"/>
    <w:rsid w:val="009E5217"/>
    <w:rsid w:val="00A421B6"/>
    <w:rsid w:val="00A47B1E"/>
    <w:rsid w:val="00A963CB"/>
    <w:rsid w:val="00AA7C66"/>
    <w:rsid w:val="00AB658F"/>
    <w:rsid w:val="00AE208E"/>
    <w:rsid w:val="00B13091"/>
    <w:rsid w:val="00B262D8"/>
    <w:rsid w:val="00B47C80"/>
    <w:rsid w:val="00B57FC7"/>
    <w:rsid w:val="00B91F6D"/>
    <w:rsid w:val="00BB6B59"/>
    <w:rsid w:val="00C26E13"/>
    <w:rsid w:val="00CB2E6E"/>
    <w:rsid w:val="00CB3DF8"/>
    <w:rsid w:val="00CD7B06"/>
    <w:rsid w:val="00D3624A"/>
    <w:rsid w:val="00D931B1"/>
    <w:rsid w:val="00DA5F61"/>
    <w:rsid w:val="00DC4487"/>
    <w:rsid w:val="00DC5759"/>
    <w:rsid w:val="00E470C3"/>
    <w:rsid w:val="00E84D61"/>
    <w:rsid w:val="00EC50BA"/>
    <w:rsid w:val="00ED0F74"/>
    <w:rsid w:val="00EE2259"/>
    <w:rsid w:val="00F070B0"/>
    <w:rsid w:val="00F21B8A"/>
    <w:rsid w:val="00F376F4"/>
    <w:rsid w:val="00FA6C20"/>
    <w:rsid w:val="00FC7762"/>
    <w:rsid w:val="00FD3730"/>
    <w:rsid w:val="00FE0764"/>
    <w:rsid w:val="00FE18B0"/>
    <w:rsid w:val="00FE37B2"/>
    <w:rsid w:val="0C28A40C"/>
    <w:rsid w:val="7E0D076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63E8"/>
  <w15:chartTrackingRefBased/>
  <w15:docId w15:val="{2DD449E5-DB85-4C92-8FA7-74B35953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4B"/>
    <w:pPr>
      <w:tabs>
        <w:tab w:val="right" w:pos="8505"/>
      </w:tabs>
      <w:spacing w:after="120" w:line="220" w:lineRule="exact"/>
      <w:jc w:val="both"/>
    </w:pPr>
    <w:rPr>
      <w:rFonts w:ascii="Arial" w:eastAsia="Times New Roman" w:hAnsi="Arial" w:cs="Times New Roman"/>
      <w:sz w:val="19"/>
      <w:szCs w:val="20"/>
      <w:lang w:val="nl-NL" w:eastAsia="nl-BE"/>
    </w:rPr>
  </w:style>
  <w:style w:type="paragraph" w:styleId="Heading2">
    <w:name w:val="heading 2"/>
    <w:basedOn w:val="Normal"/>
    <w:next w:val="Normal"/>
    <w:link w:val="Heading2Char"/>
    <w:uiPriority w:val="9"/>
    <w:unhideWhenUsed/>
    <w:qFormat/>
    <w:rsid w:val="005523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aliases w:val="niveau 5"/>
    <w:basedOn w:val="Normal"/>
    <w:next w:val="Normal"/>
    <w:link w:val="Heading7Char"/>
    <w:qFormat/>
    <w:rsid w:val="0055234B"/>
    <w:pPr>
      <w:keepNext/>
      <w:keepLines/>
      <w:spacing w:before="160"/>
      <w:outlineLvl w:val="6"/>
    </w:pPr>
    <w:rPr>
      <w:b/>
      <w:i/>
    </w:rPr>
  </w:style>
  <w:style w:type="paragraph" w:styleId="Heading8">
    <w:name w:val="heading 8"/>
    <w:aliases w:val="niveau 6"/>
    <w:basedOn w:val="Normal"/>
    <w:next w:val="Normal"/>
    <w:link w:val="Heading8Char"/>
    <w:qFormat/>
    <w:rsid w:val="0055234B"/>
    <w:pPr>
      <w:keepNext/>
      <w:keepLines/>
      <w:spacing w:before="160" w:line="240" w:lineRule="auto"/>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aliases w:val="niveau 5 Char"/>
    <w:basedOn w:val="DefaultParagraphFont"/>
    <w:link w:val="Heading7"/>
    <w:rsid w:val="0055234B"/>
    <w:rPr>
      <w:rFonts w:ascii="Arial" w:eastAsia="Times New Roman" w:hAnsi="Arial" w:cs="Times New Roman"/>
      <w:b/>
      <w:i/>
      <w:sz w:val="19"/>
      <w:szCs w:val="20"/>
      <w:lang w:val="nl-NL" w:eastAsia="nl-BE"/>
    </w:rPr>
  </w:style>
  <w:style w:type="character" w:customStyle="1" w:styleId="Heading8Char">
    <w:name w:val="Heading 8 Char"/>
    <w:aliases w:val="niveau 6 Char"/>
    <w:basedOn w:val="DefaultParagraphFont"/>
    <w:link w:val="Heading8"/>
    <w:rsid w:val="0055234B"/>
    <w:rPr>
      <w:rFonts w:ascii="Arial" w:eastAsia="Times New Roman" w:hAnsi="Arial" w:cs="Times New Roman"/>
      <w:i/>
      <w:sz w:val="19"/>
      <w:szCs w:val="20"/>
      <w:lang w:val="nl-NL" w:eastAsia="nl-BE"/>
    </w:rPr>
  </w:style>
  <w:style w:type="character" w:customStyle="1" w:styleId="Heading2Char">
    <w:name w:val="Heading 2 Char"/>
    <w:basedOn w:val="DefaultParagraphFont"/>
    <w:link w:val="Heading2"/>
    <w:uiPriority w:val="9"/>
    <w:rsid w:val="0055234B"/>
    <w:rPr>
      <w:rFonts w:asciiTheme="majorHAnsi" w:eastAsiaTheme="majorEastAsia" w:hAnsiTheme="majorHAnsi" w:cstheme="majorBidi"/>
      <w:color w:val="2F5496" w:themeColor="accent1" w:themeShade="BF"/>
      <w:sz w:val="26"/>
      <w:szCs w:val="26"/>
      <w:lang w:val="nl-NL" w:eastAsia="nl-BE"/>
    </w:rPr>
  </w:style>
  <w:style w:type="paragraph" w:styleId="ListParagraph">
    <w:name w:val="List Paragraph"/>
    <w:basedOn w:val="Normal"/>
    <w:uiPriority w:val="34"/>
    <w:qFormat/>
    <w:rsid w:val="0055234B"/>
    <w:pPr>
      <w:ind w:left="720"/>
      <w:contextualSpacing/>
    </w:pPr>
  </w:style>
  <w:style w:type="character" w:styleId="CommentReference">
    <w:name w:val="annotation reference"/>
    <w:basedOn w:val="DefaultParagraphFont"/>
    <w:uiPriority w:val="99"/>
    <w:semiHidden/>
    <w:unhideWhenUsed/>
    <w:rsid w:val="0055234B"/>
    <w:rPr>
      <w:sz w:val="16"/>
      <w:szCs w:val="16"/>
    </w:rPr>
  </w:style>
  <w:style w:type="paragraph" w:styleId="CommentText">
    <w:name w:val="annotation text"/>
    <w:basedOn w:val="Normal"/>
    <w:link w:val="CommentTextChar"/>
    <w:uiPriority w:val="99"/>
    <w:unhideWhenUsed/>
    <w:rsid w:val="0055234B"/>
    <w:pPr>
      <w:spacing w:line="240" w:lineRule="auto"/>
    </w:pPr>
    <w:rPr>
      <w:sz w:val="20"/>
    </w:rPr>
  </w:style>
  <w:style w:type="character" w:customStyle="1" w:styleId="CommentTextChar">
    <w:name w:val="Comment Text Char"/>
    <w:basedOn w:val="DefaultParagraphFont"/>
    <w:link w:val="CommentText"/>
    <w:uiPriority w:val="99"/>
    <w:rsid w:val="0055234B"/>
    <w:rPr>
      <w:rFonts w:ascii="Arial" w:eastAsia="Times New Roman" w:hAnsi="Arial" w:cs="Times New Roman"/>
      <w:sz w:val="20"/>
      <w:szCs w:val="20"/>
      <w:lang w:val="nl-NL" w:eastAsia="nl-BE"/>
    </w:rPr>
  </w:style>
  <w:style w:type="paragraph" w:styleId="CommentSubject">
    <w:name w:val="annotation subject"/>
    <w:basedOn w:val="CommentText"/>
    <w:next w:val="CommentText"/>
    <w:link w:val="CommentSubjectChar"/>
    <w:uiPriority w:val="99"/>
    <w:semiHidden/>
    <w:unhideWhenUsed/>
    <w:rsid w:val="0055234B"/>
    <w:rPr>
      <w:b/>
      <w:bCs/>
    </w:rPr>
  </w:style>
  <w:style w:type="character" w:customStyle="1" w:styleId="CommentSubjectChar">
    <w:name w:val="Comment Subject Char"/>
    <w:basedOn w:val="CommentTextChar"/>
    <w:link w:val="CommentSubject"/>
    <w:uiPriority w:val="99"/>
    <w:semiHidden/>
    <w:rsid w:val="0055234B"/>
    <w:rPr>
      <w:rFonts w:ascii="Arial" w:eastAsia="Times New Roman" w:hAnsi="Arial" w:cs="Times New Roman"/>
      <w:b/>
      <w:bCs/>
      <w:sz w:val="20"/>
      <w:szCs w:val="20"/>
      <w:lang w:val="nl-NL" w:eastAsia="nl-BE"/>
    </w:rPr>
  </w:style>
  <w:style w:type="character" w:styleId="Hyperlink">
    <w:name w:val="Hyperlink"/>
    <w:basedOn w:val="DefaultParagraphFont"/>
    <w:uiPriority w:val="99"/>
    <w:semiHidden/>
    <w:unhideWhenUsed/>
    <w:rsid w:val="00404389"/>
    <w:rPr>
      <w:color w:val="0563C1" w:themeColor="hyperlink"/>
      <w:u w:val="single"/>
    </w:rPr>
  </w:style>
  <w:style w:type="table" w:styleId="TableGrid">
    <w:name w:val="Table Grid"/>
    <w:basedOn w:val="TableNormal"/>
    <w:uiPriority w:val="39"/>
    <w:rsid w:val="004043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1DC3"/>
    <w:pPr>
      <w:spacing w:after="0" w:line="240" w:lineRule="auto"/>
    </w:pPr>
    <w:rPr>
      <w:sz w:val="20"/>
    </w:rPr>
  </w:style>
  <w:style w:type="character" w:customStyle="1" w:styleId="FootnoteTextChar">
    <w:name w:val="Footnote Text Char"/>
    <w:basedOn w:val="DefaultParagraphFont"/>
    <w:link w:val="FootnoteText"/>
    <w:uiPriority w:val="99"/>
    <w:semiHidden/>
    <w:rsid w:val="00711DC3"/>
    <w:rPr>
      <w:rFonts w:ascii="Arial" w:eastAsia="Times New Roman" w:hAnsi="Arial" w:cs="Times New Roman"/>
      <w:sz w:val="20"/>
      <w:szCs w:val="20"/>
      <w:lang w:val="nl-NL" w:eastAsia="nl-BE"/>
    </w:rPr>
  </w:style>
  <w:style w:type="character" w:styleId="FootnoteReference">
    <w:name w:val="footnote reference"/>
    <w:basedOn w:val="DefaultParagraphFont"/>
    <w:uiPriority w:val="99"/>
    <w:semiHidden/>
    <w:unhideWhenUsed/>
    <w:rsid w:val="00711DC3"/>
    <w:rPr>
      <w:vertAlign w:val="superscript"/>
    </w:rPr>
  </w:style>
  <w:style w:type="paragraph" w:styleId="Header">
    <w:name w:val="header"/>
    <w:basedOn w:val="Normal"/>
    <w:link w:val="HeaderChar"/>
    <w:uiPriority w:val="99"/>
    <w:semiHidden/>
    <w:unhideWhenUsed/>
    <w:rsid w:val="00991418"/>
    <w:pPr>
      <w:tabs>
        <w:tab w:val="clear" w:pos="8505"/>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91418"/>
    <w:rPr>
      <w:rFonts w:ascii="Arial" w:eastAsia="Times New Roman" w:hAnsi="Arial" w:cs="Times New Roman"/>
      <w:sz w:val="19"/>
      <w:szCs w:val="20"/>
      <w:lang w:val="nl-NL" w:eastAsia="nl-BE"/>
    </w:rPr>
  </w:style>
  <w:style w:type="paragraph" w:styleId="Footer">
    <w:name w:val="footer"/>
    <w:basedOn w:val="Normal"/>
    <w:link w:val="FooterChar"/>
    <w:uiPriority w:val="99"/>
    <w:semiHidden/>
    <w:unhideWhenUsed/>
    <w:rsid w:val="00991418"/>
    <w:pPr>
      <w:tabs>
        <w:tab w:val="clear" w:pos="8505"/>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91418"/>
    <w:rPr>
      <w:rFonts w:ascii="Arial" w:eastAsia="Times New Roman" w:hAnsi="Arial" w:cs="Times New Roman"/>
      <w:sz w:val="19"/>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134113">
      <w:bodyDiv w:val="1"/>
      <w:marLeft w:val="0"/>
      <w:marRight w:val="0"/>
      <w:marTop w:val="0"/>
      <w:marBottom w:val="0"/>
      <w:divBdr>
        <w:top w:val="none" w:sz="0" w:space="0" w:color="auto"/>
        <w:left w:val="none" w:sz="0" w:space="0" w:color="auto"/>
        <w:bottom w:val="none" w:sz="0" w:space="0" w:color="auto"/>
        <w:right w:val="none" w:sz="0" w:space="0" w:color="auto"/>
      </w:divBdr>
    </w:div>
    <w:div w:id="127127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F4BDBC08F7354FB42D8CB7B9EF9E65" ma:contentTypeVersion="11" ma:contentTypeDescription="Een nieuw document maken." ma:contentTypeScope="" ma:versionID="dfadead5140c3109bb4402f22ed0cd28">
  <xsd:schema xmlns:xsd="http://www.w3.org/2001/XMLSchema" xmlns:xs="http://www.w3.org/2001/XMLSchema" xmlns:p="http://schemas.microsoft.com/office/2006/metadata/properties" xmlns:ns2="9ea25605-44a0-48d4-9bf4-eef201ddc677" xmlns:ns3="825701b4-d556-42ed-9474-979b155a2c4f" targetNamespace="http://schemas.microsoft.com/office/2006/metadata/properties" ma:root="true" ma:fieldsID="60a12e0eb806bba85c19636879f3414c" ns2:_="" ns3:_="">
    <xsd:import namespace="9ea25605-44a0-48d4-9bf4-eef201ddc677"/>
    <xsd:import namespace="825701b4-d556-42ed-9474-979b155a2c4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25605-44a0-48d4-9bf4-eef201ddc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701b4-d556-42ed-9474-979b155a2c4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32669-4085-48FC-883B-74B5578E8F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56C0B-93BD-4807-8C9C-1E19EC9A4078}">
  <ds:schemaRefs>
    <ds:schemaRef ds:uri="http://schemas.openxmlformats.org/officeDocument/2006/bibliography"/>
  </ds:schemaRefs>
</ds:datastoreItem>
</file>

<file path=customXml/itemProps3.xml><?xml version="1.0" encoding="utf-8"?>
<ds:datastoreItem xmlns:ds="http://schemas.openxmlformats.org/officeDocument/2006/customXml" ds:itemID="{85FA3B14-4F78-4722-8D31-91CF821C2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25605-44a0-48d4-9bf4-eef201ddc677"/>
    <ds:schemaRef ds:uri="825701b4-d556-42ed-9474-979b155a2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41139-2934-45FF-BCF8-ED183333D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888</Words>
  <Characters>5068</Characters>
  <Application>Microsoft Office Word</Application>
  <DocSecurity>4</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Acker Nina</dc:creator>
  <cp:keywords/>
  <dc:description/>
  <cp:lastModifiedBy>Van Acker Nina</cp:lastModifiedBy>
  <cp:revision>36</cp:revision>
  <dcterms:created xsi:type="dcterms:W3CDTF">2023-08-18T08:15:00Z</dcterms:created>
  <dcterms:modified xsi:type="dcterms:W3CDTF">2023-09-11T11:23:00Z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0x01010035F4BDBC08F7354FB42D8CB7B9EF9E65</vt:lpwstr>
  </property>
</Properties>
</file>