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518BC" w14:textId="77777777" w:rsidR="00907AFD" w:rsidRDefault="00FB3C30">
      <w:pPr>
        <w:rPr>
          <w:b/>
          <w:bCs/>
        </w:rPr>
      </w:pPr>
      <w:r w:rsidRPr="00FB3C30">
        <w:rPr>
          <w:b/>
          <w:bCs/>
        </w:rPr>
        <w:t xml:space="preserve">Model gemeenteraadsbesluit </w:t>
      </w:r>
    </w:p>
    <w:p w14:paraId="21F1AE39" w14:textId="3831E092" w:rsidR="00FB3C30" w:rsidRDefault="00907AFD">
      <w:pPr>
        <w:rPr>
          <w:b/>
          <w:bCs/>
        </w:rPr>
      </w:pPr>
      <w:r>
        <w:rPr>
          <w:b/>
          <w:bCs/>
        </w:rPr>
        <w:t xml:space="preserve">Afbakening </w:t>
      </w:r>
      <w:r w:rsidR="00FB3C30" w:rsidRPr="00FB3C30">
        <w:rPr>
          <w:b/>
          <w:bCs/>
        </w:rPr>
        <w:t xml:space="preserve">Recht van Voorkoop </w:t>
      </w:r>
      <w:r>
        <w:rPr>
          <w:b/>
          <w:bCs/>
        </w:rPr>
        <w:t>‘</w:t>
      </w:r>
      <w:r w:rsidR="00FB3C30" w:rsidRPr="00FB3C30">
        <w:rPr>
          <w:b/>
          <w:bCs/>
        </w:rPr>
        <w:t>Vlaamse Codex Wonen</w:t>
      </w:r>
      <w:r>
        <w:rPr>
          <w:b/>
          <w:bCs/>
        </w:rPr>
        <w:t>’</w:t>
      </w:r>
    </w:p>
    <w:p w14:paraId="04362733" w14:textId="6548E2E1" w:rsidR="00FB3C30" w:rsidRDefault="00FB3C30">
      <w:pPr>
        <w:rPr>
          <w:b/>
          <w:bCs/>
        </w:rPr>
      </w:pPr>
    </w:p>
    <w:p w14:paraId="3834BF0F" w14:textId="57C57977" w:rsidR="00907AFD" w:rsidRDefault="00907AFD">
      <w:pPr>
        <w:rPr>
          <w:b/>
          <w:bCs/>
        </w:rPr>
      </w:pPr>
      <w:r>
        <w:rPr>
          <w:b/>
          <w:bCs/>
        </w:rPr>
        <w:t>Aanleiding en context</w:t>
      </w:r>
    </w:p>
    <w:p w14:paraId="0D3A3058" w14:textId="4824116E" w:rsidR="00D73B37" w:rsidRDefault="00FF3AC4">
      <w:r>
        <w:t>De artikelen 60 tot en met 65 van het decreet van 21 april 2023 ‘tot wijziging van diverse decreten met betr</w:t>
      </w:r>
      <w:r w:rsidR="0972AEDA">
        <w:t>e</w:t>
      </w:r>
      <w:r>
        <w:t xml:space="preserve">kking tot wonen’ hebben de regeling van het voorkooprecht in deel 6 van boek 5 van de Vlaamse Codex Wonen (VCW) van 2021 </w:t>
      </w:r>
      <w:r w:rsidR="00D73B37">
        <w:t>met ingang van 9 juni 2023</w:t>
      </w:r>
      <w:r>
        <w:t xml:space="preserve"> gewijzigd. </w:t>
      </w:r>
    </w:p>
    <w:p w14:paraId="4BBCD0DB" w14:textId="54E0724B" w:rsidR="00FF3AC4" w:rsidRDefault="00FF3AC4">
      <w:r>
        <w:t xml:space="preserve">Het functioneel voorkooprecht op basis van </w:t>
      </w:r>
      <w:r w:rsidR="008E1896">
        <w:t xml:space="preserve">het leegstandsregister, het </w:t>
      </w:r>
      <w:r w:rsidR="008F081B">
        <w:t>register van verwaarloosde woningen en gebouwen</w:t>
      </w:r>
      <w:r>
        <w:t xml:space="preserve"> en de Vlaamse inventaris </w:t>
      </w:r>
      <w:r w:rsidR="000406D5">
        <w:t xml:space="preserve">voor </w:t>
      </w:r>
      <w:r>
        <w:t>ongeschikt</w:t>
      </w:r>
      <w:r w:rsidR="000406D5">
        <w:t>e</w:t>
      </w:r>
      <w:r>
        <w:t xml:space="preserve"> en onbewoonba</w:t>
      </w:r>
      <w:r w:rsidR="000406D5">
        <w:t>re woningen</w:t>
      </w:r>
      <w:r>
        <w:t xml:space="preserve"> (VIVOO) werd geschrapt.</w:t>
      </w:r>
    </w:p>
    <w:p w14:paraId="0F7890F2" w14:textId="6C7D5BC8" w:rsidR="00430948" w:rsidRDefault="00430948">
      <w:r w:rsidRPr="00430948">
        <w:t>Het aantal begunstigden van het recht van voorkoop</w:t>
      </w:r>
      <w:r w:rsidR="008C3094">
        <w:t xml:space="preserve"> op basis van de Vlaamse Codex Wonen</w:t>
      </w:r>
      <w:r w:rsidRPr="00430948">
        <w:t xml:space="preserve"> </w:t>
      </w:r>
      <w:r>
        <w:t>werd</w:t>
      </w:r>
      <w:r w:rsidRPr="00430948">
        <w:t xml:space="preserve"> beperkt tot de woonmaatschappijen</w:t>
      </w:r>
      <w:r w:rsidR="00795793">
        <w:t>,</w:t>
      </w:r>
      <w:r>
        <w:t xml:space="preserve"> </w:t>
      </w:r>
      <w:r w:rsidRPr="00430948">
        <w:rPr>
          <w:shd w:val="clear" w:color="auto" w:fill="FBE4D5" w:themeFill="accent2" w:themeFillTint="33"/>
        </w:rPr>
        <w:t>[</w:t>
      </w:r>
      <w:proofErr w:type="spellStart"/>
      <w:r w:rsidRPr="00430948">
        <w:rPr>
          <w:shd w:val="clear" w:color="auto" w:fill="FBE4D5" w:themeFill="accent2" w:themeFillTint="33"/>
        </w:rPr>
        <w:t>Vlabinvest</w:t>
      </w:r>
      <w:proofErr w:type="spellEnd"/>
      <w:r w:rsidRPr="00430948">
        <w:rPr>
          <w:shd w:val="clear" w:color="auto" w:fill="FBE4D5" w:themeFill="accent2" w:themeFillTint="33"/>
        </w:rPr>
        <w:t xml:space="preserve"> </w:t>
      </w:r>
      <w:proofErr w:type="spellStart"/>
      <w:r w:rsidRPr="00430948">
        <w:rPr>
          <w:shd w:val="clear" w:color="auto" w:fill="FBE4D5" w:themeFill="accent2" w:themeFillTint="33"/>
        </w:rPr>
        <w:t>apb</w:t>
      </w:r>
      <w:proofErr w:type="spellEnd"/>
      <w:r>
        <w:t>]</w:t>
      </w:r>
      <w:r w:rsidRPr="00430948">
        <w:t xml:space="preserve"> en de gemeenten. </w:t>
      </w:r>
      <w:r w:rsidR="00FF3AC4">
        <w:t>Ook de bestemming is gewijzigd: d</w:t>
      </w:r>
      <w:r w:rsidRPr="00430948">
        <w:t>e woonmaatschappij</w:t>
      </w:r>
      <w:r>
        <w:t xml:space="preserve"> </w:t>
      </w:r>
      <w:r w:rsidR="258433AD">
        <w:t xml:space="preserve">en de gemeente </w:t>
      </w:r>
      <w:r w:rsidR="228096DB" w:rsidRPr="00430948">
        <w:t xml:space="preserve">kunnen </w:t>
      </w:r>
      <w:r w:rsidRPr="00430948">
        <w:t xml:space="preserve">het recht van voorkoop uitoefenen met het oog op de verruiming of ter ondersteuning van het woonaanbod in eigendom of beheer van de woonmaatschappij. </w:t>
      </w:r>
    </w:p>
    <w:p w14:paraId="40CB13A6" w14:textId="3C3D395B" w:rsidR="00907AFD" w:rsidRDefault="00430948">
      <w:r>
        <w:t>[</w:t>
      </w:r>
      <w:proofErr w:type="spellStart"/>
      <w:r w:rsidRPr="00430948">
        <w:rPr>
          <w:shd w:val="clear" w:color="auto" w:fill="FBE4D5" w:themeFill="accent2" w:themeFillTint="33"/>
        </w:rPr>
        <w:t>Vlabinvest</w:t>
      </w:r>
      <w:proofErr w:type="spellEnd"/>
      <w:r w:rsidRPr="00430948">
        <w:rPr>
          <w:shd w:val="clear" w:color="auto" w:fill="FBE4D5" w:themeFill="accent2" w:themeFillTint="33"/>
        </w:rPr>
        <w:t xml:space="preserve"> </w:t>
      </w:r>
      <w:proofErr w:type="spellStart"/>
      <w:r w:rsidRPr="00430948">
        <w:rPr>
          <w:shd w:val="clear" w:color="auto" w:fill="FBE4D5" w:themeFill="accent2" w:themeFillTint="33"/>
        </w:rPr>
        <w:t>apb</w:t>
      </w:r>
      <w:proofErr w:type="spellEnd"/>
      <w:r w:rsidRPr="00430948">
        <w:rPr>
          <w:shd w:val="clear" w:color="auto" w:fill="FBE4D5" w:themeFill="accent2" w:themeFillTint="33"/>
        </w:rPr>
        <w:t xml:space="preserve"> kan via dit recht van voorkoop een actief grond- en pandenbeleid voeren in zijn werkingsgebied om te zorgen voor een betaalbaar woonaanbod ten behoeve van modale inkomenstrekkers.</w:t>
      </w:r>
      <w:r>
        <w:t>]</w:t>
      </w:r>
    </w:p>
    <w:p w14:paraId="48A04D6B" w14:textId="6BC3847E" w:rsidR="00DC51F8" w:rsidRDefault="00DC51F8" w:rsidP="00430948">
      <w:pPr>
        <w:shd w:val="clear" w:color="auto" w:fill="FFFFFF"/>
        <w:spacing w:after="0" w:line="240" w:lineRule="auto"/>
      </w:pPr>
      <w:r>
        <w:t xml:space="preserve">Sinds 9 juni 2023 </w:t>
      </w:r>
      <w:r w:rsidR="00FF3AC4">
        <w:t>is</w:t>
      </w:r>
      <w:r>
        <w:t xml:space="preserve"> het</w:t>
      </w:r>
      <w:r w:rsidR="00430948" w:rsidRPr="00430948">
        <w:t xml:space="preserve"> de gemeente die een afbakening maakt van percelen en gebouwen waarop het recht van voorkoop van toepassing is. </w:t>
      </w:r>
      <w:r w:rsidR="00AA3F17">
        <w:t>Alleen</w:t>
      </w:r>
      <w:r>
        <w:t xml:space="preserve"> percelen en </w:t>
      </w:r>
      <w:r w:rsidRPr="00DC51F8">
        <w:t xml:space="preserve">gebouwen </w:t>
      </w:r>
      <w:r>
        <w:t>gelegen</w:t>
      </w:r>
      <w:r w:rsidRPr="00DC51F8">
        <w:t xml:space="preserve"> in een zone bestemd voor wonen</w:t>
      </w:r>
      <w:r>
        <w:t xml:space="preserve"> komen in aanmerking</w:t>
      </w:r>
      <w:r w:rsidRPr="00DC51F8">
        <w:t>.</w:t>
      </w:r>
      <w:r>
        <w:t xml:space="preserve"> </w:t>
      </w:r>
    </w:p>
    <w:p w14:paraId="00BA2B85" w14:textId="732B4DED" w:rsidR="00430948" w:rsidRDefault="00430948" w:rsidP="4EFF94FA">
      <w:pPr>
        <w:shd w:val="clear" w:color="auto" w:fill="FFFFFF" w:themeFill="background1"/>
        <w:spacing w:after="0" w:line="240" w:lineRule="auto"/>
      </w:pPr>
      <w:r>
        <w:t>De afbakening moet bij gemeenteraadsbesluit gebeuren</w:t>
      </w:r>
      <w:r w:rsidR="001031B4">
        <w:t xml:space="preserve"> en </w:t>
      </w:r>
      <w:r w:rsidR="00545507">
        <w:t>voldoende onderbouwd zijn.</w:t>
      </w:r>
      <w:r w:rsidR="003A705E">
        <w:t xml:space="preserve"> </w:t>
      </w:r>
      <w:r w:rsidR="00545507">
        <w:t xml:space="preserve">De gemeente houdt daarbij rekening met </w:t>
      </w:r>
      <w:r w:rsidR="001031B4">
        <w:t xml:space="preserve">het gevoerde huisvestingsbeleid, </w:t>
      </w:r>
      <w:r w:rsidR="003A705E">
        <w:t xml:space="preserve">aangezien </w:t>
      </w:r>
      <w:r w:rsidR="001031B4">
        <w:t>het perceel of gebouw dat door de uitoefening van het recht van voorkoop is gekocht</w:t>
      </w:r>
      <w:r w:rsidR="003A705E">
        <w:t>, een specifieke bestemming moet hebben</w:t>
      </w:r>
      <w:r w:rsidR="001031B4">
        <w:t xml:space="preserve">. </w:t>
      </w:r>
    </w:p>
    <w:p w14:paraId="1B2D5078" w14:textId="15AD807C" w:rsidR="4EFF94FA" w:rsidRDefault="4EFF94FA" w:rsidP="4EFF94FA">
      <w:pPr>
        <w:shd w:val="clear" w:color="auto" w:fill="FFFFFF" w:themeFill="background1"/>
        <w:spacing w:after="0" w:line="240" w:lineRule="auto"/>
      </w:pPr>
    </w:p>
    <w:p w14:paraId="40092BE6" w14:textId="78783AE2" w:rsidR="70D5AEBA" w:rsidRDefault="70D5AEBA" w:rsidP="4EFF94FA">
      <w:pPr>
        <w:shd w:val="clear" w:color="auto" w:fill="FFFFFF" w:themeFill="background1"/>
        <w:spacing w:after="0" w:line="240" w:lineRule="auto"/>
        <w:rPr>
          <w:rFonts w:ascii="Calibri" w:eastAsia="Calibri" w:hAnsi="Calibri" w:cs="Calibri"/>
          <w:color w:val="000000" w:themeColor="text1"/>
          <w:sz w:val="21"/>
          <w:szCs w:val="21"/>
        </w:rPr>
      </w:pPr>
      <w:r>
        <w:t xml:space="preserve">Artikel 5.76, </w:t>
      </w:r>
      <w:r w:rsidRPr="4EFF94FA">
        <w:rPr>
          <w:rFonts w:ascii="Calibri" w:eastAsia="Calibri" w:hAnsi="Calibri" w:cs="Calibri"/>
          <w:color w:val="000000" w:themeColor="text1"/>
          <w:sz w:val="21"/>
          <w:szCs w:val="21"/>
        </w:rPr>
        <w:t xml:space="preserve">§3 van de Vlaamse Codex Wonen voorziet uitzonderingen </w:t>
      </w:r>
      <w:r w:rsidR="74860F81" w:rsidRPr="4EFF94FA">
        <w:rPr>
          <w:rFonts w:ascii="Calibri" w:eastAsia="Calibri" w:hAnsi="Calibri" w:cs="Calibri"/>
          <w:color w:val="000000" w:themeColor="text1"/>
          <w:sz w:val="21"/>
          <w:szCs w:val="21"/>
        </w:rPr>
        <w:t xml:space="preserve">op </w:t>
      </w:r>
      <w:r w:rsidR="7CA1A79C" w:rsidRPr="4EFF94FA">
        <w:rPr>
          <w:rFonts w:ascii="Calibri" w:eastAsia="Calibri" w:hAnsi="Calibri" w:cs="Calibri"/>
          <w:color w:val="000000" w:themeColor="text1"/>
          <w:sz w:val="21"/>
          <w:szCs w:val="21"/>
        </w:rPr>
        <w:t xml:space="preserve">het </w:t>
      </w:r>
      <w:r w:rsidR="67B8E2B9" w:rsidRPr="4EFF94FA">
        <w:rPr>
          <w:rFonts w:ascii="Calibri" w:eastAsia="Calibri" w:hAnsi="Calibri" w:cs="Calibri"/>
          <w:color w:val="000000" w:themeColor="text1"/>
          <w:sz w:val="21"/>
          <w:szCs w:val="21"/>
        </w:rPr>
        <w:t>r</w:t>
      </w:r>
      <w:r w:rsidRPr="4EFF94FA">
        <w:rPr>
          <w:rFonts w:ascii="Calibri" w:eastAsia="Calibri" w:hAnsi="Calibri" w:cs="Calibri"/>
          <w:color w:val="000000" w:themeColor="text1"/>
          <w:sz w:val="21"/>
          <w:szCs w:val="21"/>
        </w:rPr>
        <w:t>echt van</w:t>
      </w:r>
      <w:r w:rsidR="0DA83AAC" w:rsidRPr="4EFF94FA">
        <w:rPr>
          <w:rFonts w:ascii="Calibri" w:eastAsia="Calibri" w:hAnsi="Calibri" w:cs="Calibri"/>
          <w:color w:val="000000" w:themeColor="text1"/>
          <w:sz w:val="21"/>
          <w:szCs w:val="21"/>
        </w:rPr>
        <w:t xml:space="preserve"> v</w:t>
      </w:r>
      <w:r w:rsidRPr="4EFF94FA">
        <w:rPr>
          <w:rFonts w:ascii="Calibri" w:eastAsia="Calibri" w:hAnsi="Calibri" w:cs="Calibri"/>
          <w:color w:val="000000" w:themeColor="text1"/>
          <w:sz w:val="21"/>
          <w:szCs w:val="21"/>
        </w:rPr>
        <w:t>oorkoop</w:t>
      </w:r>
      <w:r w:rsidR="12F13424" w:rsidRPr="4EFF94FA">
        <w:rPr>
          <w:rFonts w:ascii="Calibri" w:eastAsia="Calibri" w:hAnsi="Calibri" w:cs="Calibri"/>
          <w:color w:val="000000" w:themeColor="text1"/>
          <w:sz w:val="21"/>
          <w:szCs w:val="21"/>
        </w:rPr>
        <w:t>.</w:t>
      </w:r>
      <w:r w:rsidRPr="4EFF94FA">
        <w:rPr>
          <w:rFonts w:ascii="Calibri" w:eastAsia="Calibri" w:hAnsi="Calibri" w:cs="Calibri"/>
          <w:color w:val="000000" w:themeColor="text1"/>
          <w:sz w:val="21"/>
          <w:szCs w:val="21"/>
        </w:rPr>
        <w:t xml:space="preserve"> </w:t>
      </w:r>
      <w:r w:rsidR="65A51892" w:rsidRPr="4EFF94FA">
        <w:rPr>
          <w:rFonts w:ascii="Calibri" w:eastAsia="Calibri" w:hAnsi="Calibri" w:cs="Calibri"/>
          <w:color w:val="000000" w:themeColor="text1"/>
          <w:sz w:val="21"/>
          <w:szCs w:val="21"/>
        </w:rPr>
        <w:t>Z</w:t>
      </w:r>
      <w:r w:rsidRPr="4EFF94FA">
        <w:rPr>
          <w:rFonts w:ascii="Calibri" w:eastAsia="Calibri" w:hAnsi="Calibri" w:cs="Calibri"/>
          <w:color w:val="000000" w:themeColor="text1"/>
          <w:sz w:val="21"/>
          <w:szCs w:val="21"/>
        </w:rPr>
        <w:t xml:space="preserve">o </w:t>
      </w:r>
      <w:r w:rsidR="003A705E">
        <w:rPr>
          <w:rFonts w:ascii="Calibri" w:eastAsia="Calibri" w:hAnsi="Calibri" w:cs="Calibri"/>
          <w:color w:val="000000" w:themeColor="text1"/>
          <w:sz w:val="21"/>
          <w:szCs w:val="21"/>
        </w:rPr>
        <w:t>wordt</w:t>
      </w:r>
      <w:r w:rsidR="1F57364D" w:rsidRPr="4EFF94FA">
        <w:rPr>
          <w:rFonts w:ascii="Calibri" w:eastAsia="Calibri" w:hAnsi="Calibri" w:cs="Calibri"/>
          <w:color w:val="000000" w:themeColor="text1"/>
          <w:sz w:val="21"/>
          <w:szCs w:val="21"/>
        </w:rPr>
        <w:t xml:space="preserve"> </w:t>
      </w:r>
      <w:r w:rsidRPr="4EFF94FA">
        <w:rPr>
          <w:rFonts w:ascii="Calibri" w:eastAsia="Calibri" w:hAnsi="Calibri" w:cs="Calibri"/>
          <w:color w:val="000000" w:themeColor="text1"/>
          <w:sz w:val="21"/>
          <w:szCs w:val="21"/>
        </w:rPr>
        <w:t xml:space="preserve">het </w:t>
      </w:r>
      <w:r w:rsidR="003A705E">
        <w:rPr>
          <w:rFonts w:ascii="Calibri" w:eastAsia="Calibri" w:hAnsi="Calibri" w:cs="Calibri"/>
          <w:color w:val="000000" w:themeColor="text1"/>
          <w:sz w:val="21"/>
          <w:szCs w:val="21"/>
        </w:rPr>
        <w:t>recht van voorkoop</w:t>
      </w:r>
      <w:r w:rsidRPr="4EFF94FA">
        <w:rPr>
          <w:rFonts w:ascii="Calibri" w:eastAsia="Calibri" w:hAnsi="Calibri" w:cs="Calibri"/>
          <w:color w:val="000000" w:themeColor="text1"/>
          <w:sz w:val="21"/>
          <w:szCs w:val="21"/>
        </w:rPr>
        <w:t xml:space="preserve"> niet aangeboden in</w:t>
      </w:r>
      <w:r w:rsidR="4A45BD11" w:rsidRPr="4EFF94FA">
        <w:rPr>
          <w:rFonts w:ascii="Calibri" w:eastAsia="Calibri" w:hAnsi="Calibri" w:cs="Calibri"/>
          <w:color w:val="000000" w:themeColor="text1"/>
          <w:sz w:val="21"/>
          <w:szCs w:val="21"/>
        </w:rPr>
        <w:t xml:space="preserve"> geval van </w:t>
      </w:r>
      <w:r w:rsidR="00C25575">
        <w:rPr>
          <w:rFonts w:ascii="Calibri" w:eastAsia="Calibri" w:hAnsi="Calibri" w:cs="Calibri"/>
          <w:color w:val="000000" w:themeColor="text1"/>
          <w:sz w:val="21"/>
          <w:szCs w:val="21"/>
        </w:rPr>
        <w:t>een</w:t>
      </w:r>
      <w:r w:rsidR="00C25575" w:rsidRPr="4EFF94FA">
        <w:rPr>
          <w:rFonts w:ascii="Calibri" w:eastAsia="Calibri" w:hAnsi="Calibri" w:cs="Calibri"/>
          <w:color w:val="000000" w:themeColor="text1"/>
          <w:sz w:val="21"/>
          <w:szCs w:val="21"/>
        </w:rPr>
        <w:t xml:space="preserve"> </w:t>
      </w:r>
      <w:r w:rsidR="639FF4A4" w:rsidRPr="4EFF94FA">
        <w:rPr>
          <w:rFonts w:ascii="Calibri" w:eastAsia="Calibri" w:hAnsi="Calibri" w:cs="Calibri"/>
          <w:color w:val="000000" w:themeColor="text1"/>
          <w:sz w:val="21"/>
          <w:szCs w:val="21"/>
        </w:rPr>
        <w:t xml:space="preserve">particuliere </w:t>
      </w:r>
      <w:r w:rsidR="4A45BD11" w:rsidRPr="4EFF94FA">
        <w:rPr>
          <w:rFonts w:ascii="Calibri" w:eastAsia="Calibri" w:hAnsi="Calibri" w:cs="Calibri"/>
          <w:color w:val="000000" w:themeColor="text1"/>
          <w:sz w:val="21"/>
          <w:szCs w:val="21"/>
        </w:rPr>
        <w:t>aankoop van een eerste en enige gezinswoning, of een perceel bouwgrond, met het oog op eigen bewoning.</w:t>
      </w:r>
    </w:p>
    <w:p w14:paraId="1F8015D7" w14:textId="0FD29520" w:rsidR="001031B4" w:rsidRDefault="001031B4" w:rsidP="00430948">
      <w:pPr>
        <w:shd w:val="clear" w:color="auto" w:fill="FFFFFF"/>
        <w:spacing w:after="0" w:line="240" w:lineRule="auto"/>
      </w:pPr>
    </w:p>
    <w:p w14:paraId="64F79794" w14:textId="231E3879" w:rsidR="00643F33" w:rsidRPr="00430948" w:rsidRDefault="00E0175A" w:rsidP="4EFF94FA">
      <w:pPr>
        <w:shd w:val="clear" w:color="auto" w:fill="FFFFFF" w:themeFill="background1"/>
        <w:spacing w:after="0" w:line="240" w:lineRule="auto"/>
      </w:pPr>
      <w:r>
        <w:t>De gemaakte afbakening geldt voor maximaal 15 jaar</w:t>
      </w:r>
      <w:r w:rsidR="00270E55">
        <w:t xml:space="preserve"> vanaf</w:t>
      </w:r>
      <w:r w:rsidR="00453213">
        <w:t xml:space="preserve"> de inwerkingtreding van het gemeenteraadsbesluit</w:t>
      </w:r>
      <w:r>
        <w:t xml:space="preserve">. </w:t>
      </w:r>
      <w:r w:rsidR="00643F33">
        <w:t>Zij is pas uitvoerbaar indien de afbakening via het digitaal platform Recht van Voorkoop is aangeleverd en zichtbaar is in het themabestand</w:t>
      </w:r>
      <w:r w:rsidR="00FF3AC4">
        <w:t xml:space="preserve"> ‘Recht van Voorkoop’, te raadplegen via Geopunt</w:t>
      </w:r>
      <w:r w:rsidR="00643F33">
        <w:t>.</w:t>
      </w:r>
    </w:p>
    <w:p w14:paraId="5CEBDBEB" w14:textId="5F60B87C" w:rsidR="00430948" w:rsidRDefault="00430948" w:rsidP="00430948">
      <w:pPr>
        <w:shd w:val="clear" w:color="auto" w:fill="FFFFFF"/>
        <w:spacing w:after="0" w:line="240" w:lineRule="auto"/>
        <w:rPr>
          <w:rFonts w:ascii="Arial" w:eastAsia="Times New Roman" w:hAnsi="Arial" w:cs="Arial"/>
          <w:color w:val="000000"/>
          <w:sz w:val="28"/>
          <w:szCs w:val="28"/>
          <w:lang w:eastAsia="nl-BE"/>
        </w:rPr>
      </w:pPr>
    </w:p>
    <w:p w14:paraId="286AA729" w14:textId="782CAF2A" w:rsidR="00FB3C30" w:rsidRDefault="00FB3C30">
      <w:pPr>
        <w:rPr>
          <w:b/>
          <w:bCs/>
        </w:rPr>
      </w:pPr>
      <w:r>
        <w:rPr>
          <w:b/>
          <w:bCs/>
        </w:rPr>
        <w:t xml:space="preserve">Juridische </w:t>
      </w:r>
      <w:r w:rsidR="00907AFD">
        <w:rPr>
          <w:b/>
          <w:bCs/>
        </w:rPr>
        <w:t>overweging</w:t>
      </w:r>
    </w:p>
    <w:p w14:paraId="645A32B2" w14:textId="3AC09B83" w:rsidR="00B36F04" w:rsidRPr="00B36F04" w:rsidRDefault="00B36F04" w:rsidP="00B36F04">
      <w:pPr>
        <w:pStyle w:val="Lijstalinea"/>
        <w:numPr>
          <w:ilvl w:val="0"/>
          <w:numId w:val="1"/>
        </w:numPr>
      </w:pPr>
      <w:r w:rsidRPr="00B36F04">
        <w:t>Vlaamse Codex Wonen (VCW)</w:t>
      </w:r>
      <w:r w:rsidR="00D2005F">
        <w:t xml:space="preserve"> van 2021</w:t>
      </w:r>
      <w:r w:rsidRPr="00B36F04">
        <w:t xml:space="preserve">, </w:t>
      </w:r>
      <w:r>
        <w:t>artikel 5.76 tot en met 5.</w:t>
      </w:r>
      <w:r w:rsidR="00907AFD">
        <w:t>78</w:t>
      </w:r>
    </w:p>
    <w:p w14:paraId="52D179BB" w14:textId="2C660A2D" w:rsidR="00FB3C30" w:rsidRPr="00907AFD" w:rsidRDefault="00B36F04" w:rsidP="00B36F04">
      <w:pPr>
        <w:pStyle w:val="Lijstalinea"/>
        <w:numPr>
          <w:ilvl w:val="0"/>
          <w:numId w:val="1"/>
        </w:numPr>
        <w:rPr>
          <w:b/>
          <w:bCs/>
        </w:rPr>
      </w:pPr>
      <w:r>
        <w:t>Besluit Vlaamse Codex Wonen (BVCW)</w:t>
      </w:r>
      <w:r w:rsidR="00D2005F">
        <w:t xml:space="preserve"> van 2021</w:t>
      </w:r>
      <w:r>
        <w:t xml:space="preserve">, boek 5, deel 6, artikel 5.208 tot en met artikel 5.209 </w:t>
      </w:r>
    </w:p>
    <w:p w14:paraId="7EBB19AA" w14:textId="77777777" w:rsidR="00634701" w:rsidRPr="00D2005F" w:rsidRDefault="00634701" w:rsidP="00634701">
      <w:pPr>
        <w:pStyle w:val="Lijstalinea"/>
        <w:numPr>
          <w:ilvl w:val="0"/>
          <w:numId w:val="1"/>
        </w:numPr>
      </w:pPr>
      <w:r w:rsidRPr="00D2005F">
        <w:t>Decreet van 25 mei 2007 houdende de harmonisering van de procedures van voorkooprechten</w:t>
      </w:r>
    </w:p>
    <w:p w14:paraId="6393CCB6" w14:textId="31B96DD5" w:rsidR="00907AFD" w:rsidRPr="00D2005F" w:rsidRDefault="00D2005F" w:rsidP="00B36F04">
      <w:pPr>
        <w:pStyle w:val="Lijstalinea"/>
        <w:numPr>
          <w:ilvl w:val="0"/>
          <w:numId w:val="1"/>
        </w:numPr>
      </w:pPr>
      <w:r w:rsidRPr="00D2005F">
        <w:t>D</w:t>
      </w:r>
      <w:r w:rsidR="00907AFD" w:rsidRPr="00D2005F">
        <w:t>ecreet van 16 juni 2006 betreffende het oprichten van de Vlaamse Grondenbank en houdende wijziging van diverse bepalingen</w:t>
      </w:r>
      <w:r w:rsidRPr="00D2005F">
        <w:t>, titel IV, hoofdstuk I, II en VI</w:t>
      </w:r>
    </w:p>
    <w:p w14:paraId="7D4F4895" w14:textId="2149A9FC" w:rsidR="00FB3C30" w:rsidRDefault="00FB3C30">
      <w:pPr>
        <w:rPr>
          <w:b/>
          <w:bCs/>
        </w:rPr>
      </w:pPr>
    </w:p>
    <w:p w14:paraId="220ADDAC" w14:textId="4A7A9516" w:rsidR="00430948" w:rsidRDefault="00430948">
      <w:pPr>
        <w:rPr>
          <w:b/>
          <w:bCs/>
        </w:rPr>
      </w:pPr>
      <w:r>
        <w:rPr>
          <w:b/>
          <w:bCs/>
        </w:rPr>
        <w:lastRenderedPageBreak/>
        <w:t>Motivering</w:t>
      </w:r>
    </w:p>
    <w:p w14:paraId="021C6008" w14:textId="58BFEA42" w:rsidR="00FB3C30" w:rsidRDefault="00E0175A" w:rsidP="00AA4D34">
      <w:pPr>
        <w:shd w:val="clear" w:color="auto" w:fill="FFFFFF"/>
        <w:spacing w:after="0" w:line="240" w:lineRule="auto"/>
      </w:pPr>
      <w:r w:rsidRPr="00AA4D34">
        <w:rPr>
          <w:shd w:val="clear" w:color="auto" w:fill="FFF2CC" w:themeFill="accent4" w:themeFillTint="33"/>
        </w:rPr>
        <w:t>[I</w:t>
      </w:r>
      <w:r w:rsidRPr="00E0175A">
        <w:rPr>
          <w:shd w:val="clear" w:color="auto" w:fill="FFF2CC" w:themeFill="accent4" w:themeFillTint="33"/>
        </w:rPr>
        <w:t>nhoudelijke argumenten voor de</w:t>
      </w:r>
      <w:r w:rsidR="00AA4D34">
        <w:rPr>
          <w:shd w:val="clear" w:color="auto" w:fill="FFF2CC" w:themeFill="accent4" w:themeFillTint="33"/>
        </w:rPr>
        <w:t xml:space="preserve"> gekozen</w:t>
      </w:r>
      <w:r w:rsidRPr="00E0175A">
        <w:rPr>
          <w:shd w:val="clear" w:color="auto" w:fill="FFF2CC" w:themeFill="accent4" w:themeFillTint="33"/>
        </w:rPr>
        <w:t xml:space="preserve"> afbakening</w:t>
      </w:r>
      <w:r w:rsidR="00AA4D34" w:rsidRPr="00AA4D34">
        <w:rPr>
          <w:shd w:val="clear" w:color="auto" w:fill="FFF2CC" w:themeFill="accent4" w:themeFillTint="33"/>
        </w:rPr>
        <w:t>. Zowel vanuit de motiveringsplicht, het gelijkheidsbeginsel, als het redelijkheidsbeginsel zal er een toets nodig zijn aan de vereiste bestemming, zijnde het aanwenden van het perceel of het gebouw voor een verruiming of ondersteuning van het woonaanbod van de woonmaatschappij.]</w:t>
      </w:r>
    </w:p>
    <w:p w14:paraId="10D2AD17" w14:textId="77777777" w:rsidR="00AA4D34" w:rsidRPr="00AA4D34" w:rsidRDefault="00AA4D34" w:rsidP="00AA4D34">
      <w:pPr>
        <w:shd w:val="clear" w:color="auto" w:fill="FFFFFF"/>
        <w:spacing w:after="0" w:line="240" w:lineRule="auto"/>
      </w:pPr>
    </w:p>
    <w:p w14:paraId="2EC7D31D" w14:textId="4DD1BD2C" w:rsidR="00FB3C30" w:rsidRDefault="00FB3C30">
      <w:pPr>
        <w:rPr>
          <w:b/>
          <w:bCs/>
        </w:rPr>
      </w:pPr>
      <w:r>
        <w:rPr>
          <w:b/>
          <w:bCs/>
        </w:rPr>
        <w:t>Besluit</w:t>
      </w:r>
    </w:p>
    <w:p w14:paraId="02530CE4" w14:textId="7212512A" w:rsidR="00907AFD" w:rsidRPr="00907AFD" w:rsidRDefault="00907AFD">
      <w:r w:rsidRPr="00907AFD">
        <w:t>De gemeenteraad beslist:</w:t>
      </w:r>
    </w:p>
    <w:p w14:paraId="286FEEB9" w14:textId="6C810F1D" w:rsidR="00FB3C30" w:rsidRPr="00907AFD" w:rsidRDefault="00FB3C30">
      <w:pPr>
        <w:rPr>
          <w:b/>
          <w:bCs/>
        </w:rPr>
      </w:pPr>
      <w:r w:rsidRPr="00907AFD">
        <w:rPr>
          <w:b/>
          <w:bCs/>
        </w:rPr>
        <w:t>Art 1.</w:t>
      </w:r>
    </w:p>
    <w:p w14:paraId="2E2DAFB7" w14:textId="1E816E42" w:rsidR="00907AFD" w:rsidRDefault="00907AFD">
      <w:r w:rsidRPr="00907AFD">
        <w:t xml:space="preserve">De gemeenteraad </w:t>
      </w:r>
      <w:r>
        <w:t>stelt het recht van voorkoop, soorttype Vlaamse Codex Wonen</w:t>
      </w:r>
      <w:r w:rsidR="00E0175A">
        <w:t>,</w:t>
      </w:r>
      <w:r>
        <w:t xml:space="preserve"> in op de volgende percelen en panden:</w:t>
      </w:r>
    </w:p>
    <w:tbl>
      <w:tblPr>
        <w:tblStyle w:val="Tabelraster"/>
        <w:tblW w:w="9280" w:type="dxa"/>
        <w:tblLook w:val="04A0" w:firstRow="1" w:lastRow="0" w:firstColumn="1" w:lastColumn="0" w:noHBand="0" w:noVBand="1"/>
      </w:tblPr>
      <w:tblGrid>
        <w:gridCol w:w="986"/>
        <w:gridCol w:w="1014"/>
        <w:gridCol w:w="1117"/>
        <w:gridCol w:w="1919"/>
        <w:gridCol w:w="973"/>
        <w:gridCol w:w="1039"/>
        <w:gridCol w:w="1226"/>
        <w:gridCol w:w="1153"/>
      </w:tblGrid>
      <w:tr w:rsidR="00E0175A" w14:paraId="040258C4" w14:textId="77777777" w:rsidTr="2CD632A0">
        <w:trPr>
          <w:trHeight w:val="300"/>
        </w:trPr>
        <w:tc>
          <w:tcPr>
            <w:tcW w:w="1160" w:type="dxa"/>
          </w:tcPr>
          <w:p w14:paraId="6CF418F3" w14:textId="3B067CCE" w:rsidR="00907AFD" w:rsidRPr="00AA4D34" w:rsidRDefault="00907AFD">
            <w:pPr>
              <w:rPr>
                <w:b/>
                <w:bCs/>
                <w:sz w:val="20"/>
                <w:szCs w:val="20"/>
              </w:rPr>
            </w:pPr>
            <w:r w:rsidRPr="00AA4D34">
              <w:rPr>
                <w:b/>
                <w:bCs/>
                <w:sz w:val="20"/>
                <w:szCs w:val="20"/>
              </w:rPr>
              <w:t>Adres</w:t>
            </w:r>
          </w:p>
        </w:tc>
        <w:tc>
          <w:tcPr>
            <w:tcW w:w="1160" w:type="dxa"/>
          </w:tcPr>
          <w:p w14:paraId="6B6E0A5A" w14:textId="3A89B20A" w:rsidR="00907AFD" w:rsidRPr="00AA4D34" w:rsidRDefault="00907AFD">
            <w:pPr>
              <w:rPr>
                <w:b/>
                <w:bCs/>
                <w:sz w:val="20"/>
                <w:szCs w:val="20"/>
              </w:rPr>
            </w:pPr>
            <w:r w:rsidRPr="00AA4D34">
              <w:rPr>
                <w:b/>
                <w:bCs/>
                <w:sz w:val="20"/>
                <w:szCs w:val="20"/>
              </w:rPr>
              <w:t>CAPAKEY</w:t>
            </w:r>
          </w:p>
        </w:tc>
        <w:tc>
          <w:tcPr>
            <w:tcW w:w="1160" w:type="dxa"/>
          </w:tcPr>
          <w:p w14:paraId="60B19027" w14:textId="77777777" w:rsidR="00907AFD" w:rsidRDefault="00907AFD">
            <w:pPr>
              <w:rPr>
                <w:b/>
                <w:bCs/>
                <w:sz w:val="20"/>
                <w:szCs w:val="20"/>
              </w:rPr>
            </w:pPr>
            <w:r w:rsidRPr="00AA4D34">
              <w:rPr>
                <w:b/>
                <w:bCs/>
                <w:sz w:val="20"/>
                <w:szCs w:val="20"/>
              </w:rPr>
              <w:t>PATKEY</w:t>
            </w:r>
          </w:p>
          <w:p w14:paraId="77900412" w14:textId="4CE805DC" w:rsidR="007E5771" w:rsidRPr="007E5771" w:rsidRDefault="007E5771">
            <w:pPr>
              <w:rPr>
                <w:sz w:val="20"/>
                <w:szCs w:val="20"/>
              </w:rPr>
            </w:pPr>
            <w:r w:rsidRPr="007E5771">
              <w:rPr>
                <w:sz w:val="20"/>
                <w:szCs w:val="20"/>
              </w:rPr>
              <w:t>(optioneel)</w:t>
            </w:r>
          </w:p>
        </w:tc>
        <w:tc>
          <w:tcPr>
            <w:tcW w:w="1160" w:type="dxa"/>
          </w:tcPr>
          <w:p w14:paraId="57739FB9" w14:textId="735B2CFA" w:rsidR="34832539" w:rsidRPr="34832539" w:rsidRDefault="34832539" w:rsidP="34832539">
            <w:pPr>
              <w:rPr>
                <w:b/>
                <w:bCs/>
                <w:sz w:val="20"/>
                <w:szCs w:val="20"/>
              </w:rPr>
            </w:pPr>
            <w:r w:rsidRPr="34832539">
              <w:rPr>
                <w:b/>
                <w:bCs/>
                <w:sz w:val="20"/>
                <w:szCs w:val="20"/>
              </w:rPr>
              <w:t xml:space="preserve">Begunstigden </w:t>
            </w:r>
          </w:p>
        </w:tc>
        <w:tc>
          <w:tcPr>
            <w:tcW w:w="1160" w:type="dxa"/>
          </w:tcPr>
          <w:p w14:paraId="7E61978D" w14:textId="4DD895A7" w:rsidR="58DC72B9" w:rsidRPr="34832539" w:rsidRDefault="58DC72B9" w:rsidP="34832539">
            <w:pPr>
              <w:rPr>
                <w:b/>
                <w:bCs/>
                <w:sz w:val="20"/>
                <w:szCs w:val="20"/>
              </w:rPr>
            </w:pPr>
            <w:r w:rsidRPr="34832539">
              <w:rPr>
                <w:b/>
                <w:bCs/>
                <w:sz w:val="20"/>
                <w:szCs w:val="20"/>
              </w:rPr>
              <w:t>Volgorde</w:t>
            </w:r>
          </w:p>
        </w:tc>
        <w:tc>
          <w:tcPr>
            <w:tcW w:w="1160" w:type="dxa"/>
          </w:tcPr>
          <w:p w14:paraId="6AF91D99" w14:textId="4522914E" w:rsidR="00907AFD" w:rsidRPr="00AA4D34" w:rsidRDefault="00907AFD">
            <w:pPr>
              <w:rPr>
                <w:b/>
                <w:bCs/>
                <w:sz w:val="20"/>
                <w:szCs w:val="20"/>
              </w:rPr>
            </w:pPr>
            <w:r w:rsidRPr="00AA4D34">
              <w:rPr>
                <w:b/>
                <w:bCs/>
                <w:sz w:val="20"/>
                <w:szCs w:val="20"/>
              </w:rPr>
              <w:t>Soorttype</w:t>
            </w:r>
          </w:p>
        </w:tc>
        <w:tc>
          <w:tcPr>
            <w:tcW w:w="1160" w:type="dxa"/>
          </w:tcPr>
          <w:p w14:paraId="30222AFB" w14:textId="77777777" w:rsidR="00907AFD" w:rsidRDefault="00907AFD">
            <w:pPr>
              <w:rPr>
                <w:b/>
                <w:bCs/>
                <w:sz w:val="20"/>
                <w:szCs w:val="20"/>
              </w:rPr>
            </w:pPr>
            <w:r w:rsidRPr="00AA4D34">
              <w:rPr>
                <w:b/>
                <w:bCs/>
                <w:sz w:val="20"/>
                <w:szCs w:val="20"/>
              </w:rPr>
              <w:t>Begindatum</w:t>
            </w:r>
            <w:r w:rsidR="00E0175A" w:rsidRPr="00AA4D34">
              <w:rPr>
                <w:b/>
                <w:bCs/>
                <w:sz w:val="20"/>
                <w:szCs w:val="20"/>
              </w:rPr>
              <w:t xml:space="preserve"> </w:t>
            </w:r>
          </w:p>
          <w:p w14:paraId="5544A756" w14:textId="3684D649" w:rsidR="007E5771" w:rsidRPr="007E5771" w:rsidRDefault="007E5771">
            <w:pPr>
              <w:rPr>
                <w:sz w:val="20"/>
                <w:szCs w:val="20"/>
              </w:rPr>
            </w:pPr>
            <w:r w:rsidRPr="007E5771">
              <w:rPr>
                <w:sz w:val="20"/>
                <w:szCs w:val="20"/>
              </w:rPr>
              <w:t>(optioneel)</w:t>
            </w:r>
          </w:p>
        </w:tc>
        <w:tc>
          <w:tcPr>
            <w:tcW w:w="1160" w:type="dxa"/>
          </w:tcPr>
          <w:p w14:paraId="45D47E69" w14:textId="76FD61FC" w:rsidR="00907AFD" w:rsidRPr="00AA4D34" w:rsidRDefault="00907AFD">
            <w:pPr>
              <w:rPr>
                <w:b/>
                <w:bCs/>
                <w:sz w:val="20"/>
                <w:szCs w:val="20"/>
              </w:rPr>
            </w:pPr>
            <w:r w:rsidRPr="00AA4D34">
              <w:rPr>
                <w:b/>
                <w:bCs/>
                <w:sz w:val="20"/>
                <w:szCs w:val="20"/>
              </w:rPr>
              <w:t xml:space="preserve">Einddatum </w:t>
            </w:r>
            <w:r w:rsidRPr="007E5771">
              <w:rPr>
                <w:sz w:val="20"/>
                <w:szCs w:val="20"/>
              </w:rPr>
              <w:t>(max 15 jaar)</w:t>
            </w:r>
          </w:p>
        </w:tc>
      </w:tr>
      <w:tr w:rsidR="4C4F5812" w14:paraId="38C4FA5C" w14:textId="77777777" w:rsidTr="2CD632A0">
        <w:trPr>
          <w:trHeight w:val="300"/>
        </w:trPr>
        <w:tc>
          <w:tcPr>
            <w:tcW w:w="1160" w:type="dxa"/>
          </w:tcPr>
          <w:p w14:paraId="053A2846" w14:textId="0514E472" w:rsidR="4C4F5812" w:rsidRDefault="4C4F5812" w:rsidP="4C4F5812">
            <w:pPr>
              <w:rPr>
                <w:b/>
                <w:bCs/>
                <w:sz w:val="20"/>
                <w:szCs w:val="20"/>
              </w:rPr>
            </w:pPr>
          </w:p>
        </w:tc>
        <w:tc>
          <w:tcPr>
            <w:tcW w:w="1160" w:type="dxa"/>
          </w:tcPr>
          <w:p w14:paraId="14A61AC5" w14:textId="2AF56B50" w:rsidR="3FDBB4C3" w:rsidRPr="00BD1B48" w:rsidRDefault="3FDBB4C3" w:rsidP="4C4F5812">
            <w:pPr>
              <w:rPr>
                <w:sz w:val="20"/>
                <w:szCs w:val="20"/>
              </w:rPr>
            </w:pPr>
            <w:proofErr w:type="spellStart"/>
            <w:r w:rsidRPr="00BD1B48">
              <w:rPr>
                <w:sz w:val="20"/>
                <w:szCs w:val="20"/>
              </w:rPr>
              <w:t>perceelid</w:t>
            </w:r>
            <w:proofErr w:type="spellEnd"/>
          </w:p>
        </w:tc>
        <w:tc>
          <w:tcPr>
            <w:tcW w:w="1160" w:type="dxa"/>
          </w:tcPr>
          <w:p w14:paraId="6447A50B" w14:textId="2AF56B50" w:rsidR="3FDBB4C3" w:rsidRPr="00BD1B48" w:rsidRDefault="3FDBB4C3" w:rsidP="4C4F5812">
            <w:pPr>
              <w:rPr>
                <w:sz w:val="20"/>
                <w:szCs w:val="20"/>
              </w:rPr>
            </w:pPr>
            <w:proofErr w:type="spellStart"/>
            <w:r w:rsidRPr="00BD1B48">
              <w:rPr>
                <w:sz w:val="20"/>
                <w:szCs w:val="20"/>
              </w:rPr>
              <w:t>partnr</w:t>
            </w:r>
            <w:proofErr w:type="spellEnd"/>
          </w:p>
        </w:tc>
        <w:tc>
          <w:tcPr>
            <w:tcW w:w="1160" w:type="dxa"/>
          </w:tcPr>
          <w:p w14:paraId="1FEB2BC7" w14:textId="5C1E3AED" w:rsidR="3FDBB4C3" w:rsidRPr="00BD1B48" w:rsidRDefault="004A1BE2" w:rsidP="34832539">
            <w:pPr>
              <w:rPr>
                <w:sz w:val="20"/>
                <w:szCs w:val="20"/>
              </w:rPr>
            </w:pPr>
            <w:r w:rsidRPr="004A1BE2">
              <w:rPr>
                <w:sz w:val="20"/>
                <w:szCs w:val="20"/>
              </w:rPr>
              <w:t>B</w:t>
            </w:r>
            <w:r w:rsidR="3FDBB4C3" w:rsidRPr="00BD1B48">
              <w:rPr>
                <w:sz w:val="20"/>
                <w:szCs w:val="20"/>
              </w:rPr>
              <w:t>egunstigde</w:t>
            </w:r>
            <w:r>
              <w:rPr>
                <w:sz w:val="20"/>
                <w:szCs w:val="20"/>
              </w:rPr>
              <w:t xml:space="preserve"> </w:t>
            </w:r>
            <w:proofErr w:type="spellStart"/>
            <w:r>
              <w:rPr>
                <w:sz w:val="20"/>
                <w:szCs w:val="20"/>
              </w:rPr>
              <w:t>bgunstid</w:t>
            </w:r>
            <w:proofErr w:type="spellEnd"/>
          </w:p>
        </w:tc>
        <w:tc>
          <w:tcPr>
            <w:tcW w:w="1160" w:type="dxa"/>
          </w:tcPr>
          <w:p w14:paraId="4B48EAFC" w14:textId="2AF56B50" w:rsidR="4EE439F6" w:rsidRPr="00BD1B48" w:rsidRDefault="4EE439F6" w:rsidP="34832539">
            <w:pPr>
              <w:rPr>
                <w:sz w:val="20"/>
                <w:szCs w:val="20"/>
              </w:rPr>
            </w:pPr>
            <w:r w:rsidRPr="00BD1B48">
              <w:rPr>
                <w:sz w:val="20"/>
                <w:szCs w:val="20"/>
              </w:rPr>
              <w:t>orde</w:t>
            </w:r>
          </w:p>
        </w:tc>
        <w:tc>
          <w:tcPr>
            <w:tcW w:w="1160" w:type="dxa"/>
          </w:tcPr>
          <w:p w14:paraId="73133FA5" w14:textId="2AF56B50" w:rsidR="3FDBB4C3" w:rsidRPr="00BD1B48" w:rsidRDefault="4EE439F6" w:rsidP="0015376D">
            <w:pPr>
              <w:spacing w:line="259" w:lineRule="auto"/>
              <w:rPr>
                <w:sz w:val="20"/>
                <w:szCs w:val="20"/>
              </w:rPr>
            </w:pPr>
            <w:proofErr w:type="spellStart"/>
            <w:r w:rsidRPr="00BD1B48">
              <w:rPr>
                <w:sz w:val="20"/>
                <w:szCs w:val="20"/>
              </w:rPr>
              <w:t>srttypeid</w:t>
            </w:r>
            <w:proofErr w:type="spellEnd"/>
          </w:p>
        </w:tc>
        <w:tc>
          <w:tcPr>
            <w:tcW w:w="1160" w:type="dxa"/>
          </w:tcPr>
          <w:p w14:paraId="243CC92B" w14:textId="6EFD6457" w:rsidR="4C4F5812" w:rsidRPr="00BD1B48" w:rsidRDefault="4EE439F6" w:rsidP="4C4F5812">
            <w:pPr>
              <w:rPr>
                <w:sz w:val="20"/>
                <w:szCs w:val="20"/>
              </w:rPr>
            </w:pPr>
            <w:proofErr w:type="spellStart"/>
            <w:r w:rsidRPr="00BD1B48">
              <w:rPr>
                <w:sz w:val="20"/>
                <w:szCs w:val="20"/>
              </w:rPr>
              <w:t>bdrvv</w:t>
            </w:r>
            <w:proofErr w:type="spellEnd"/>
          </w:p>
        </w:tc>
        <w:tc>
          <w:tcPr>
            <w:tcW w:w="1160" w:type="dxa"/>
          </w:tcPr>
          <w:p w14:paraId="3BF15008" w14:textId="7DCE7507" w:rsidR="4C4F5812" w:rsidRPr="00BD1B48" w:rsidRDefault="4EE439F6" w:rsidP="4C4F5812">
            <w:pPr>
              <w:rPr>
                <w:sz w:val="20"/>
                <w:szCs w:val="20"/>
              </w:rPr>
            </w:pPr>
            <w:proofErr w:type="spellStart"/>
            <w:r w:rsidRPr="00BD1B48">
              <w:rPr>
                <w:sz w:val="20"/>
                <w:szCs w:val="20"/>
              </w:rPr>
              <w:t>edrvv</w:t>
            </w:r>
            <w:proofErr w:type="spellEnd"/>
          </w:p>
        </w:tc>
      </w:tr>
      <w:tr w:rsidR="00150D54" w14:paraId="5824A49A" w14:textId="77777777" w:rsidTr="2CD632A0">
        <w:trPr>
          <w:trHeight w:val="300"/>
        </w:trPr>
        <w:tc>
          <w:tcPr>
            <w:tcW w:w="1160" w:type="dxa"/>
          </w:tcPr>
          <w:p w14:paraId="691409C7" w14:textId="0F31E295" w:rsidR="00150D54" w:rsidRPr="00AA4D34" w:rsidRDefault="00150D54" w:rsidP="00150D54">
            <w:pPr>
              <w:rPr>
                <w:sz w:val="20"/>
                <w:szCs w:val="20"/>
              </w:rPr>
            </w:pPr>
            <w:r w:rsidRPr="00AA4D34">
              <w:rPr>
                <w:sz w:val="20"/>
                <w:szCs w:val="20"/>
              </w:rPr>
              <w:t>[</w:t>
            </w:r>
            <w:r w:rsidRPr="00AA4D34">
              <w:rPr>
                <w:sz w:val="20"/>
                <w:szCs w:val="20"/>
                <w:shd w:val="clear" w:color="auto" w:fill="EDEDED" w:themeFill="accent3" w:themeFillTint="33"/>
              </w:rPr>
              <w:t>Invullen</w:t>
            </w:r>
            <w:r w:rsidRPr="00AA4D34">
              <w:rPr>
                <w:sz w:val="20"/>
                <w:szCs w:val="20"/>
              </w:rPr>
              <w:t>]</w:t>
            </w:r>
          </w:p>
        </w:tc>
        <w:tc>
          <w:tcPr>
            <w:tcW w:w="1160" w:type="dxa"/>
          </w:tcPr>
          <w:p w14:paraId="40C8086F" w14:textId="10A3FBFE" w:rsidR="00150D54" w:rsidRPr="00AA4D34" w:rsidRDefault="00150D54" w:rsidP="00150D54">
            <w:pPr>
              <w:rPr>
                <w:sz w:val="20"/>
                <w:szCs w:val="20"/>
              </w:rPr>
            </w:pPr>
            <w:r w:rsidRPr="00AA4D34">
              <w:rPr>
                <w:sz w:val="20"/>
                <w:szCs w:val="20"/>
              </w:rPr>
              <w:t>[</w:t>
            </w:r>
            <w:r w:rsidRPr="00DD5525">
              <w:rPr>
                <w:sz w:val="20"/>
                <w:szCs w:val="20"/>
                <w:shd w:val="clear" w:color="auto" w:fill="EDEDED" w:themeFill="accent3" w:themeFillTint="33"/>
              </w:rPr>
              <w:t>Verplicht</w:t>
            </w:r>
            <w:r w:rsidRPr="00AA4D34">
              <w:rPr>
                <w:sz w:val="20"/>
                <w:szCs w:val="20"/>
              </w:rPr>
              <w:t xml:space="preserve"> </w:t>
            </w:r>
            <w:r w:rsidRPr="00AA4D34">
              <w:rPr>
                <w:sz w:val="20"/>
                <w:szCs w:val="20"/>
                <w:shd w:val="clear" w:color="auto" w:fill="EDEDED" w:themeFill="accent3" w:themeFillTint="33"/>
              </w:rPr>
              <w:t>invullen</w:t>
            </w:r>
            <w:r w:rsidRPr="00AA4D34">
              <w:rPr>
                <w:sz w:val="20"/>
                <w:szCs w:val="20"/>
              </w:rPr>
              <w:t>]</w:t>
            </w:r>
          </w:p>
        </w:tc>
        <w:tc>
          <w:tcPr>
            <w:tcW w:w="1160" w:type="dxa"/>
          </w:tcPr>
          <w:p w14:paraId="54F86ECD" w14:textId="3343487E" w:rsidR="00150D54" w:rsidRPr="00AA4D34" w:rsidRDefault="00150D54" w:rsidP="00150D54">
            <w:pPr>
              <w:rPr>
                <w:sz w:val="20"/>
                <w:szCs w:val="20"/>
              </w:rPr>
            </w:pPr>
            <w:r w:rsidRPr="00AA4D34">
              <w:rPr>
                <w:sz w:val="20"/>
                <w:szCs w:val="20"/>
              </w:rPr>
              <w:t>[</w:t>
            </w:r>
            <w:r w:rsidRPr="00AA4D34">
              <w:rPr>
                <w:sz w:val="20"/>
                <w:szCs w:val="20"/>
                <w:shd w:val="clear" w:color="auto" w:fill="EDEDED" w:themeFill="accent3" w:themeFillTint="33"/>
              </w:rPr>
              <w:t>Invullen</w:t>
            </w:r>
            <w:r w:rsidR="00FB7495">
              <w:rPr>
                <w:sz w:val="20"/>
                <w:szCs w:val="20"/>
                <w:shd w:val="clear" w:color="auto" w:fill="EDEDED" w:themeFill="accent3" w:themeFillTint="33"/>
              </w:rPr>
              <w:t xml:space="preserve"> volgens de vorm </w:t>
            </w:r>
            <w:proofErr w:type="spellStart"/>
            <w:r w:rsidR="00FB7495">
              <w:rPr>
                <w:sz w:val="20"/>
                <w:szCs w:val="20"/>
                <w:shd w:val="clear" w:color="auto" w:fill="EDEDED" w:themeFill="accent3" w:themeFillTint="33"/>
              </w:rPr>
              <w:t>Pxxx</w:t>
            </w:r>
            <w:proofErr w:type="spellEnd"/>
            <w:r w:rsidRPr="00AA4D34">
              <w:rPr>
                <w:sz w:val="20"/>
                <w:szCs w:val="20"/>
              </w:rPr>
              <w:t>]</w:t>
            </w:r>
          </w:p>
        </w:tc>
        <w:tc>
          <w:tcPr>
            <w:tcW w:w="1160" w:type="dxa"/>
          </w:tcPr>
          <w:p w14:paraId="14383B9F" w14:textId="77777777" w:rsidR="34832539" w:rsidRDefault="34832539" w:rsidP="34832539">
            <w:pPr>
              <w:rPr>
                <w:sz w:val="20"/>
                <w:szCs w:val="20"/>
              </w:rPr>
            </w:pPr>
            <w:r w:rsidRPr="34832539">
              <w:rPr>
                <w:sz w:val="20"/>
                <w:szCs w:val="20"/>
              </w:rPr>
              <w:t>[Woonmaatschappij]</w:t>
            </w:r>
          </w:p>
          <w:p w14:paraId="0AB12A01" w14:textId="77777777" w:rsidR="34832539" w:rsidRDefault="34832539" w:rsidP="34832539">
            <w:pPr>
              <w:rPr>
                <w:sz w:val="20"/>
                <w:szCs w:val="20"/>
              </w:rPr>
            </w:pPr>
            <w:r w:rsidRPr="34832539">
              <w:rPr>
                <w:sz w:val="20"/>
                <w:szCs w:val="20"/>
              </w:rPr>
              <w:t>[</w:t>
            </w:r>
            <w:proofErr w:type="spellStart"/>
            <w:r w:rsidRPr="0015376D">
              <w:rPr>
                <w:sz w:val="20"/>
                <w:szCs w:val="20"/>
                <w:shd w:val="clear" w:color="auto" w:fill="FBE4D5" w:themeFill="accent2" w:themeFillTint="33"/>
              </w:rPr>
              <w:t>Vlabinvest</w:t>
            </w:r>
            <w:proofErr w:type="spellEnd"/>
            <w:r w:rsidRPr="0015376D">
              <w:rPr>
                <w:sz w:val="20"/>
                <w:szCs w:val="20"/>
                <w:shd w:val="clear" w:color="auto" w:fill="FBE4D5" w:themeFill="accent2" w:themeFillTint="33"/>
              </w:rPr>
              <w:t xml:space="preserve"> </w:t>
            </w:r>
            <w:proofErr w:type="spellStart"/>
            <w:r w:rsidRPr="0015376D">
              <w:rPr>
                <w:sz w:val="20"/>
                <w:szCs w:val="20"/>
                <w:shd w:val="clear" w:color="auto" w:fill="FBE4D5" w:themeFill="accent2" w:themeFillTint="33"/>
              </w:rPr>
              <w:t>apb</w:t>
            </w:r>
            <w:proofErr w:type="spellEnd"/>
            <w:r w:rsidRPr="34832539">
              <w:rPr>
                <w:sz w:val="20"/>
                <w:szCs w:val="20"/>
              </w:rPr>
              <w:t>]</w:t>
            </w:r>
          </w:p>
          <w:p w14:paraId="5710902E" w14:textId="0D647F05" w:rsidR="34832539" w:rsidRPr="34832539" w:rsidRDefault="34832539" w:rsidP="34832539">
            <w:pPr>
              <w:rPr>
                <w:sz w:val="20"/>
                <w:szCs w:val="20"/>
              </w:rPr>
            </w:pPr>
            <w:r w:rsidRPr="34832539">
              <w:rPr>
                <w:sz w:val="20"/>
                <w:szCs w:val="20"/>
              </w:rPr>
              <w:t>[Lokaal bestuur]</w:t>
            </w:r>
          </w:p>
        </w:tc>
        <w:tc>
          <w:tcPr>
            <w:tcW w:w="1160" w:type="dxa"/>
          </w:tcPr>
          <w:p w14:paraId="4A5323AD" w14:textId="5570750B" w:rsidR="34832539" w:rsidRDefault="34832539" w:rsidP="34832539">
            <w:pPr>
              <w:rPr>
                <w:sz w:val="20"/>
                <w:szCs w:val="20"/>
              </w:rPr>
            </w:pPr>
          </w:p>
        </w:tc>
        <w:tc>
          <w:tcPr>
            <w:tcW w:w="1160" w:type="dxa"/>
          </w:tcPr>
          <w:p w14:paraId="59BF9E90" w14:textId="34897429" w:rsidR="00150D54" w:rsidRPr="004C3D3E" w:rsidRDefault="005234A8" w:rsidP="00150D54">
            <w:pPr>
              <w:rPr>
                <w:color w:val="ED7D31" w:themeColor="accent2"/>
                <w:sz w:val="20"/>
                <w:szCs w:val="20"/>
              </w:rPr>
            </w:pPr>
            <w:r w:rsidRPr="005234A8">
              <w:rPr>
                <w:sz w:val="20"/>
                <w:szCs w:val="20"/>
              </w:rPr>
              <w:t>34</w:t>
            </w:r>
            <w:r w:rsidR="00150D54" w:rsidRPr="005234A8">
              <w:rPr>
                <w:sz w:val="20"/>
                <w:szCs w:val="20"/>
              </w:rPr>
              <w:t xml:space="preserve"> </w:t>
            </w:r>
          </w:p>
        </w:tc>
        <w:tc>
          <w:tcPr>
            <w:tcW w:w="1160" w:type="dxa"/>
          </w:tcPr>
          <w:p w14:paraId="683A7D36" w14:textId="43E82A0A" w:rsidR="00150D54" w:rsidRPr="00AA4D34" w:rsidRDefault="00150D54" w:rsidP="00150D54">
            <w:pPr>
              <w:rPr>
                <w:sz w:val="20"/>
                <w:szCs w:val="20"/>
              </w:rPr>
            </w:pPr>
            <w:r w:rsidRPr="00AA4D34">
              <w:rPr>
                <w:sz w:val="20"/>
                <w:szCs w:val="20"/>
              </w:rPr>
              <w:t>[</w:t>
            </w:r>
            <w:r w:rsidRPr="00AA4D34">
              <w:rPr>
                <w:sz w:val="20"/>
                <w:szCs w:val="20"/>
                <w:shd w:val="clear" w:color="auto" w:fill="EDEDED" w:themeFill="accent3" w:themeFillTint="33"/>
              </w:rPr>
              <w:t>Invullen</w:t>
            </w:r>
            <w:r w:rsidR="00EA1B01">
              <w:rPr>
                <w:sz w:val="20"/>
                <w:szCs w:val="20"/>
                <w:shd w:val="clear" w:color="auto" w:fill="EDEDED" w:themeFill="accent3" w:themeFillTint="33"/>
              </w:rPr>
              <w:t xml:space="preserve"> volgens formaat </w:t>
            </w:r>
            <w:proofErr w:type="spellStart"/>
            <w:r w:rsidR="00EA1B01">
              <w:rPr>
                <w:sz w:val="20"/>
                <w:szCs w:val="20"/>
                <w:shd w:val="clear" w:color="auto" w:fill="EDEDED" w:themeFill="accent3" w:themeFillTint="33"/>
              </w:rPr>
              <w:t>dd</w:t>
            </w:r>
            <w:proofErr w:type="spellEnd"/>
            <w:r w:rsidR="00003173">
              <w:rPr>
                <w:sz w:val="20"/>
                <w:szCs w:val="20"/>
                <w:shd w:val="clear" w:color="auto" w:fill="EDEDED" w:themeFill="accent3" w:themeFillTint="33"/>
              </w:rPr>
              <w:t>/</w:t>
            </w:r>
            <w:r w:rsidR="00EA1B01">
              <w:rPr>
                <w:sz w:val="20"/>
                <w:szCs w:val="20"/>
                <w:shd w:val="clear" w:color="auto" w:fill="EDEDED" w:themeFill="accent3" w:themeFillTint="33"/>
              </w:rPr>
              <w:t>mm</w:t>
            </w:r>
            <w:r w:rsidR="00003173">
              <w:rPr>
                <w:sz w:val="20"/>
                <w:szCs w:val="20"/>
                <w:shd w:val="clear" w:color="auto" w:fill="EDEDED" w:themeFill="accent3" w:themeFillTint="33"/>
              </w:rPr>
              <w:t>/</w:t>
            </w:r>
            <w:proofErr w:type="spellStart"/>
            <w:r w:rsidR="00EA1B01">
              <w:rPr>
                <w:sz w:val="20"/>
                <w:szCs w:val="20"/>
                <w:shd w:val="clear" w:color="auto" w:fill="EDEDED" w:themeFill="accent3" w:themeFillTint="33"/>
              </w:rPr>
              <w:t>jjjj</w:t>
            </w:r>
            <w:proofErr w:type="spellEnd"/>
            <w:r w:rsidRPr="00AA4D34">
              <w:rPr>
                <w:sz w:val="20"/>
                <w:szCs w:val="20"/>
              </w:rPr>
              <w:t>]</w:t>
            </w:r>
          </w:p>
        </w:tc>
        <w:tc>
          <w:tcPr>
            <w:tcW w:w="1160" w:type="dxa"/>
          </w:tcPr>
          <w:p w14:paraId="26E27163" w14:textId="32170DD5" w:rsidR="00150D54" w:rsidRPr="00AA4D34" w:rsidRDefault="00150D54" w:rsidP="00150D54">
            <w:pPr>
              <w:rPr>
                <w:sz w:val="20"/>
                <w:szCs w:val="20"/>
              </w:rPr>
            </w:pPr>
            <w:r w:rsidRPr="00AA4D34">
              <w:rPr>
                <w:sz w:val="20"/>
                <w:szCs w:val="20"/>
              </w:rPr>
              <w:t>[</w:t>
            </w:r>
            <w:r w:rsidRPr="00150D54">
              <w:rPr>
                <w:sz w:val="20"/>
                <w:szCs w:val="20"/>
                <w:shd w:val="clear" w:color="auto" w:fill="EDEDED" w:themeFill="accent3" w:themeFillTint="33"/>
              </w:rPr>
              <w:t>Verplicht</w:t>
            </w:r>
            <w:r w:rsidRPr="00AA4D34">
              <w:rPr>
                <w:sz w:val="20"/>
                <w:szCs w:val="20"/>
              </w:rPr>
              <w:t xml:space="preserve"> </w:t>
            </w:r>
            <w:r w:rsidRPr="00AA4D34">
              <w:rPr>
                <w:sz w:val="20"/>
                <w:szCs w:val="20"/>
                <w:shd w:val="clear" w:color="auto" w:fill="EDEDED" w:themeFill="accent3" w:themeFillTint="33"/>
              </w:rPr>
              <w:t>invullen</w:t>
            </w:r>
            <w:r w:rsidR="00EB0C95">
              <w:rPr>
                <w:sz w:val="20"/>
                <w:szCs w:val="20"/>
                <w:shd w:val="clear" w:color="auto" w:fill="EDEDED" w:themeFill="accent3" w:themeFillTint="33"/>
              </w:rPr>
              <w:t xml:space="preserve"> volgens formaat </w:t>
            </w:r>
            <w:proofErr w:type="spellStart"/>
            <w:r w:rsidR="00EB0C95">
              <w:rPr>
                <w:sz w:val="20"/>
                <w:szCs w:val="20"/>
                <w:shd w:val="clear" w:color="auto" w:fill="EDEDED" w:themeFill="accent3" w:themeFillTint="33"/>
              </w:rPr>
              <w:t>dd</w:t>
            </w:r>
            <w:proofErr w:type="spellEnd"/>
            <w:r w:rsidR="00003173">
              <w:rPr>
                <w:sz w:val="20"/>
                <w:szCs w:val="20"/>
                <w:shd w:val="clear" w:color="auto" w:fill="EDEDED" w:themeFill="accent3" w:themeFillTint="33"/>
              </w:rPr>
              <w:t>/</w:t>
            </w:r>
            <w:r w:rsidR="00EA1B01">
              <w:rPr>
                <w:sz w:val="20"/>
                <w:szCs w:val="20"/>
                <w:shd w:val="clear" w:color="auto" w:fill="EDEDED" w:themeFill="accent3" w:themeFillTint="33"/>
              </w:rPr>
              <w:t>mm</w:t>
            </w:r>
            <w:r w:rsidR="00003173">
              <w:rPr>
                <w:sz w:val="20"/>
                <w:szCs w:val="20"/>
                <w:shd w:val="clear" w:color="auto" w:fill="EDEDED" w:themeFill="accent3" w:themeFillTint="33"/>
              </w:rPr>
              <w:t>/</w:t>
            </w:r>
            <w:proofErr w:type="spellStart"/>
            <w:r w:rsidR="00EA1B01">
              <w:rPr>
                <w:sz w:val="20"/>
                <w:szCs w:val="20"/>
                <w:shd w:val="clear" w:color="auto" w:fill="EDEDED" w:themeFill="accent3" w:themeFillTint="33"/>
              </w:rPr>
              <w:t>jjjj</w:t>
            </w:r>
            <w:proofErr w:type="spellEnd"/>
            <w:r w:rsidRPr="00AA4D34">
              <w:rPr>
                <w:sz w:val="20"/>
                <w:szCs w:val="20"/>
              </w:rPr>
              <w:t>]</w:t>
            </w:r>
          </w:p>
        </w:tc>
      </w:tr>
    </w:tbl>
    <w:p w14:paraId="26DAC071" w14:textId="77777777" w:rsidR="00907AFD" w:rsidRPr="00907AFD" w:rsidRDefault="00907AFD"/>
    <w:p w14:paraId="7F5B3A07" w14:textId="3F6270BC" w:rsidR="00907AFD" w:rsidRPr="00DE67A6" w:rsidRDefault="00FB3C30">
      <w:pPr>
        <w:rPr>
          <w:b/>
          <w:bCs/>
        </w:rPr>
      </w:pPr>
      <w:r w:rsidRPr="00DE67A6">
        <w:rPr>
          <w:b/>
          <w:bCs/>
        </w:rPr>
        <w:t>Art 2.</w:t>
      </w:r>
    </w:p>
    <w:p w14:paraId="7B3EE0C0" w14:textId="159E2028" w:rsidR="00907AFD" w:rsidRDefault="00E0175A">
      <w:r>
        <w:t>D</w:t>
      </w:r>
      <w:r w:rsidR="00D2005F" w:rsidRPr="00D2005F">
        <w:t>eze afbakening</w:t>
      </w:r>
      <w:r>
        <w:t xml:space="preserve"> wordt</w:t>
      </w:r>
      <w:r w:rsidR="00D2005F" w:rsidRPr="00D2005F">
        <w:t xml:space="preserve"> aan het agentschap Digitaal Vlaanderen </w:t>
      </w:r>
      <w:r>
        <w:t xml:space="preserve">gemeld </w:t>
      </w:r>
      <w:r w:rsidR="00D2005F" w:rsidRPr="00D2005F">
        <w:t xml:space="preserve">via de </w:t>
      </w:r>
      <w:proofErr w:type="spellStart"/>
      <w:r w:rsidR="00D2005F" w:rsidRPr="00D2005F">
        <w:t>webtoepassing</w:t>
      </w:r>
      <w:proofErr w:type="spellEnd"/>
      <w:r w:rsidR="00D2005F" w:rsidRPr="00D2005F">
        <w:t xml:space="preserve"> ‘recht van voorkoop’.</w:t>
      </w:r>
    </w:p>
    <w:p w14:paraId="6E445EE4" w14:textId="77777777" w:rsidR="00643F33" w:rsidRDefault="00643F33"/>
    <w:p w14:paraId="0C14D0E2" w14:textId="77777777" w:rsidR="00643F33" w:rsidRDefault="00643F33">
      <w:r>
        <w:t>[</w:t>
      </w:r>
      <w:r w:rsidRPr="00643F33">
        <w:rPr>
          <w:b/>
          <w:bCs/>
          <w:highlight w:val="lightGray"/>
        </w:rPr>
        <w:t>Art 3.</w:t>
      </w:r>
    </w:p>
    <w:p w14:paraId="3968B554" w14:textId="476BC296" w:rsidR="00643F33" w:rsidRDefault="00643F33">
      <w:pPr>
        <w:rPr>
          <w:highlight w:val="lightGray"/>
        </w:rPr>
      </w:pPr>
      <w:r w:rsidRPr="00643F33">
        <w:rPr>
          <w:highlight w:val="lightGray"/>
        </w:rPr>
        <w:t xml:space="preserve">Optioneel: </w:t>
      </w:r>
    </w:p>
    <w:p w14:paraId="4C3AB85A" w14:textId="514E06D3" w:rsidR="00643F33" w:rsidRPr="00D2005F" w:rsidRDefault="00643F33">
      <w:r>
        <w:rPr>
          <w:highlight w:val="lightGray"/>
        </w:rPr>
        <w:t>E</w:t>
      </w:r>
      <w:r w:rsidRPr="00643F33">
        <w:rPr>
          <w:highlight w:val="lightGray"/>
        </w:rPr>
        <w:t>en kopie</w:t>
      </w:r>
      <w:r>
        <w:rPr>
          <w:highlight w:val="lightGray"/>
        </w:rPr>
        <w:t xml:space="preserve"> van deze beslissing</w:t>
      </w:r>
      <w:r w:rsidRPr="00643F33">
        <w:rPr>
          <w:highlight w:val="lightGray"/>
        </w:rPr>
        <w:t xml:space="preserve"> wordt ter kennisgeving overgemaakt aan Wonen in Vlaanderen via </w:t>
      </w:r>
      <w:hyperlink r:id="rId8" w:history="1">
        <w:r w:rsidRPr="00643F33">
          <w:rPr>
            <w:rStyle w:val="Hyperlink"/>
            <w:highlight w:val="lightGray"/>
          </w:rPr>
          <w:t>voorkooprecht.wonen@vlaanderen.be</w:t>
        </w:r>
      </w:hyperlink>
      <w:r>
        <w:t xml:space="preserve">] </w:t>
      </w:r>
    </w:p>
    <w:p w14:paraId="77DA8522" w14:textId="7444C56A" w:rsidR="00AA58BF" w:rsidRPr="00643F33" w:rsidRDefault="00AA58BF">
      <w:pPr>
        <w:rPr>
          <w:b/>
          <w:bCs/>
        </w:rPr>
      </w:pPr>
    </w:p>
    <w:sectPr w:rsidR="00AA58BF" w:rsidRPr="00643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867CD"/>
    <w:multiLevelType w:val="hybridMultilevel"/>
    <w:tmpl w:val="4746A2BC"/>
    <w:lvl w:ilvl="0" w:tplc="45A2D1F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01630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30"/>
    <w:rsid w:val="00003173"/>
    <w:rsid w:val="000406D5"/>
    <w:rsid w:val="0004235D"/>
    <w:rsid w:val="00063920"/>
    <w:rsid w:val="0006788F"/>
    <w:rsid w:val="000A3726"/>
    <w:rsid w:val="000C1E38"/>
    <w:rsid w:val="000C34F2"/>
    <w:rsid w:val="000F1427"/>
    <w:rsid w:val="00101124"/>
    <w:rsid w:val="001031B4"/>
    <w:rsid w:val="00123F08"/>
    <w:rsid w:val="00141A3B"/>
    <w:rsid w:val="00145D76"/>
    <w:rsid w:val="00150D54"/>
    <w:rsid w:val="0015376D"/>
    <w:rsid w:val="00165231"/>
    <w:rsid w:val="001E15C2"/>
    <w:rsid w:val="00205364"/>
    <w:rsid w:val="00213C11"/>
    <w:rsid w:val="00246E00"/>
    <w:rsid w:val="00270E55"/>
    <w:rsid w:val="00280DE2"/>
    <w:rsid w:val="002B7E8F"/>
    <w:rsid w:val="002E53C2"/>
    <w:rsid w:val="00332723"/>
    <w:rsid w:val="003413E7"/>
    <w:rsid w:val="00351E15"/>
    <w:rsid w:val="00393431"/>
    <w:rsid w:val="003A705E"/>
    <w:rsid w:val="003B12C8"/>
    <w:rsid w:val="003C6043"/>
    <w:rsid w:val="003C75B9"/>
    <w:rsid w:val="003E06AA"/>
    <w:rsid w:val="003F20A4"/>
    <w:rsid w:val="0040799F"/>
    <w:rsid w:val="00430948"/>
    <w:rsid w:val="00441E89"/>
    <w:rsid w:val="00453213"/>
    <w:rsid w:val="00467D10"/>
    <w:rsid w:val="0048157B"/>
    <w:rsid w:val="004A1BE2"/>
    <w:rsid w:val="004C3D3E"/>
    <w:rsid w:val="004C7804"/>
    <w:rsid w:val="004E2727"/>
    <w:rsid w:val="004F778A"/>
    <w:rsid w:val="005234A8"/>
    <w:rsid w:val="00545507"/>
    <w:rsid w:val="006073C2"/>
    <w:rsid w:val="00634701"/>
    <w:rsid w:val="00635AA0"/>
    <w:rsid w:val="00636648"/>
    <w:rsid w:val="00643F33"/>
    <w:rsid w:val="006655EC"/>
    <w:rsid w:val="00667D69"/>
    <w:rsid w:val="00690048"/>
    <w:rsid w:val="006F2E28"/>
    <w:rsid w:val="00795793"/>
    <w:rsid w:val="007E40E9"/>
    <w:rsid w:val="007E5771"/>
    <w:rsid w:val="007F1D9A"/>
    <w:rsid w:val="008528DA"/>
    <w:rsid w:val="00894F5F"/>
    <w:rsid w:val="008A75F5"/>
    <w:rsid w:val="008B2972"/>
    <w:rsid w:val="008C3094"/>
    <w:rsid w:val="008E1896"/>
    <w:rsid w:val="008F081B"/>
    <w:rsid w:val="00907AFD"/>
    <w:rsid w:val="00911CA4"/>
    <w:rsid w:val="00984F39"/>
    <w:rsid w:val="009C2BA6"/>
    <w:rsid w:val="009E1972"/>
    <w:rsid w:val="00A12013"/>
    <w:rsid w:val="00A230C7"/>
    <w:rsid w:val="00A37C83"/>
    <w:rsid w:val="00A6274D"/>
    <w:rsid w:val="00A85879"/>
    <w:rsid w:val="00AA3F17"/>
    <w:rsid w:val="00AA4D34"/>
    <w:rsid w:val="00AA58BF"/>
    <w:rsid w:val="00B0336A"/>
    <w:rsid w:val="00B36F04"/>
    <w:rsid w:val="00B529E0"/>
    <w:rsid w:val="00B806D4"/>
    <w:rsid w:val="00BD1B48"/>
    <w:rsid w:val="00BF23C5"/>
    <w:rsid w:val="00C01FDE"/>
    <w:rsid w:val="00C20CAF"/>
    <w:rsid w:val="00C25575"/>
    <w:rsid w:val="00C37088"/>
    <w:rsid w:val="00C67A34"/>
    <w:rsid w:val="00CA7930"/>
    <w:rsid w:val="00CD26BB"/>
    <w:rsid w:val="00CF0080"/>
    <w:rsid w:val="00D071E4"/>
    <w:rsid w:val="00D2005F"/>
    <w:rsid w:val="00D43C9D"/>
    <w:rsid w:val="00D479FF"/>
    <w:rsid w:val="00D67287"/>
    <w:rsid w:val="00D73B37"/>
    <w:rsid w:val="00D8031F"/>
    <w:rsid w:val="00D95B52"/>
    <w:rsid w:val="00DC2358"/>
    <w:rsid w:val="00DC51F8"/>
    <w:rsid w:val="00DE67A6"/>
    <w:rsid w:val="00DE6BAA"/>
    <w:rsid w:val="00E0175A"/>
    <w:rsid w:val="00E0458A"/>
    <w:rsid w:val="00E71C49"/>
    <w:rsid w:val="00E847BB"/>
    <w:rsid w:val="00E85C4D"/>
    <w:rsid w:val="00EA1B01"/>
    <w:rsid w:val="00EA4BDB"/>
    <w:rsid w:val="00EB0C95"/>
    <w:rsid w:val="00EE0FFF"/>
    <w:rsid w:val="00F10E90"/>
    <w:rsid w:val="00F776E0"/>
    <w:rsid w:val="00FB3C30"/>
    <w:rsid w:val="00FB7495"/>
    <w:rsid w:val="00FF3AC4"/>
    <w:rsid w:val="058481C4"/>
    <w:rsid w:val="07D14938"/>
    <w:rsid w:val="081479BF"/>
    <w:rsid w:val="096D1999"/>
    <w:rsid w:val="0972AEDA"/>
    <w:rsid w:val="0DA83AAC"/>
    <w:rsid w:val="12F13424"/>
    <w:rsid w:val="1F57364D"/>
    <w:rsid w:val="228096DB"/>
    <w:rsid w:val="258433AD"/>
    <w:rsid w:val="273C5B01"/>
    <w:rsid w:val="27A5FE40"/>
    <w:rsid w:val="2CD632A0"/>
    <w:rsid w:val="34832539"/>
    <w:rsid w:val="3CD615DE"/>
    <w:rsid w:val="3FDBB4C3"/>
    <w:rsid w:val="417278BF"/>
    <w:rsid w:val="4A45BD11"/>
    <w:rsid w:val="4C4F5812"/>
    <w:rsid w:val="4D1E9BD4"/>
    <w:rsid w:val="4EE439F6"/>
    <w:rsid w:val="4EFF94FA"/>
    <w:rsid w:val="50451209"/>
    <w:rsid w:val="5102A8D0"/>
    <w:rsid w:val="5893EBED"/>
    <w:rsid w:val="58DC72B9"/>
    <w:rsid w:val="58E2BE08"/>
    <w:rsid w:val="639FF4A4"/>
    <w:rsid w:val="65A51892"/>
    <w:rsid w:val="67B8E2B9"/>
    <w:rsid w:val="6AF34A78"/>
    <w:rsid w:val="70D5AEBA"/>
    <w:rsid w:val="73A8EA15"/>
    <w:rsid w:val="74860F81"/>
    <w:rsid w:val="7CA1A79C"/>
    <w:rsid w:val="7FDF5F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2249"/>
  <w15:chartTrackingRefBased/>
  <w15:docId w15:val="{96B10462-AF4C-4492-B7AE-8DEA56CF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6F04"/>
    <w:pPr>
      <w:ind w:left="720"/>
      <w:contextualSpacing/>
    </w:pPr>
  </w:style>
  <w:style w:type="table" w:styleId="Tabelraster">
    <w:name w:val="Table Grid"/>
    <w:basedOn w:val="Standaardtabel"/>
    <w:uiPriority w:val="39"/>
    <w:rsid w:val="00907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0175A"/>
    <w:rPr>
      <w:sz w:val="16"/>
      <w:szCs w:val="16"/>
    </w:rPr>
  </w:style>
  <w:style w:type="paragraph" w:styleId="Tekstopmerking">
    <w:name w:val="annotation text"/>
    <w:basedOn w:val="Standaard"/>
    <w:link w:val="TekstopmerkingChar"/>
    <w:uiPriority w:val="99"/>
    <w:semiHidden/>
    <w:unhideWhenUsed/>
    <w:rsid w:val="00E0175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0175A"/>
    <w:rPr>
      <w:sz w:val="20"/>
      <w:szCs w:val="20"/>
    </w:rPr>
  </w:style>
  <w:style w:type="paragraph" w:styleId="Onderwerpvanopmerking">
    <w:name w:val="annotation subject"/>
    <w:basedOn w:val="Tekstopmerking"/>
    <w:next w:val="Tekstopmerking"/>
    <w:link w:val="OnderwerpvanopmerkingChar"/>
    <w:uiPriority w:val="99"/>
    <w:semiHidden/>
    <w:unhideWhenUsed/>
    <w:rsid w:val="00E0175A"/>
    <w:rPr>
      <w:b/>
      <w:bCs/>
    </w:rPr>
  </w:style>
  <w:style w:type="character" w:customStyle="1" w:styleId="OnderwerpvanopmerkingChar">
    <w:name w:val="Onderwerp van opmerking Char"/>
    <w:basedOn w:val="TekstopmerkingChar"/>
    <w:link w:val="Onderwerpvanopmerking"/>
    <w:uiPriority w:val="99"/>
    <w:semiHidden/>
    <w:rsid w:val="00E0175A"/>
    <w:rPr>
      <w:b/>
      <w:bCs/>
      <w:sz w:val="20"/>
      <w:szCs w:val="20"/>
    </w:rPr>
  </w:style>
  <w:style w:type="character" w:styleId="Hyperlink">
    <w:name w:val="Hyperlink"/>
    <w:basedOn w:val="Standaardalinea-lettertype"/>
    <w:uiPriority w:val="99"/>
    <w:unhideWhenUsed/>
    <w:rsid w:val="00643F33"/>
    <w:rPr>
      <w:color w:val="0563C1" w:themeColor="hyperlink"/>
      <w:u w:val="single"/>
    </w:rPr>
  </w:style>
  <w:style w:type="character" w:styleId="Onopgelostemelding">
    <w:name w:val="Unresolved Mention"/>
    <w:basedOn w:val="Standaardalinea-lettertype"/>
    <w:uiPriority w:val="99"/>
    <w:semiHidden/>
    <w:unhideWhenUsed/>
    <w:rsid w:val="00643F33"/>
    <w:rPr>
      <w:color w:val="605E5C"/>
      <w:shd w:val="clear" w:color="auto" w:fill="E1DFDD"/>
    </w:rPr>
  </w:style>
  <w:style w:type="paragraph" w:styleId="Revisie">
    <w:name w:val="Revision"/>
    <w:hidden/>
    <w:uiPriority w:val="99"/>
    <w:semiHidden/>
    <w:rsid w:val="007E57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68348">
      <w:bodyDiv w:val="1"/>
      <w:marLeft w:val="0"/>
      <w:marRight w:val="0"/>
      <w:marTop w:val="0"/>
      <w:marBottom w:val="0"/>
      <w:divBdr>
        <w:top w:val="none" w:sz="0" w:space="0" w:color="auto"/>
        <w:left w:val="none" w:sz="0" w:space="0" w:color="auto"/>
        <w:bottom w:val="none" w:sz="0" w:space="0" w:color="auto"/>
        <w:right w:val="none" w:sz="0" w:space="0" w:color="auto"/>
      </w:divBdr>
      <w:divsChild>
        <w:div w:id="528031960">
          <w:marLeft w:val="0"/>
          <w:marRight w:val="0"/>
          <w:marTop w:val="15"/>
          <w:marBottom w:val="0"/>
          <w:divBdr>
            <w:top w:val="single" w:sz="48" w:space="0" w:color="auto"/>
            <w:left w:val="single" w:sz="48" w:space="0" w:color="auto"/>
            <w:bottom w:val="single" w:sz="48" w:space="0" w:color="auto"/>
            <w:right w:val="single" w:sz="48" w:space="0" w:color="auto"/>
          </w:divBdr>
          <w:divsChild>
            <w:div w:id="1942488215">
              <w:marLeft w:val="0"/>
              <w:marRight w:val="0"/>
              <w:marTop w:val="0"/>
              <w:marBottom w:val="0"/>
              <w:divBdr>
                <w:top w:val="none" w:sz="0" w:space="0" w:color="auto"/>
                <w:left w:val="none" w:sz="0" w:space="0" w:color="auto"/>
                <w:bottom w:val="none" w:sz="0" w:space="0" w:color="auto"/>
                <w:right w:val="none" w:sz="0" w:space="0" w:color="auto"/>
              </w:divBdr>
            </w:div>
          </w:divsChild>
        </w:div>
        <w:div w:id="834877249">
          <w:marLeft w:val="0"/>
          <w:marRight w:val="0"/>
          <w:marTop w:val="15"/>
          <w:marBottom w:val="0"/>
          <w:divBdr>
            <w:top w:val="single" w:sz="48" w:space="0" w:color="auto"/>
            <w:left w:val="single" w:sz="48" w:space="0" w:color="auto"/>
            <w:bottom w:val="single" w:sz="48" w:space="0" w:color="auto"/>
            <w:right w:val="single" w:sz="48" w:space="0" w:color="auto"/>
          </w:divBdr>
          <w:divsChild>
            <w:div w:id="3624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orkooprecht.wonen@vlaanderen.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1F74004FEBF44E98611E02F34AC548" ma:contentTypeVersion="8" ma:contentTypeDescription="Een nieuw document maken." ma:contentTypeScope="" ma:versionID="b87e56c38997ac0316e2461068d3e60a">
  <xsd:schema xmlns:xsd="http://www.w3.org/2001/XMLSchema" xmlns:xs="http://www.w3.org/2001/XMLSchema" xmlns:p="http://schemas.microsoft.com/office/2006/metadata/properties" xmlns:ns2="9b379e46-7308-4dc1-a074-b4ce9c12a3d7" xmlns:ns3="87740709-820d-431f-87a1-8bc9ec543c52" targetNamespace="http://schemas.microsoft.com/office/2006/metadata/properties" ma:root="true" ma:fieldsID="7ec89d7ccb80b51339f359ba161e9d63" ns2:_="" ns3:_="">
    <xsd:import namespace="9b379e46-7308-4dc1-a074-b4ce9c12a3d7"/>
    <xsd:import namespace="87740709-820d-431f-87a1-8bc9ec543c52"/>
    <xsd:element name="properties">
      <xsd:complexType>
        <xsd:sequence>
          <xsd:element name="documentManagement">
            <xsd:complexType>
              <xsd:all>
                <xsd:element ref="ns2:o9d23fb1fab34129bff4a6851a822754" minOccurs="0"/>
                <xsd:element ref="ns3:TaxCatchAll" minOccurs="0"/>
                <xsd:element ref="ns2:MediaServiceMetadata" minOccurs="0"/>
                <xsd:element ref="ns2:MediaServiceFastMetadata" minOccurs="0"/>
                <xsd:element ref="ns3:SharedWithUsers" minOccurs="0"/>
                <xsd:element ref="ns3:SharedWithDetails" minOccurs="0"/>
                <xsd:element ref="ns2:Them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79e46-7308-4dc1-a074-b4ce9c12a3d7" elementFormDefault="qualified">
    <xsd:import namespace="http://schemas.microsoft.com/office/2006/documentManagement/types"/>
    <xsd:import namespace="http://schemas.microsoft.com/office/infopath/2007/PartnerControls"/>
    <xsd:element name="o9d23fb1fab34129bff4a6851a822754" ma:index="9" nillable="true" ma:taxonomy="true" ma:internalName="o9d23fb1fab34129bff4a6851a822754" ma:taxonomyFieldName="Documenttype" ma:displayName="Documenttype" ma:default="" ma:fieldId="{89d23fb1-fab3-4129-bff4-a6851a822754}" ma:sspId="49ca8161-7180-459b-a0ef-1a71cf6ffea5" ma:termSetId="7fd4d3b0-64a7-4d04-9d01-9ae7d31a65a6"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hema" ma:index="15" ma:displayName="Thema" ma:format="Dropdown" ma:internalName="Thema">
      <xsd:simpleType>
        <xsd:restriction base="dms:Choice">
          <xsd:enumeration value="Vorming en communicatie"/>
          <xsd:enumeration value="Regelgeving"/>
          <xsd:enumeration value="Standpunten"/>
          <xsd:enumeration value="Dossiers"/>
        </xsd:restriction>
      </xsd:simpleType>
    </xsd:element>
  </xsd:schema>
  <xsd:schema xmlns:xsd="http://www.w3.org/2001/XMLSchema" xmlns:xs="http://www.w3.org/2001/XMLSchema" xmlns:dms="http://schemas.microsoft.com/office/2006/documentManagement/types" xmlns:pc="http://schemas.microsoft.com/office/infopath/2007/PartnerControls" targetNamespace="87740709-820d-431f-87a1-8bc9ec543c5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c321fd3-e463-467b-9d5c-fa8a1c455abf}" ma:internalName="TaxCatchAll" ma:showField="CatchAllData" ma:web="87740709-820d-431f-87a1-8bc9ec543c52">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9d23fb1fab34129bff4a6851a822754 xmlns="9b379e46-7308-4dc1-a074-b4ce9c12a3d7">
      <Terms xmlns="http://schemas.microsoft.com/office/infopath/2007/PartnerControls"/>
    </o9d23fb1fab34129bff4a6851a822754>
    <Thema xmlns="9b379e46-7308-4dc1-a074-b4ce9c12a3d7">Vorming en communicatie</Thema>
    <TaxCatchAll xmlns="87740709-820d-431f-87a1-8bc9ec543c52" xsi:nil="true"/>
    <SharedWithUsers xmlns="87740709-820d-431f-87a1-8bc9ec543c52">
      <UserInfo>
        <DisplayName>Decorte An</DisplayName>
        <AccountId>40</AccountId>
        <AccountType/>
      </UserInfo>
    </SharedWithUsers>
  </documentManagement>
</p:properties>
</file>

<file path=customXml/itemProps1.xml><?xml version="1.0" encoding="utf-8"?>
<ds:datastoreItem xmlns:ds="http://schemas.openxmlformats.org/officeDocument/2006/customXml" ds:itemID="{E16B8C23-ED29-4DB5-8912-73C751A921CC}">
  <ds:schemaRefs>
    <ds:schemaRef ds:uri="http://schemas.microsoft.com/sharepoint/v3/contenttype/forms"/>
  </ds:schemaRefs>
</ds:datastoreItem>
</file>

<file path=customXml/itemProps2.xml><?xml version="1.0" encoding="utf-8"?>
<ds:datastoreItem xmlns:ds="http://schemas.openxmlformats.org/officeDocument/2006/customXml" ds:itemID="{4A530567-A789-4BB7-9F22-5725E2DDC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79e46-7308-4dc1-a074-b4ce9c12a3d7"/>
    <ds:schemaRef ds:uri="87740709-820d-431f-87a1-8bc9ec543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234FF-2C25-4BD1-9B42-066542CE4C90}">
  <ds:schemaRefs>
    <ds:schemaRef ds:uri="http://schemas.microsoft.com/office/2006/metadata/properties"/>
    <ds:schemaRef ds:uri="http://schemas.microsoft.com/office/infopath/2007/PartnerControls"/>
    <ds:schemaRef ds:uri="9b379e46-7308-4dc1-a074-b4ce9c12a3d7"/>
    <ds:schemaRef ds:uri="87740709-820d-431f-87a1-8bc9ec543c5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3305</Characters>
  <Application>Microsoft Office Word</Application>
  <DocSecurity>0</DocSecurity>
  <Lines>27</Lines>
  <Paragraphs>7</Paragraphs>
  <ScaleCrop>false</ScaleCrop>
  <Company/>
  <LinksUpToDate>false</LinksUpToDate>
  <CharactersWithSpaces>3898</CharactersWithSpaces>
  <SharedDoc>false</SharedDoc>
  <HLinks>
    <vt:vector size="6" baseType="variant">
      <vt:variant>
        <vt:i4>6225974</vt:i4>
      </vt:variant>
      <vt:variant>
        <vt:i4>0</vt:i4>
      </vt:variant>
      <vt:variant>
        <vt:i4>0</vt:i4>
      </vt:variant>
      <vt:variant>
        <vt:i4>5</vt:i4>
      </vt:variant>
      <vt:variant>
        <vt:lpwstr>mailto:voorkooprecht.wonen@vlaanderen.be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Decorte An</dc:creator>
  <cp:keywords/>
  <dc:description/>
  <cp:lastModifiedBy>An DECORTE</cp:lastModifiedBy>
  <cp:revision>3</cp:revision>
  <cp:lastPrinted>2023-07-04T16:38:00Z</cp:lastPrinted>
  <dcterms:created xsi:type="dcterms:W3CDTF">2023-07-19T15:14:00Z</dcterms:created>
  <dcterms:modified xsi:type="dcterms:W3CDTF">2023-07-19T15:26:00Z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0x010100711F74004FEBF44E98611E02F34AC548</vt:lpwstr>
  </property>
  <property fmtid="{D5CDD505-2E9C-101B-9397-08002B2CF9AE}" pid="3" name="Documenttype">
    <vt:lpwstr/>
  </property>
</Properties>
</file>