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FA20" w14:textId="66F0019B" w:rsidR="00F33441" w:rsidRDefault="00F33441" w:rsidP="00F33441">
      <w:r>
        <w:t>MODEL GEMEENTERAADS</w:t>
      </w:r>
      <w:r w:rsidR="00042E09">
        <w:t>- OF COLLEGE</w:t>
      </w:r>
      <w:r>
        <w:t xml:space="preserve">BESLISSING AANDUIDING LID TOEWIJZINGSRAAD WOONMAATSCHAPPIJ </w:t>
      </w:r>
      <w:r w:rsidRPr="00F33441">
        <w:rPr>
          <w:highlight w:val="yellow"/>
        </w:rPr>
        <w:t>XYZ</w:t>
      </w:r>
    </w:p>
    <w:p w14:paraId="3E3B95F9" w14:textId="77777777" w:rsidR="00F33441" w:rsidRDefault="00F33441" w:rsidP="00F33441"/>
    <w:p w14:paraId="1577E04B" w14:textId="761928B5" w:rsidR="00F33441" w:rsidRDefault="00F33441" w:rsidP="00F33441">
      <w:r>
        <w:t>Motivering</w:t>
      </w:r>
    </w:p>
    <w:p w14:paraId="32E44D80" w14:textId="77777777" w:rsidR="00F33441" w:rsidRDefault="00F33441" w:rsidP="00F33441">
      <w:r>
        <w:t>Context en argumentatie</w:t>
      </w:r>
    </w:p>
    <w:p w14:paraId="7B7E0070" w14:textId="2BD9E1CA" w:rsidR="00F33441" w:rsidRDefault="00F33441" w:rsidP="001224DB">
      <w:pPr>
        <w:jc w:val="both"/>
      </w:pPr>
      <w:r>
        <w:t xml:space="preserve">Met brief/e-mailbericht d.d. </w:t>
      </w:r>
      <w:r w:rsidRPr="00F33441">
        <w:rPr>
          <w:highlight w:val="yellow"/>
        </w:rPr>
        <w:t>XX/XX/XXXX</w:t>
      </w:r>
      <w:r>
        <w:t xml:space="preserve"> </w:t>
      </w:r>
      <w:r w:rsidR="00611D7D">
        <w:t xml:space="preserve">vraagt de sociale huisvestingsmaatschappij/ de woonmaatschappij </w:t>
      </w:r>
      <w:r w:rsidR="00611D7D" w:rsidRPr="00F33441">
        <w:rPr>
          <w:highlight w:val="yellow"/>
        </w:rPr>
        <w:t>XYZ</w:t>
      </w:r>
      <w:r w:rsidR="00611D7D">
        <w:t xml:space="preserve"> </w:t>
      </w:r>
      <w:r>
        <w:t>om een effectie</w:t>
      </w:r>
      <w:r w:rsidR="00611D7D">
        <w:t>ve</w:t>
      </w:r>
      <w:r>
        <w:t xml:space="preserve"> en een plaatsvervangend</w:t>
      </w:r>
      <w:r w:rsidR="00611D7D">
        <w:t>e</w:t>
      </w:r>
      <w:r>
        <w:t xml:space="preserve"> vertegenwoordiger aan te duiden </w:t>
      </w:r>
      <w:r w:rsidR="00611D7D">
        <w:t xml:space="preserve">om deel uit te maken van </w:t>
      </w:r>
      <w:r>
        <w:t xml:space="preserve">de toewijzingsraad die de woonmaatschappij </w:t>
      </w:r>
      <w:r w:rsidR="00611D7D">
        <w:t xml:space="preserve">zal oprichten </w:t>
      </w:r>
      <w:r>
        <w:t xml:space="preserve">binnen het </w:t>
      </w:r>
      <w:r w:rsidR="00000232">
        <w:t>(deel)</w:t>
      </w:r>
      <w:r>
        <w:t xml:space="preserve">werkingsgebied </w:t>
      </w:r>
      <w:r w:rsidRPr="001224DB">
        <w:rPr>
          <w:highlight w:val="yellow"/>
        </w:rPr>
        <w:t>ABC</w:t>
      </w:r>
      <w:r>
        <w:t>.</w:t>
      </w:r>
    </w:p>
    <w:p w14:paraId="0CCE678C" w14:textId="472DA589" w:rsidR="00B675BE" w:rsidRDefault="00B675BE" w:rsidP="00B675BE">
      <w:pPr>
        <w:spacing w:after="200" w:line="276" w:lineRule="auto"/>
        <w:jc w:val="both"/>
      </w:pPr>
      <w:r>
        <w:t xml:space="preserve">Om een aanpak op maat te realiseren </w:t>
      </w:r>
      <w:r w:rsidR="00611D7D">
        <w:t xml:space="preserve">bij de toewijzing van sociale huurwoningen </w:t>
      </w:r>
      <w:r>
        <w:t xml:space="preserve">nemen de woonmaatschappijen het initiatief om een </w:t>
      </w:r>
      <w:r w:rsidRPr="00B675BE">
        <w:rPr>
          <w:b/>
          <w:bCs/>
        </w:rPr>
        <w:t>toewijzingsraad</w:t>
      </w:r>
      <w:r>
        <w:t xml:space="preserve"> op te richten. De sociale verhuurders, lokale besturen en relevante welzijnsactoren kunnen op die manier in dialoog gaan met elkaar en afspraken maken, om een geïntegreerd en gedragen toewijzingsbeleid te realiseren. </w:t>
      </w:r>
    </w:p>
    <w:p w14:paraId="40E77708" w14:textId="4D7010EC" w:rsidR="00B675BE" w:rsidRDefault="00B675BE" w:rsidP="00B675BE">
      <w:pPr>
        <w:spacing w:after="200" w:line="276" w:lineRule="auto"/>
        <w:jc w:val="both"/>
      </w:pPr>
      <w:r>
        <w:t xml:space="preserve">In het </w:t>
      </w:r>
      <w:r w:rsidR="00611D7D">
        <w:t xml:space="preserve">Besluit Vlaamse Codex Wonen van 2021 (BVCW) </w:t>
      </w:r>
      <w:r>
        <w:t xml:space="preserve">wordt ruimte gelaten om bij het vastleggen van de toewijzingsregels </w:t>
      </w:r>
      <w:r w:rsidR="000D0015">
        <w:t xml:space="preserve">sociale huur </w:t>
      </w:r>
      <w:r>
        <w:t xml:space="preserve">regionale en lokale accenten te leggen. Deze bepalingen worden opgenomen in een toewijzingsreglement. Hierbij wordt een grote rol toebedeeld aan de toewijzingsraad. De </w:t>
      </w:r>
      <w:r w:rsidR="00611D7D">
        <w:t>toewijzings</w:t>
      </w:r>
      <w:r>
        <w:t xml:space="preserve">raad </w:t>
      </w:r>
      <w:r w:rsidR="00FA4B89">
        <w:t xml:space="preserve">kan onder bepaalde voorwaarden </w:t>
      </w:r>
      <w:r>
        <w:t xml:space="preserve">passende maatregelen uitwerken in een toewijzingsreglement voor het </w:t>
      </w:r>
      <w:r w:rsidR="00611D7D">
        <w:t>(deel)</w:t>
      </w:r>
      <w:r>
        <w:t>werkingsgebied van de woonmaatschappij, waarbij wordt afgeweken van de standaardtoewijzingsregels, als de regionale of lokale situatie hierom vraagt. Hierdoor kan maximaal rekening worden gehouden met de specifieke noden.</w:t>
      </w:r>
    </w:p>
    <w:p w14:paraId="7B5069A2" w14:textId="1EC26B60" w:rsidR="00D11FF8" w:rsidRDefault="00B675BE" w:rsidP="00D11FF8">
      <w:pPr>
        <w:spacing w:after="200" w:line="276" w:lineRule="auto"/>
        <w:jc w:val="both"/>
      </w:pPr>
      <w:r>
        <w:t xml:space="preserve">Het BVCW bepaalt dat het in twee gevallen verantwoord is passende maatregelen uit te werken in een toewijzingsreglement, waar men kan afwijken van de standaardtoewijzingsregels. Een eigen toewijzingsbeleid kan worden ontwikkeld als men rekening wil houden met de langdurige woonbinding van de kandidaat-huurders of met de woonbehoeftigheid van specifieke doelgroepen. De opmaak van een  toewijzingsreglement dient tot stand te komen in nauw overleg met alle relevante lokale (huisvestings- en welzijns-)actoren. De toewijzingsraad van het </w:t>
      </w:r>
      <w:r w:rsidR="00000232">
        <w:t>(deel)</w:t>
      </w:r>
      <w:r>
        <w:t xml:space="preserve">werkingsgebied van de woonmaatschappij speelt hierin de trekkersrol en is verantwoordelijk voor de opmaak van een ontwerp van het toewijzingsreglement. Het BVCW biedt op die manier de kans om een dynamiek te </w:t>
      </w:r>
      <w:r w:rsidR="00FA4B89">
        <w:t>scheppen</w:t>
      </w:r>
      <w:r>
        <w:t xml:space="preserve"> waarin kan worden gestreefd naar een regionaal gedragen en geïntegreerd toewijzingsbeleid. </w:t>
      </w:r>
    </w:p>
    <w:p w14:paraId="0324F0F1" w14:textId="0B6D5231" w:rsidR="00D11FF8" w:rsidRDefault="00D11FF8" w:rsidP="00D11FF8">
      <w:pPr>
        <w:spacing w:after="200" w:line="276" w:lineRule="auto"/>
        <w:jc w:val="both"/>
      </w:pPr>
      <w:r>
        <w:t xml:space="preserve">Alle gemeenten in het </w:t>
      </w:r>
      <w:r w:rsidR="003D0CC3">
        <w:t>(deel)</w:t>
      </w:r>
      <w:r>
        <w:t xml:space="preserve">werkingsgebied zijn vertegenwoordigd in de toewijzingsraad. Relevante huisvestings- en welzijnsactoren kunnen zichzelf aanmelden om deel uit te maken van de toewijzingsraad als ze actief zijn in het </w:t>
      </w:r>
      <w:r w:rsidR="00B20AF2">
        <w:t>(deel)</w:t>
      </w:r>
      <w:r>
        <w:t>werkingsgebied van de woonmaatschappij. Als er geen consensus is over de samenstelling van de toewijzingsraad, beslist de woonmaatschappij over de samenstelling, waarbij ze rekening houdt met een evenwichtige samenstelling van de toewijzingsraad. De toezichthouder kan optreden wanneer de toewijzingsraad onvoldoende evenwichtig wordt samengesteld.</w:t>
      </w:r>
    </w:p>
    <w:p w14:paraId="098449C3" w14:textId="77777777" w:rsidR="00D11FF8" w:rsidRDefault="00D11FF8" w:rsidP="00D11FF8">
      <w:pPr>
        <w:spacing w:after="200" w:line="276" w:lineRule="auto"/>
        <w:jc w:val="both"/>
      </w:pPr>
      <w:r>
        <w:t xml:space="preserve">De toewijzingsraad heeft een beleidsmatige opdracht en een operationele opdracht. Dit wordt geregeld in </w:t>
      </w:r>
      <w:hyperlink r:id="rId4" w:history="1">
        <w:r>
          <w:rPr>
            <w:rStyle w:val="Hyperlink"/>
          </w:rPr>
          <w:t>artikel 6.23</w:t>
        </w:r>
      </w:hyperlink>
      <w:r>
        <w:t xml:space="preserve"> van het BVCW. </w:t>
      </w:r>
    </w:p>
    <w:p w14:paraId="4C9C7C68" w14:textId="77777777" w:rsidR="00D11FF8" w:rsidRDefault="00D11FF8" w:rsidP="00D11FF8">
      <w:pPr>
        <w:spacing w:after="200" w:line="276" w:lineRule="auto"/>
        <w:jc w:val="both"/>
        <w:rPr>
          <w:b/>
          <w:bCs/>
        </w:rPr>
      </w:pPr>
      <w:r>
        <w:rPr>
          <w:b/>
          <w:bCs/>
        </w:rPr>
        <w:t>Beleidsmatige opdracht</w:t>
      </w:r>
    </w:p>
    <w:p w14:paraId="2A5D85AA" w14:textId="36C32A54" w:rsidR="00D11FF8" w:rsidRDefault="00D11FF8" w:rsidP="00D11FF8">
      <w:pPr>
        <w:spacing w:after="200" w:line="276" w:lineRule="auto"/>
        <w:jc w:val="both"/>
      </w:pPr>
      <w:r>
        <w:lastRenderedPageBreak/>
        <w:t xml:space="preserve">De toewijzingsraad stelt een ontwerp van toewijzingsreglement op. Hierin kunnen bepalingen over de verstrenging van de langdurige woonbinding en bepalingen voor specifieke doelgroepen worden opgenomen. De leden van de toewijzingsraad streven hierbij naar consensus. Als er geen consensus is, </w:t>
      </w:r>
      <w:r w:rsidR="00B20AF2">
        <w:t xml:space="preserve">kunnen </w:t>
      </w:r>
      <w:r>
        <w:t xml:space="preserve">de deelnemende gemeenten van de toewijzingsraad </w:t>
      </w:r>
      <w:r w:rsidR="00FA4B89">
        <w:t xml:space="preserve">specifiek voor hun gemeenten </w:t>
      </w:r>
      <w:r>
        <w:t>over deze bepalingen</w:t>
      </w:r>
      <w:r w:rsidR="00B20AF2">
        <w:t xml:space="preserve"> beslissen</w:t>
      </w:r>
      <w:r>
        <w:t xml:space="preserve">. </w:t>
      </w:r>
    </w:p>
    <w:p w14:paraId="2CFB6D10" w14:textId="75CB18F5" w:rsidR="00D11FF8" w:rsidRDefault="00D11FF8" w:rsidP="00D11FF8">
      <w:pPr>
        <w:spacing w:after="200" w:line="276" w:lineRule="auto"/>
        <w:jc w:val="both"/>
      </w:pPr>
      <w:r>
        <w:t xml:space="preserve">Voor het opnemen van een bepaling over de langdurige woonbinding met het </w:t>
      </w:r>
      <w:r w:rsidR="00B20AF2">
        <w:t>(deel)</w:t>
      </w:r>
      <w:r>
        <w:t xml:space="preserve">werkingsgebied is in ieder geval consensus tussen de gemeenten van het </w:t>
      </w:r>
      <w:r w:rsidR="00B20AF2">
        <w:t>(deel)</w:t>
      </w:r>
      <w:r>
        <w:t xml:space="preserve">werkingsgebied vereist. </w:t>
      </w:r>
    </w:p>
    <w:p w14:paraId="76F3EFF3" w14:textId="77777777" w:rsidR="00D11FF8" w:rsidRDefault="00D11FF8" w:rsidP="00D11FF8">
      <w:pPr>
        <w:spacing w:after="200" w:line="276" w:lineRule="auto"/>
        <w:jc w:val="both"/>
        <w:rPr>
          <w:b/>
          <w:bCs/>
        </w:rPr>
      </w:pPr>
      <w:r>
        <w:rPr>
          <w:b/>
          <w:bCs/>
        </w:rPr>
        <w:t>Operationele opdracht</w:t>
      </w:r>
    </w:p>
    <w:p w14:paraId="074930AC" w14:textId="59AECB59" w:rsidR="00D11FF8" w:rsidRDefault="00D11FF8" w:rsidP="00D11FF8">
      <w:pPr>
        <w:spacing w:after="200" w:line="276" w:lineRule="auto"/>
        <w:jc w:val="both"/>
      </w:pPr>
      <w:r>
        <w:t>De toewijzingsraad staat ook in voor de praktische uitvoering van de regels die betrekking hebben op de versnelde toewijzingen en de toewijzingen aan specifieke doelgroepen. De toewijzingsraad kan afspraken maken over de werkwijze met betrekking tot de aanmelding en begeleiding van kandidaat-huurders en huurders. Deze afspraken worden opgenomen in het huishoudelijk reglement van de toewijzingsraad.</w:t>
      </w:r>
    </w:p>
    <w:p w14:paraId="42C599DA" w14:textId="4379B97B" w:rsidR="001224DB" w:rsidRPr="001224DB" w:rsidRDefault="001224DB" w:rsidP="001224DB">
      <w:pPr>
        <w:spacing w:after="200" w:line="276" w:lineRule="auto"/>
        <w:jc w:val="both"/>
        <w:rPr>
          <w:b/>
          <w:bCs/>
        </w:rPr>
      </w:pPr>
      <w:r w:rsidRPr="001224DB">
        <w:rPr>
          <w:b/>
          <w:bCs/>
        </w:rPr>
        <w:t>Voorstel</w:t>
      </w:r>
    </w:p>
    <w:p w14:paraId="5A0FA35B" w14:textId="27772052" w:rsidR="001224DB" w:rsidRDefault="001224DB" w:rsidP="001224DB">
      <w:r>
        <w:t xml:space="preserve">Door het college van burgemeester en schepenen wordt mevr./dhr. </w:t>
      </w:r>
      <w:r w:rsidRPr="00F33441">
        <w:rPr>
          <w:highlight w:val="yellow"/>
        </w:rPr>
        <w:t>ZZZZZZZZ</w:t>
      </w:r>
      <w:r>
        <w:t xml:space="preserve"> voorgedragen om de stad/gemeente </w:t>
      </w:r>
      <w:r w:rsidRPr="00F33441">
        <w:rPr>
          <w:highlight w:val="yellow"/>
        </w:rPr>
        <w:t>DEF</w:t>
      </w:r>
      <w:r>
        <w:t xml:space="preserve"> te vertegenwoordigen in de toewijzingsraad. Mevr./Dhr.  </w:t>
      </w:r>
      <w:r w:rsidRPr="00F33441">
        <w:rPr>
          <w:highlight w:val="yellow"/>
        </w:rPr>
        <w:t>YYYYYYYY</w:t>
      </w:r>
      <w:r>
        <w:t xml:space="preserve"> wordt voorgedragen als plaatsvervangend</w:t>
      </w:r>
      <w:r w:rsidR="00B20AF2">
        <w:t>e</w:t>
      </w:r>
      <w:r>
        <w:t xml:space="preserve"> vertegenwoordiger.</w:t>
      </w:r>
    </w:p>
    <w:p w14:paraId="4696088F" w14:textId="77777777" w:rsidR="00D11FF8" w:rsidRDefault="00D11FF8" w:rsidP="00B675BE">
      <w:pPr>
        <w:spacing w:after="200" w:line="276" w:lineRule="auto"/>
        <w:jc w:val="both"/>
      </w:pPr>
    </w:p>
    <w:p w14:paraId="6AB386A0" w14:textId="122C6BC9" w:rsidR="00F33441" w:rsidRDefault="00F33441" w:rsidP="00F33441">
      <w:r>
        <w:t>Gaat over tot de geheime stemming:</w:t>
      </w:r>
    </w:p>
    <w:p w14:paraId="223F684D" w14:textId="77777777" w:rsidR="00F33441" w:rsidRDefault="00F33441" w:rsidP="00F33441"/>
    <w:p w14:paraId="07A61CCD" w14:textId="77777777" w:rsidR="00F33441" w:rsidRDefault="00F33441" w:rsidP="00F33441">
      <w:r>
        <w:t>Besluit</w:t>
      </w:r>
    </w:p>
    <w:p w14:paraId="0AAB9C26" w14:textId="37CF3325" w:rsidR="00F33441" w:rsidRDefault="00F33441" w:rsidP="00F33441">
      <w:r>
        <w:t>De gemeenteraad</w:t>
      </w:r>
      <w:r w:rsidR="00042E09">
        <w:t xml:space="preserve">/Het college </w:t>
      </w:r>
      <w:r>
        <w:t>beslist:</w:t>
      </w:r>
    </w:p>
    <w:p w14:paraId="74920FB4" w14:textId="77777777" w:rsidR="00F33441" w:rsidRDefault="00F33441" w:rsidP="00F33441">
      <w:r>
        <w:t>Artikel 1</w:t>
      </w:r>
    </w:p>
    <w:p w14:paraId="22716B8C" w14:textId="783BA28B" w:rsidR="00F33441" w:rsidRDefault="00F33441" w:rsidP="00F33441">
      <w:r>
        <w:t xml:space="preserve">Mevr./Dhr.  </w:t>
      </w:r>
      <w:r w:rsidRPr="00D11FF8">
        <w:rPr>
          <w:highlight w:val="yellow"/>
        </w:rPr>
        <w:t>ZZZZZZZZZ</w:t>
      </w:r>
      <w:r>
        <w:t xml:space="preserve"> wordt, bij geheime stemming, aangeduid als effectie</w:t>
      </w:r>
      <w:r w:rsidR="00B20AF2">
        <w:t>ve</w:t>
      </w:r>
      <w:r>
        <w:t xml:space="preserve"> vertegenwoordiger om de </w:t>
      </w:r>
      <w:r w:rsidR="00D11FF8" w:rsidRPr="00D11FF8">
        <w:rPr>
          <w:highlight w:val="yellow"/>
        </w:rPr>
        <w:t>s</w:t>
      </w:r>
      <w:r w:rsidRPr="00D11FF8">
        <w:rPr>
          <w:highlight w:val="yellow"/>
        </w:rPr>
        <w:t>tad</w:t>
      </w:r>
      <w:r w:rsidR="00D11FF8" w:rsidRPr="00D11FF8">
        <w:rPr>
          <w:highlight w:val="yellow"/>
        </w:rPr>
        <w:t>/gemeente</w:t>
      </w:r>
      <w:r w:rsidR="00D11FF8">
        <w:t xml:space="preserve"> </w:t>
      </w:r>
      <w:r>
        <w:t xml:space="preserve"> te vertegenwoordigen in de </w:t>
      </w:r>
      <w:r w:rsidR="00D11FF8">
        <w:t xml:space="preserve">toewijzingsraad van de </w:t>
      </w:r>
      <w:r>
        <w:t xml:space="preserve">woonmaatschappij binnen </w:t>
      </w:r>
      <w:r w:rsidR="00D11FF8">
        <w:t xml:space="preserve">het </w:t>
      </w:r>
      <w:r w:rsidR="00000232">
        <w:t>(deel)</w:t>
      </w:r>
      <w:r w:rsidR="00D11FF8">
        <w:t xml:space="preserve">werkingsgebied </w:t>
      </w:r>
      <w:r w:rsidR="00D11FF8" w:rsidRPr="00D11FF8">
        <w:rPr>
          <w:highlight w:val="yellow"/>
        </w:rPr>
        <w:t>XYZ</w:t>
      </w:r>
      <w:r>
        <w:t>.</w:t>
      </w:r>
    </w:p>
    <w:p w14:paraId="743796C6" w14:textId="77777777" w:rsidR="00F33441" w:rsidRDefault="00F33441" w:rsidP="00F33441"/>
    <w:p w14:paraId="13A01D9F" w14:textId="77777777" w:rsidR="00F33441" w:rsidRDefault="00F33441" w:rsidP="00F33441">
      <w:r>
        <w:t>Artikel 2</w:t>
      </w:r>
    </w:p>
    <w:p w14:paraId="64BA5DE8" w14:textId="1ACAD428" w:rsidR="00D11FF8" w:rsidRDefault="00F33441" w:rsidP="00D11FF8">
      <w:r>
        <w:t xml:space="preserve">Mevr. </w:t>
      </w:r>
      <w:r w:rsidR="00D11FF8">
        <w:t xml:space="preserve">/Dhr. </w:t>
      </w:r>
      <w:r w:rsidR="00D11FF8" w:rsidRPr="00D11FF8">
        <w:rPr>
          <w:highlight w:val="yellow"/>
        </w:rPr>
        <w:t>YYYYYYYY</w:t>
      </w:r>
      <w:r>
        <w:t xml:space="preserve"> wordt, bij geheime stemming, aangeduid als plaatsvervangend</w:t>
      </w:r>
      <w:r w:rsidR="00B20AF2">
        <w:t>e</w:t>
      </w:r>
      <w:r>
        <w:t xml:space="preserve"> vertegenwoordiger om de </w:t>
      </w:r>
      <w:r w:rsidR="00D11FF8" w:rsidRPr="00D11FF8">
        <w:rPr>
          <w:highlight w:val="yellow"/>
        </w:rPr>
        <w:t>s</w:t>
      </w:r>
      <w:r w:rsidRPr="00D11FF8">
        <w:rPr>
          <w:highlight w:val="yellow"/>
        </w:rPr>
        <w:t>tad</w:t>
      </w:r>
      <w:r w:rsidR="00D11FF8" w:rsidRPr="00D11FF8">
        <w:rPr>
          <w:highlight w:val="yellow"/>
        </w:rPr>
        <w:t>/gemeente</w:t>
      </w:r>
      <w:r>
        <w:t xml:space="preserve"> te vertegenwoordigen </w:t>
      </w:r>
      <w:r w:rsidR="00D11FF8">
        <w:t xml:space="preserve">in de toewijzingsraad van de woonmaatschappij binnen het </w:t>
      </w:r>
      <w:r w:rsidR="00AD4EA8">
        <w:t>(deel)</w:t>
      </w:r>
      <w:r w:rsidR="00D11FF8">
        <w:t xml:space="preserve">werkingsgebied </w:t>
      </w:r>
      <w:r w:rsidR="00D11FF8" w:rsidRPr="00D11FF8">
        <w:rPr>
          <w:highlight w:val="yellow"/>
        </w:rPr>
        <w:t>XYZ</w:t>
      </w:r>
      <w:r w:rsidR="00D11FF8">
        <w:t>.</w:t>
      </w:r>
    </w:p>
    <w:sectPr w:rsidR="00D11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41"/>
    <w:rsid w:val="00000232"/>
    <w:rsid w:val="00042E09"/>
    <w:rsid w:val="000D0015"/>
    <w:rsid w:val="001224DB"/>
    <w:rsid w:val="00247F11"/>
    <w:rsid w:val="00261ADF"/>
    <w:rsid w:val="002F3941"/>
    <w:rsid w:val="003D0CC3"/>
    <w:rsid w:val="003F4074"/>
    <w:rsid w:val="004C1E41"/>
    <w:rsid w:val="00611D7D"/>
    <w:rsid w:val="008E5184"/>
    <w:rsid w:val="00907E31"/>
    <w:rsid w:val="009F0795"/>
    <w:rsid w:val="00AD4EA8"/>
    <w:rsid w:val="00B20AF2"/>
    <w:rsid w:val="00B675BE"/>
    <w:rsid w:val="00D11FF8"/>
    <w:rsid w:val="00D867C5"/>
    <w:rsid w:val="00E22315"/>
    <w:rsid w:val="00E3530D"/>
    <w:rsid w:val="00EC2ED6"/>
    <w:rsid w:val="00EF7D84"/>
    <w:rsid w:val="00F33441"/>
    <w:rsid w:val="00FA4B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A782"/>
  <w15:chartTrackingRefBased/>
  <w15:docId w15:val="{A4369132-09C2-44EC-BAE3-45D82849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D11FF8"/>
    <w:rPr>
      <w:color w:val="3C96BE"/>
      <w:u w:val="single"/>
    </w:rPr>
  </w:style>
  <w:style w:type="character" w:styleId="Verwijzingopmerking">
    <w:name w:val="annotation reference"/>
    <w:basedOn w:val="Standaardalinea-lettertype"/>
    <w:uiPriority w:val="99"/>
    <w:semiHidden/>
    <w:unhideWhenUsed/>
    <w:rsid w:val="009F0795"/>
    <w:rPr>
      <w:sz w:val="16"/>
      <w:szCs w:val="16"/>
    </w:rPr>
  </w:style>
  <w:style w:type="paragraph" w:styleId="Tekstopmerking">
    <w:name w:val="annotation text"/>
    <w:basedOn w:val="Standaard"/>
    <w:link w:val="TekstopmerkingChar"/>
    <w:uiPriority w:val="99"/>
    <w:semiHidden/>
    <w:unhideWhenUsed/>
    <w:rsid w:val="009F07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0795"/>
    <w:rPr>
      <w:sz w:val="20"/>
      <w:szCs w:val="20"/>
    </w:rPr>
  </w:style>
  <w:style w:type="paragraph" w:styleId="Onderwerpvanopmerking">
    <w:name w:val="annotation subject"/>
    <w:basedOn w:val="Tekstopmerking"/>
    <w:next w:val="Tekstopmerking"/>
    <w:link w:val="OnderwerpvanopmerkingChar"/>
    <w:uiPriority w:val="99"/>
    <w:semiHidden/>
    <w:unhideWhenUsed/>
    <w:rsid w:val="009F0795"/>
    <w:rPr>
      <w:b/>
      <w:bCs/>
    </w:rPr>
  </w:style>
  <w:style w:type="character" w:customStyle="1" w:styleId="OnderwerpvanopmerkingChar">
    <w:name w:val="Onderwerp van opmerking Char"/>
    <w:basedOn w:val="TekstopmerkingChar"/>
    <w:link w:val="Onderwerpvanopmerking"/>
    <w:uiPriority w:val="99"/>
    <w:semiHidden/>
    <w:rsid w:val="009F0795"/>
    <w:rPr>
      <w:b/>
      <w:bCs/>
      <w:sz w:val="20"/>
      <w:szCs w:val="20"/>
    </w:rPr>
  </w:style>
  <w:style w:type="paragraph" w:styleId="Revisie">
    <w:name w:val="Revision"/>
    <w:hidden/>
    <w:uiPriority w:val="99"/>
    <w:semiHidden/>
    <w:rsid w:val="000D0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25">
      <w:bodyDiv w:val="1"/>
      <w:marLeft w:val="0"/>
      <w:marRight w:val="0"/>
      <w:marTop w:val="0"/>
      <w:marBottom w:val="0"/>
      <w:divBdr>
        <w:top w:val="none" w:sz="0" w:space="0" w:color="auto"/>
        <w:left w:val="none" w:sz="0" w:space="0" w:color="auto"/>
        <w:bottom w:val="none" w:sz="0" w:space="0" w:color="auto"/>
        <w:right w:val="none" w:sz="0" w:space="0" w:color="auto"/>
      </w:divBdr>
    </w:div>
    <w:div w:id="7376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x.vlaanderen.be/Zoeken/Document.aspx?DID=1033919&amp;param=inhoud&amp;AID=128402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Smedt Luc</dc:creator>
  <cp:keywords/>
  <dc:description/>
  <cp:lastModifiedBy>Hendrickx Tine</cp:lastModifiedBy>
  <cp:revision>2</cp:revision>
  <dcterms:created xsi:type="dcterms:W3CDTF">2023-05-23T09:38:00Z</dcterms:created>
  <dcterms:modified xsi:type="dcterms:W3CDTF">2023-05-23T09:38:00Z</dcterms:modified>
</cp:coreProperties>
</file>