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D31F43" w:rsidRPr="00D31F43" w14:paraId="00B8F1E7" w14:textId="77777777" w:rsidTr="00EB3280">
        <w:tc>
          <w:tcPr>
            <w:tcW w:w="9062" w:type="dxa"/>
          </w:tcPr>
          <w:p w14:paraId="53DB3E4C" w14:textId="41D40327" w:rsidR="00D31F43" w:rsidRPr="006B2A60" w:rsidRDefault="00DE7BA0" w:rsidP="00D31F43">
            <w:pPr>
              <w:jc w:val="center"/>
              <w:rPr>
                <w:rFonts w:ascii="Arial" w:eastAsia="Calibri" w:hAnsi="Arial" w:cs="Arial"/>
                <w:b/>
                <w:sz w:val="32"/>
                <w:szCs w:val="32"/>
              </w:rPr>
            </w:pPr>
            <w:r w:rsidRPr="006B2A60">
              <w:rPr>
                <w:rFonts w:ascii="Arial" w:eastAsia="Calibri" w:hAnsi="Arial" w:cs="Arial"/>
                <w:b/>
                <w:sz w:val="32"/>
                <w:szCs w:val="32"/>
              </w:rPr>
              <w:t xml:space="preserve">WM : </w:t>
            </w:r>
            <w:proofErr w:type="spellStart"/>
            <w:r w:rsidRPr="006B2A60">
              <w:rPr>
                <w:rFonts w:ascii="Arial" w:eastAsia="Calibri" w:hAnsi="Arial" w:cs="Arial"/>
                <w:b/>
                <w:sz w:val="32"/>
                <w:szCs w:val="32"/>
              </w:rPr>
              <w:t>g</w:t>
            </w:r>
            <w:r w:rsidR="00D31F43" w:rsidRPr="006B2A60">
              <w:rPr>
                <w:rFonts w:ascii="Arial" w:eastAsia="Calibri" w:hAnsi="Arial" w:cs="Arial"/>
                <w:b/>
                <w:sz w:val="32"/>
                <w:szCs w:val="32"/>
              </w:rPr>
              <w:t>ood</w:t>
            </w:r>
            <w:proofErr w:type="spellEnd"/>
            <w:r w:rsidR="00D31F43" w:rsidRPr="006B2A60">
              <w:rPr>
                <w:rFonts w:ascii="Arial" w:eastAsia="Calibri" w:hAnsi="Arial" w:cs="Arial"/>
                <w:b/>
                <w:sz w:val="32"/>
                <w:szCs w:val="32"/>
              </w:rPr>
              <w:t xml:space="preserve"> </w:t>
            </w:r>
            <w:proofErr w:type="spellStart"/>
            <w:r w:rsidR="00D31F43" w:rsidRPr="006B2A60">
              <w:rPr>
                <w:rFonts w:ascii="Arial" w:eastAsia="Calibri" w:hAnsi="Arial" w:cs="Arial"/>
                <w:b/>
                <w:sz w:val="32"/>
                <w:szCs w:val="32"/>
              </w:rPr>
              <w:t>practices</w:t>
            </w:r>
            <w:proofErr w:type="spellEnd"/>
            <w:r w:rsidR="00D31F43" w:rsidRPr="006B2A60">
              <w:rPr>
                <w:rFonts w:ascii="Arial" w:eastAsia="Calibri" w:hAnsi="Arial" w:cs="Arial"/>
                <w:b/>
                <w:sz w:val="32"/>
                <w:szCs w:val="32"/>
              </w:rPr>
              <w:t xml:space="preserve"> deontologische code bestuurders</w:t>
            </w:r>
          </w:p>
          <w:p w14:paraId="1CF1BBA9" w14:textId="77777777" w:rsidR="00D31F43" w:rsidRPr="00D31F43" w:rsidRDefault="00D31F43" w:rsidP="00D31F43">
            <w:pPr>
              <w:rPr>
                <w:rFonts w:ascii="Calibri" w:eastAsia="Calibri" w:hAnsi="Calibri" w:cs="Times New Roman"/>
              </w:rPr>
            </w:pPr>
          </w:p>
        </w:tc>
      </w:tr>
      <w:tr w:rsidR="00D31F43" w:rsidRPr="00D31F43" w14:paraId="6C604FC2" w14:textId="77777777" w:rsidTr="00EB3280">
        <w:tc>
          <w:tcPr>
            <w:tcW w:w="9062" w:type="dxa"/>
          </w:tcPr>
          <w:p w14:paraId="5224E489" w14:textId="12589686" w:rsidR="00D31F43" w:rsidRPr="00F5676A" w:rsidRDefault="00D31F43" w:rsidP="00D31F43">
            <w:pPr>
              <w:rPr>
                <w:rFonts w:ascii="Arial" w:eastAsia="Calibri" w:hAnsi="Arial" w:cs="Arial"/>
                <w:sz w:val="20"/>
                <w:szCs w:val="20"/>
              </w:rPr>
            </w:pPr>
            <w:r w:rsidRPr="00F5676A">
              <w:rPr>
                <w:rFonts w:ascii="Arial" w:eastAsia="Calibri" w:hAnsi="Arial" w:cs="Arial"/>
                <w:sz w:val="20"/>
                <w:szCs w:val="20"/>
              </w:rPr>
              <w:t xml:space="preserve">Versie: </w:t>
            </w:r>
            <w:r w:rsidR="007563E9">
              <w:rPr>
                <w:rFonts w:ascii="Arial" w:eastAsia="Calibri" w:hAnsi="Arial" w:cs="Arial"/>
                <w:sz w:val="20"/>
                <w:szCs w:val="20"/>
              </w:rPr>
              <w:t>januari</w:t>
            </w:r>
            <w:r w:rsidR="000C03FE" w:rsidRPr="00F5676A">
              <w:rPr>
                <w:rFonts w:ascii="Arial" w:eastAsia="Calibri" w:hAnsi="Arial" w:cs="Arial"/>
                <w:sz w:val="20"/>
                <w:szCs w:val="20"/>
              </w:rPr>
              <w:t xml:space="preserve"> 202</w:t>
            </w:r>
            <w:r w:rsidR="007563E9">
              <w:rPr>
                <w:rFonts w:ascii="Arial" w:eastAsia="Calibri" w:hAnsi="Arial" w:cs="Arial"/>
                <w:sz w:val="20"/>
                <w:szCs w:val="20"/>
              </w:rPr>
              <w:t>3</w:t>
            </w:r>
          </w:p>
        </w:tc>
      </w:tr>
      <w:tr w:rsidR="00D31F43" w:rsidRPr="00D31F43" w14:paraId="580CF869" w14:textId="77777777" w:rsidTr="00EB3280">
        <w:tc>
          <w:tcPr>
            <w:tcW w:w="9062" w:type="dxa"/>
          </w:tcPr>
          <w:p w14:paraId="45E0B1AC" w14:textId="116CC481" w:rsidR="00D31F43" w:rsidRPr="00F5676A" w:rsidRDefault="00D31F43" w:rsidP="00D31F43">
            <w:pPr>
              <w:rPr>
                <w:rFonts w:ascii="Arial" w:eastAsia="Calibri" w:hAnsi="Arial" w:cs="Arial"/>
                <w:sz w:val="20"/>
                <w:szCs w:val="20"/>
              </w:rPr>
            </w:pPr>
            <w:r w:rsidRPr="00F5676A">
              <w:rPr>
                <w:rFonts w:ascii="Arial" w:eastAsia="Calibri" w:hAnsi="Arial" w:cs="Arial"/>
                <w:sz w:val="20"/>
                <w:szCs w:val="20"/>
              </w:rPr>
              <w:t xml:space="preserve">Update: </w:t>
            </w:r>
          </w:p>
        </w:tc>
      </w:tr>
    </w:tbl>
    <w:p w14:paraId="78C5C5EB" w14:textId="04A2C7B0" w:rsidR="00BC4B9F" w:rsidRDefault="00BC4B9F"/>
    <w:tbl>
      <w:tblPr>
        <w:tblStyle w:val="Tabelraster"/>
        <w:tblW w:w="0" w:type="auto"/>
        <w:tblLook w:val="04A0" w:firstRow="1" w:lastRow="0" w:firstColumn="1" w:lastColumn="0" w:noHBand="0" w:noVBand="1"/>
      </w:tblPr>
      <w:tblGrid>
        <w:gridCol w:w="9062"/>
      </w:tblGrid>
      <w:tr w:rsidR="000C03FE" w:rsidRPr="000C03FE" w14:paraId="1F73B062" w14:textId="77777777" w:rsidTr="000369DF">
        <w:tc>
          <w:tcPr>
            <w:tcW w:w="9062" w:type="dxa"/>
            <w:tcBorders>
              <w:bottom w:val="nil"/>
            </w:tcBorders>
          </w:tcPr>
          <w:p w14:paraId="0E89C9CF" w14:textId="7D56C5B9" w:rsidR="000C03FE" w:rsidRPr="00F92E61" w:rsidRDefault="000C03FE" w:rsidP="000C03FE">
            <w:pPr>
              <w:jc w:val="both"/>
              <w:rPr>
                <w:rFonts w:ascii="Arial" w:eastAsia="Calibri" w:hAnsi="Arial" w:cs="Arial"/>
                <w:sz w:val="20"/>
                <w:szCs w:val="20"/>
              </w:rPr>
            </w:pPr>
            <w:r w:rsidRPr="00F92E61">
              <w:rPr>
                <w:rFonts w:ascii="Arial" w:eastAsia="Calibri" w:hAnsi="Arial" w:cs="Arial"/>
                <w:sz w:val="20"/>
                <w:szCs w:val="20"/>
              </w:rPr>
              <w:t xml:space="preserve">Een deontologische code bevat een reeks van regels die aangeeft hoe men zich dient te gedragen binnen een </w:t>
            </w:r>
            <w:r w:rsidR="00B94665" w:rsidRPr="00F92E61">
              <w:rPr>
                <w:rFonts w:ascii="Arial" w:eastAsia="Calibri" w:hAnsi="Arial" w:cs="Arial"/>
                <w:sz w:val="20"/>
                <w:szCs w:val="20"/>
              </w:rPr>
              <w:t>WM</w:t>
            </w:r>
            <w:r w:rsidRPr="00F92E61">
              <w:rPr>
                <w:rFonts w:ascii="Arial" w:eastAsia="Calibri" w:hAnsi="Arial" w:cs="Arial"/>
                <w:sz w:val="20"/>
                <w:szCs w:val="20"/>
              </w:rPr>
              <w:t xml:space="preserve">. </w:t>
            </w:r>
          </w:p>
          <w:p w14:paraId="58FD9923" w14:textId="77777777" w:rsidR="000C03FE" w:rsidRPr="00F92E61" w:rsidRDefault="000C03FE" w:rsidP="000C03FE">
            <w:pPr>
              <w:jc w:val="both"/>
              <w:rPr>
                <w:rFonts w:ascii="Arial" w:eastAsia="Calibri" w:hAnsi="Arial" w:cs="Arial"/>
                <w:sz w:val="20"/>
                <w:szCs w:val="20"/>
              </w:rPr>
            </w:pPr>
          </w:p>
          <w:p w14:paraId="13E8BD38" w14:textId="5D9DC007" w:rsidR="000C03FE" w:rsidRPr="00F92E61" w:rsidRDefault="000C03FE" w:rsidP="000C03FE">
            <w:pPr>
              <w:jc w:val="both"/>
              <w:rPr>
                <w:rFonts w:ascii="Arial" w:eastAsia="Calibri" w:hAnsi="Arial" w:cs="Arial"/>
                <w:sz w:val="20"/>
                <w:szCs w:val="20"/>
              </w:rPr>
            </w:pPr>
            <w:r w:rsidRPr="00F92E61">
              <w:rPr>
                <w:rFonts w:ascii="Arial" w:eastAsia="Calibri" w:hAnsi="Arial" w:cs="Arial"/>
                <w:sz w:val="20"/>
                <w:szCs w:val="20"/>
              </w:rPr>
              <w:t xml:space="preserve">Om de integriteit van het bestuur te bewaren moeten de </w:t>
            </w:r>
            <w:proofErr w:type="spellStart"/>
            <w:r w:rsidR="004C7D4A" w:rsidRPr="00F92E61">
              <w:rPr>
                <w:rFonts w:ascii="Arial" w:eastAsia="Calibri" w:hAnsi="Arial" w:cs="Arial"/>
                <w:sz w:val="20"/>
                <w:szCs w:val="20"/>
              </w:rPr>
              <w:t>WM’en</w:t>
            </w:r>
            <w:proofErr w:type="spellEnd"/>
            <w:r w:rsidRPr="00F92E61">
              <w:rPr>
                <w:rFonts w:ascii="Arial" w:eastAsia="Calibri" w:hAnsi="Arial" w:cs="Arial"/>
                <w:sz w:val="20"/>
                <w:szCs w:val="20"/>
              </w:rPr>
              <w:t xml:space="preserve"> beschikken over een deontologische code voor bestuurders. Een item met betrekking tot deontologie verwerkt in het huishoudelijk (intern) reglement is niet voldoende.</w:t>
            </w:r>
          </w:p>
          <w:p w14:paraId="62AFB73A" w14:textId="77777777" w:rsidR="000C03FE" w:rsidRPr="00F92E61" w:rsidRDefault="000C03FE" w:rsidP="000C03FE">
            <w:pPr>
              <w:jc w:val="both"/>
              <w:rPr>
                <w:rFonts w:ascii="Arial" w:eastAsia="Calibri" w:hAnsi="Arial" w:cs="Arial"/>
                <w:sz w:val="20"/>
                <w:szCs w:val="20"/>
              </w:rPr>
            </w:pPr>
          </w:p>
          <w:p w14:paraId="0A151A85" w14:textId="1C3D159B" w:rsidR="000C03FE" w:rsidRPr="00F92E61" w:rsidRDefault="000C03FE" w:rsidP="000C03FE">
            <w:pPr>
              <w:jc w:val="both"/>
              <w:rPr>
                <w:rFonts w:ascii="Arial" w:eastAsia="Calibri" w:hAnsi="Arial" w:cs="Arial"/>
                <w:sz w:val="20"/>
                <w:szCs w:val="20"/>
              </w:rPr>
            </w:pPr>
            <w:r w:rsidRPr="00F92E61">
              <w:rPr>
                <w:rFonts w:ascii="Arial" w:eastAsia="Calibri" w:hAnsi="Arial" w:cs="Arial"/>
                <w:sz w:val="20"/>
                <w:szCs w:val="20"/>
              </w:rPr>
              <w:t xml:space="preserve">De volgende elementen kunnen worden opgenomen in een deontologische code </w:t>
            </w:r>
            <w:r w:rsidR="00FD3276" w:rsidRPr="00F92E61">
              <w:rPr>
                <w:rFonts w:ascii="Arial" w:eastAsia="Calibri" w:hAnsi="Arial" w:cs="Arial"/>
                <w:sz w:val="20"/>
                <w:szCs w:val="20"/>
              </w:rPr>
              <w:t xml:space="preserve">van </w:t>
            </w:r>
            <w:r w:rsidRPr="00F92E61">
              <w:rPr>
                <w:rFonts w:ascii="Arial" w:eastAsia="Calibri" w:hAnsi="Arial" w:cs="Arial"/>
                <w:sz w:val="20"/>
                <w:szCs w:val="20"/>
              </w:rPr>
              <w:t>bestuurders:</w:t>
            </w:r>
          </w:p>
          <w:p w14:paraId="66A709C0" w14:textId="77777777" w:rsidR="000C03FE" w:rsidRPr="00F92E61" w:rsidRDefault="000C03FE" w:rsidP="000C03FE">
            <w:pPr>
              <w:jc w:val="both"/>
              <w:rPr>
                <w:rFonts w:ascii="Arial" w:eastAsia="Calibri" w:hAnsi="Arial" w:cs="Arial"/>
                <w:sz w:val="20"/>
                <w:szCs w:val="20"/>
              </w:rPr>
            </w:pPr>
          </w:p>
          <w:p w14:paraId="312DF5C0" w14:textId="77777777" w:rsidR="000C03FE" w:rsidRPr="00F92E61" w:rsidRDefault="000C03FE" w:rsidP="000C03FE">
            <w:pPr>
              <w:numPr>
                <w:ilvl w:val="0"/>
                <w:numId w:val="1"/>
              </w:numPr>
              <w:contextualSpacing/>
              <w:jc w:val="both"/>
              <w:rPr>
                <w:rFonts w:ascii="Arial" w:eastAsia="Calibri" w:hAnsi="Arial" w:cs="Arial"/>
                <w:sz w:val="20"/>
                <w:szCs w:val="20"/>
              </w:rPr>
            </w:pPr>
            <w:r w:rsidRPr="00F92E61">
              <w:rPr>
                <w:rFonts w:ascii="Arial" w:eastAsia="Calibri" w:hAnsi="Arial" w:cs="Arial"/>
                <w:sz w:val="20"/>
                <w:szCs w:val="20"/>
              </w:rPr>
              <w:t>Omschrijving van het doel:</w:t>
            </w:r>
          </w:p>
          <w:p w14:paraId="4B3988E9" w14:textId="77777777" w:rsidR="000C03FE" w:rsidRPr="00F92E61" w:rsidRDefault="000C03FE" w:rsidP="000C03FE">
            <w:pPr>
              <w:ind w:left="360"/>
              <w:contextualSpacing/>
              <w:jc w:val="both"/>
              <w:rPr>
                <w:rFonts w:ascii="Arial" w:eastAsia="Calibri" w:hAnsi="Arial" w:cs="Arial"/>
                <w:sz w:val="20"/>
                <w:szCs w:val="20"/>
              </w:rPr>
            </w:pPr>
          </w:p>
          <w:p w14:paraId="79463B64" w14:textId="77777777" w:rsidR="000C03FE" w:rsidRPr="00F92E61" w:rsidRDefault="000C03FE" w:rsidP="000C03FE">
            <w:pPr>
              <w:numPr>
                <w:ilvl w:val="0"/>
                <w:numId w:val="2"/>
              </w:numPr>
              <w:contextualSpacing/>
              <w:jc w:val="both"/>
              <w:rPr>
                <w:rFonts w:ascii="Arial" w:eastAsia="Calibri" w:hAnsi="Arial" w:cs="Arial"/>
                <w:sz w:val="20"/>
                <w:szCs w:val="20"/>
              </w:rPr>
            </w:pPr>
            <w:r w:rsidRPr="00F92E61">
              <w:rPr>
                <w:rFonts w:ascii="Arial" w:eastAsia="Calibri" w:hAnsi="Arial" w:cs="Arial"/>
                <w:sz w:val="20"/>
                <w:szCs w:val="20"/>
              </w:rPr>
              <w:t xml:space="preserve">De code biedt een leidraad aan de bestuurders waaraan beleidshandelingen en beslissingen met het oog op </w:t>
            </w:r>
            <w:r w:rsidRPr="00F92E61">
              <w:rPr>
                <w:rFonts w:ascii="Arial" w:eastAsia="Calibri" w:hAnsi="Arial" w:cs="Arial"/>
                <w:sz w:val="20"/>
                <w:szCs w:val="20"/>
                <w:highlight w:val="yellow"/>
              </w:rPr>
              <w:t>het vervullen van een opdracht van algemeen belang</w:t>
            </w:r>
            <w:r w:rsidRPr="00F92E61">
              <w:rPr>
                <w:rFonts w:ascii="Arial" w:eastAsia="Calibri" w:hAnsi="Arial" w:cs="Arial"/>
                <w:sz w:val="20"/>
                <w:szCs w:val="20"/>
              </w:rPr>
              <w:t xml:space="preserve"> vooraf kunnen getoetst worden.</w:t>
            </w:r>
          </w:p>
          <w:p w14:paraId="166168FC" w14:textId="77777777" w:rsidR="000C03FE" w:rsidRPr="00F92E61" w:rsidRDefault="000C03FE" w:rsidP="000C03FE">
            <w:pPr>
              <w:numPr>
                <w:ilvl w:val="0"/>
                <w:numId w:val="2"/>
              </w:numPr>
              <w:contextualSpacing/>
              <w:jc w:val="both"/>
              <w:rPr>
                <w:rFonts w:ascii="Arial" w:eastAsia="Calibri" w:hAnsi="Arial" w:cs="Arial"/>
                <w:sz w:val="20"/>
                <w:szCs w:val="20"/>
              </w:rPr>
            </w:pPr>
            <w:r w:rsidRPr="00F92E61">
              <w:rPr>
                <w:rFonts w:ascii="Arial" w:eastAsia="Calibri" w:hAnsi="Arial" w:cs="Arial"/>
                <w:sz w:val="20"/>
                <w:szCs w:val="20"/>
              </w:rPr>
              <w:t xml:space="preserve">De code biedt een kader waarin de </w:t>
            </w:r>
            <w:r w:rsidRPr="00F92E61">
              <w:rPr>
                <w:rFonts w:ascii="Arial" w:eastAsia="Calibri" w:hAnsi="Arial" w:cs="Arial"/>
                <w:sz w:val="20"/>
                <w:szCs w:val="20"/>
                <w:highlight w:val="yellow"/>
              </w:rPr>
              <w:t>beginselen van behoorlijk bestuur</w:t>
            </w:r>
            <w:r w:rsidRPr="00F92E61">
              <w:rPr>
                <w:rFonts w:ascii="Arial" w:eastAsia="Calibri" w:hAnsi="Arial" w:cs="Arial"/>
                <w:sz w:val="20"/>
                <w:szCs w:val="20"/>
              </w:rPr>
              <w:t xml:space="preserve"> niet limitatief zijn afgebakend.</w:t>
            </w:r>
          </w:p>
          <w:p w14:paraId="3205568D" w14:textId="77777777" w:rsidR="000C03FE" w:rsidRPr="00F92E61" w:rsidRDefault="000C03FE" w:rsidP="000C03FE">
            <w:pPr>
              <w:ind w:left="360"/>
              <w:contextualSpacing/>
              <w:jc w:val="both"/>
              <w:rPr>
                <w:rFonts w:ascii="Arial" w:eastAsia="Calibri" w:hAnsi="Arial" w:cs="Arial"/>
                <w:sz w:val="20"/>
                <w:szCs w:val="20"/>
              </w:rPr>
            </w:pPr>
          </w:p>
          <w:p w14:paraId="11D6323F" w14:textId="77777777" w:rsidR="000C03FE" w:rsidRPr="00F92E61" w:rsidRDefault="000C03FE" w:rsidP="000C03FE">
            <w:pPr>
              <w:numPr>
                <w:ilvl w:val="0"/>
                <w:numId w:val="1"/>
              </w:numPr>
              <w:contextualSpacing/>
              <w:jc w:val="both"/>
              <w:rPr>
                <w:rFonts w:ascii="Arial" w:eastAsia="Calibri" w:hAnsi="Arial" w:cs="Arial"/>
                <w:sz w:val="20"/>
                <w:szCs w:val="20"/>
              </w:rPr>
            </w:pPr>
            <w:r w:rsidRPr="00F92E61">
              <w:rPr>
                <w:rFonts w:ascii="Arial" w:eastAsia="Calibri" w:hAnsi="Arial" w:cs="Arial"/>
                <w:sz w:val="20"/>
                <w:szCs w:val="20"/>
              </w:rPr>
              <w:t>Opsomming van de basisregels:</w:t>
            </w:r>
          </w:p>
          <w:p w14:paraId="61525840" w14:textId="77777777" w:rsidR="000C03FE" w:rsidRPr="00F92E61" w:rsidRDefault="000C03FE" w:rsidP="000C03FE">
            <w:pPr>
              <w:ind w:left="360"/>
              <w:contextualSpacing/>
              <w:jc w:val="both"/>
              <w:rPr>
                <w:rFonts w:ascii="Arial" w:eastAsia="Calibri" w:hAnsi="Arial" w:cs="Arial"/>
                <w:sz w:val="20"/>
                <w:szCs w:val="20"/>
              </w:rPr>
            </w:pPr>
          </w:p>
          <w:p w14:paraId="2F108663" w14:textId="7F931ED8"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rPr>
              <w:t xml:space="preserve">Het </w:t>
            </w:r>
            <w:r w:rsidRPr="00F92E61">
              <w:rPr>
                <w:rFonts w:ascii="Arial" w:eastAsia="Calibri" w:hAnsi="Arial" w:cs="Arial"/>
                <w:sz w:val="20"/>
                <w:szCs w:val="20"/>
                <w:highlight w:val="yellow"/>
              </w:rPr>
              <w:t xml:space="preserve">behartigen van de continuïteit en het algemeen belang van de </w:t>
            </w:r>
            <w:r w:rsidR="00711A14">
              <w:rPr>
                <w:rFonts w:ascii="Arial" w:eastAsia="Calibri" w:hAnsi="Arial" w:cs="Arial"/>
                <w:sz w:val="20"/>
                <w:szCs w:val="20"/>
              </w:rPr>
              <w:t xml:space="preserve">WM, </w:t>
            </w:r>
            <w:r w:rsidRPr="00F92E61">
              <w:rPr>
                <w:rFonts w:ascii="Arial" w:eastAsia="Calibri" w:hAnsi="Arial" w:cs="Arial"/>
                <w:sz w:val="20"/>
                <w:szCs w:val="20"/>
              </w:rPr>
              <w:t xml:space="preserve">zoals gedefinieerd in de Vlaamse </w:t>
            </w:r>
            <w:r w:rsidR="002F70D9">
              <w:rPr>
                <w:rFonts w:ascii="Arial" w:eastAsia="Calibri" w:hAnsi="Arial" w:cs="Arial"/>
                <w:sz w:val="20"/>
                <w:szCs w:val="20"/>
              </w:rPr>
              <w:t>Codex Wonen</w:t>
            </w:r>
            <w:r w:rsidRPr="00F92E61">
              <w:rPr>
                <w:rFonts w:ascii="Arial" w:eastAsia="Calibri" w:hAnsi="Arial" w:cs="Arial"/>
                <w:sz w:val="20"/>
                <w:szCs w:val="20"/>
              </w:rPr>
              <w:t xml:space="preserve">. </w:t>
            </w:r>
          </w:p>
          <w:p w14:paraId="28005676"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highlight w:val="yellow"/>
              </w:rPr>
              <w:t>Bijdragen</w:t>
            </w:r>
            <w:r w:rsidRPr="00F92E61">
              <w:rPr>
                <w:rFonts w:ascii="Arial" w:eastAsia="Calibri" w:hAnsi="Arial" w:cs="Arial"/>
                <w:sz w:val="20"/>
                <w:szCs w:val="20"/>
              </w:rPr>
              <w:t xml:space="preserve"> in het kader van het bestuurdersmandaat </w:t>
            </w:r>
            <w:r w:rsidRPr="00F92E61">
              <w:rPr>
                <w:rFonts w:ascii="Arial" w:eastAsia="Calibri" w:hAnsi="Arial" w:cs="Arial"/>
                <w:sz w:val="20"/>
                <w:szCs w:val="20"/>
                <w:highlight w:val="yellow"/>
              </w:rPr>
              <w:t>tot de verwezenlijking van de opdracht van algemeen belang</w:t>
            </w:r>
            <w:r w:rsidRPr="00F92E61">
              <w:rPr>
                <w:rFonts w:ascii="Arial" w:eastAsia="Calibri" w:hAnsi="Arial" w:cs="Arial"/>
                <w:sz w:val="20"/>
                <w:szCs w:val="20"/>
              </w:rPr>
              <w:t xml:space="preserve"> en tot het goed beheer van hun goederen, met inachtneming van het sociaal oogmerk waarin ze hun functie uitoefenen.</w:t>
            </w:r>
          </w:p>
          <w:p w14:paraId="3001C62F"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highlight w:val="yellow"/>
              </w:rPr>
              <w:t>Kennis hebben, toepassen, controleren en respecteren van de werking en de bevoegdheden van de raad van bestuur</w:t>
            </w:r>
            <w:r w:rsidRPr="00F92E61">
              <w:rPr>
                <w:rFonts w:ascii="Arial" w:eastAsia="Calibri" w:hAnsi="Arial" w:cs="Arial"/>
                <w:sz w:val="20"/>
                <w:szCs w:val="20"/>
              </w:rPr>
              <w:t>. Deze worden geregeld door een aantal wettelijke, reglementaire en statutaire bepalingen en door het huishoudelijk (intern) reglement.</w:t>
            </w:r>
          </w:p>
          <w:p w14:paraId="4F1CC055"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highlight w:val="yellow"/>
              </w:rPr>
              <w:t>Het voeren van een redelijk, zuinig en zorgvuldig beleid</w:t>
            </w:r>
            <w:r w:rsidRPr="00F92E61">
              <w:rPr>
                <w:rFonts w:ascii="Arial" w:eastAsia="Calibri" w:hAnsi="Arial" w:cs="Arial"/>
                <w:sz w:val="20"/>
                <w:szCs w:val="20"/>
              </w:rPr>
              <w:t xml:space="preserve"> (elk begrip afzonderlijk definiëren is wenselijk).</w:t>
            </w:r>
          </w:p>
          <w:p w14:paraId="1D0B4CC1"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highlight w:val="yellow"/>
              </w:rPr>
              <w:t>Waakzaam zijn voor alle mogelijke vormen van machtsoverschrijding en machtsafwending</w:t>
            </w:r>
            <w:r w:rsidRPr="00F92E61">
              <w:rPr>
                <w:rFonts w:ascii="Arial" w:eastAsia="Calibri" w:hAnsi="Arial" w:cs="Arial"/>
                <w:sz w:val="20"/>
                <w:szCs w:val="20"/>
              </w:rPr>
              <w:t>.</w:t>
            </w:r>
          </w:p>
          <w:p w14:paraId="558C53B7"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rPr>
              <w:t xml:space="preserve">Erover waken dat de </w:t>
            </w:r>
            <w:r w:rsidRPr="00F92E61">
              <w:rPr>
                <w:rFonts w:ascii="Arial" w:eastAsia="Calibri" w:hAnsi="Arial" w:cs="Arial"/>
                <w:sz w:val="20"/>
                <w:szCs w:val="20"/>
                <w:highlight w:val="yellow"/>
              </w:rPr>
              <w:t>opdracht van algemeen belang</w:t>
            </w:r>
            <w:r w:rsidRPr="00F92E61">
              <w:rPr>
                <w:rFonts w:ascii="Arial" w:eastAsia="Calibri" w:hAnsi="Arial" w:cs="Arial"/>
                <w:sz w:val="20"/>
                <w:szCs w:val="20"/>
              </w:rPr>
              <w:t xml:space="preserve"> op dezelfde gewetensvolle manier </w:t>
            </w:r>
            <w:r w:rsidRPr="00F92E61">
              <w:rPr>
                <w:rFonts w:ascii="Arial" w:eastAsia="Calibri" w:hAnsi="Arial" w:cs="Arial"/>
                <w:sz w:val="20"/>
                <w:szCs w:val="20"/>
                <w:highlight w:val="yellow"/>
              </w:rPr>
              <w:t>ten dienste staat van alle burgers</w:t>
            </w:r>
            <w:r w:rsidRPr="00F92E61">
              <w:rPr>
                <w:rFonts w:ascii="Arial" w:eastAsia="Calibri" w:hAnsi="Arial" w:cs="Arial"/>
                <w:sz w:val="20"/>
                <w:szCs w:val="20"/>
              </w:rPr>
              <w:t>.</w:t>
            </w:r>
          </w:p>
          <w:p w14:paraId="037477E3"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highlight w:val="yellow"/>
              </w:rPr>
              <w:t xml:space="preserve">Zich onthouden van elke vorm van </w:t>
            </w:r>
            <w:proofErr w:type="spellStart"/>
            <w:r w:rsidRPr="00F92E61">
              <w:rPr>
                <w:rFonts w:ascii="Arial" w:eastAsia="Calibri" w:hAnsi="Arial" w:cs="Arial"/>
                <w:sz w:val="20"/>
                <w:szCs w:val="20"/>
                <w:highlight w:val="yellow"/>
              </w:rPr>
              <w:t>cliëntelisme</w:t>
            </w:r>
            <w:proofErr w:type="spellEnd"/>
            <w:r w:rsidRPr="00F92E61">
              <w:rPr>
                <w:rFonts w:ascii="Arial" w:eastAsia="Calibri" w:hAnsi="Arial" w:cs="Arial"/>
                <w:sz w:val="20"/>
                <w:szCs w:val="20"/>
                <w:highlight w:val="yellow"/>
              </w:rPr>
              <w:t xml:space="preserve"> of favoritisme</w:t>
            </w:r>
            <w:r w:rsidRPr="00F92E61">
              <w:rPr>
                <w:rFonts w:ascii="Arial" w:eastAsia="Calibri" w:hAnsi="Arial" w:cs="Arial"/>
                <w:sz w:val="20"/>
                <w:szCs w:val="20"/>
              </w:rPr>
              <w:t>.</w:t>
            </w:r>
          </w:p>
          <w:p w14:paraId="2628023A"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rPr>
              <w:t xml:space="preserve">Erover waken dat de beginselen van </w:t>
            </w:r>
            <w:r w:rsidRPr="00F92E61">
              <w:rPr>
                <w:rFonts w:ascii="Arial" w:eastAsia="Calibri" w:hAnsi="Arial" w:cs="Arial"/>
                <w:sz w:val="20"/>
                <w:szCs w:val="20"/>
                <w:highlight w:val="yellow"/>
              </w:rPr>
              <w:t>deze code zoveel als mogelijk richtinggevend</w:t>
            </w:r>
            <w:r w:rsidRPr="00F92E61">
              <w:rPr>
                <w:rFonts w:ascii="Arial" w:eastAsia="Calibri" w:hAnsi="Arial" w:cs="Arial"/>
                <w:sz w:val="20"/>
                <w:szCs w:val="20"/>
              </w:rPr>
              <w:t xml:space="preserve"> kunnen worden gemaakt </w:t>
            </w:r>
            <w:r w:rsidRPr="00F92E61">
              <w:rPr>
                <w:rFonts w:ascii="Arial" w:eastAsia="Calibri" w:hAnsi="Arial" w:cs="Arial"/>
                <w:sz w:val="20"/>
                <w:szCs w:val="20"/>
                <w:highlight w:val="yellow"/>
              </w:rPr>
              <w:t>ten aanzien van het management en het personeel</w:t>
            </w:r>
            <w:r w:rsidRPr="00F92E61">
              <w:rPr>
                <w:rFonts w:ascii="Arial" w:eastAsia="Calibri" w:hAnsi="Arial" w:cs="Arial"/>
                <w:sz w:val="20"/>
                <w:szCs w:val="20"/>
              </w:rPr>
              <w:t xml:space="preserve"> dat bij de uitvoering van de opdrachten wordt betrokken.</w:t>
            </w:r>
          </w:p>
          <w:p w14:paraId="67EA3ED7"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rPr>
              <w:t xml:space="preserve">Het </w:t>
            </w:r>
            <w:r w:rsidRPr="00F92E61">
              <w:rPr>
                <w:rFonts w:ascii="Arial" w:eastAsia="Calibri" w:hAnsi="Arial" w:cs="Arial"/>
                <w:sz w:val="20"/>
                <w:szCs w:val="20"/>
                <w:highlight w:val="yellow"/>
              </w:rPr>
              <w:t>vermijden van belangenvermenging</w:t>
            </w:r>
            <w:r w:rsidRPr="00F92E61">
              <w:rPr>
                <w:rFonts w:ascii="Arial" w:eastAsia="Calibri" w:hAnsi="Arial" w:cs="Arial"/>
                <w:sz w:val="20"/>
                <w:szCs w:val="20"/>
              </w:rPr>
              <w:t>.</w:t>
            </w:r>
          </w:p>
          <w:p w14:paraId="20799ACB" w14:textId="77777777" w:rsidR="000C03FE" w:rsidRPr="00F92E61" w:rsidRDefault="000C03FE" w:rsidP="000C03FE">
            <w:pPr>
              <w:numPr>
                <w:ilvl w:val="0"/>
                <w:numId w:val="3"/>
              </w:numPr>
              <w:contextualSpacing/>
              <w:jc w:val="both"/>
              <w:rPr>
                <w:rFonts w:ascii="Arial" w:eastAsia="Calibri" w:hAnsi="Arial" w:cs="Arial"/>
                <w:sz w:val="20"/>
                <w:szCs w:val="20"/>
              </w:rPr>
            </w:pPr>
            <w:r w:rsidRPr="00F92E61">
              <w:rPr>
                <w:rFonts w:ascii="Arial" w:eastAsia="Calibri" w:hAnsi="Arial" w:cs="Arial"/>
                <w:sz w:val="20"/>
                <w:szCs w:val="20"/>
              </w:rPr>
              <w:t xml:space="preserve">Het </w:t>
            </w:r>
            <w:r w:rsidRPr="00F92E61">
              <w:rPr>
                <w:rFonts w:ascii="Arial" w:eastAsia="Calibri" w:hAnsi="Arial" w:cs="Arial"/>
                <w:sz w:val="20"/>
                <w:szCs w:val="20"/>
                <w:highlight w:val="yellow"/>
              </w:rPr>
              <w:t>loyaal zijn m.b.t. de genomen beslissingen</w:t>
            </w:r>
            <w:r w:rsidRPr="00F92E61">
              <w:rPr>
                <w:rFonts w:ascii="Arial" w:eastAsia="Calibri" w:hAnsi="Arial" w:cs="Arial"/>
                <w:sz w:val="20"/>
                <w:szCs w:val="20"/>
              </w:rPr>
              <w:t xml:space="preserve"> door de raad van bestuur.</w:t>
            </w:r>
          </w:p>
          <w:p w14:paraId="74342BAB" w14:textId="77777777" w:rsidR="000C03FE" w:rsidRPr="00F92E61" w:rsidRDefault="000C03FE" w:rsidP="000C03FE">
            <w:pPr>
              <w:ind w:firstLine="360"/>
              <w:jc w:val="both"/>
              <w:rPr>
                <w:rFonts w:ascii="Arial" w:eastAsia="Calibri" w:hAnsi="Arial" w:cs="Arial"/>
                <w:sz w:val="20"/>
                <w:szCs w:val="20"/>
              </w:rPr>
            </w:pPr>
          </w:p>
          <w:p w14:paraId="32DE9129" w14:textId="77777777" w:rsidR="000C03FE" w:rsidRPr="00F92E61" w:rsidRDefault="000C03FE" w:rsidP="000C03FE">
            <w:pPr>
              <w:rPr>
                <w:rFonts w:ascii="Arial" w:eastAsia="Calibri" w:hAnsi="Arial" w:cs="Arial"/>
                <w:sz w:val="20"/>
                <w:szCs w:val="20"/>
              </w:rPr>
            </w:pPr>
          </w:p>
        </w:tc>
      </w:tr>
      <w:tr w:rsidR="00C170E7" w:rsidRPr="000C03FE" w14:paraId="36063983" w14:textId="77777777" w:rsidTr="000369DF">
        <w:tc>
          <w:tcPr>
            <w:tcW w:w="9062" w:type="dxa"/>
            <w:tcBorders>
              <w:top w:val="nil"/>
              <w:bottom w:val="single" w:sz="4" w:space="0" w:color="auto"/>
            </w:tcBorders>
          </w:tcPr>
          <w:p w14:paraId="6F816066" w14:textId="77777777" w:rsidR="00C170E7" w:rsidRPr="00F92E61" w:rsidRDefault="00C170E7" w:rsidP="00C170E7">
            <w:pPr>
              <w:numPr>
                <w:ilvl w:val="0"/>
                <w:numId w:val="1"/>
              </w:numPr>
              <w:contextualSpacing/>
              <w:jc w:val="both"/>
              <w:rPr>
                <w:rFonts w:ascii="Arial" w:eastAsia="Calibri" w:hAnsi="Arial" w:cs="Arial"/>
                <w:sz w:val="20"/>
                <w:szCs w:val="20"/>
              </w:rPr>
            </w:pPr>
            <w:r w:rsidRPr="00F92E61">
              <w:rPr>
                <w:rFonts w:ascii="Arial" w:eastAsia="Calibri" w:hAnsi="Arial" w:cs="Arial"/>
                <w:sz w:val="20"/>
                <w:szCs w:val="20"/>
              </w:rPr>
              <w:t>Bijkomend kunnen ook enkele gedragsregels worden opgenomen:</w:t>
            </w:r>
          </w:p>
          <w:p w14:paraId="515C1E51" w14:textId="77777777" w:rsidR="00C170E7" w:rsidRPr="00F92E61" w:rsidRDefault="00C170E7" w:rsidP="00C170E7">
            <w:pPr>
              <w:ind w:left="360"/>
              <w:contextualSpacing/>
              <w:jc w:val="both"/>
              <w:rPr>
                <w:rFonts w:ascii="Arial" w:eastAsia="Calibri" w:hAnsi="Arial" w:cs="Arial"/>
                <w:sz w:val="20"/>
                <w:szCs w:val="20"/>
              </w:rPr>
            </w:pPr>
          </w:p>
          <w:p w14:paraId="5603ED9B" w14:textId="77777777" w:rsidR="00C170E7" w:rsidRPr="00F92E61" w:rsidRDefault="00C170E7" w:rsidP="00C170E7">
            <w:pPr>
              <w:numPr>
                <w:ilvl w:val="0"/>
                <w:numId w:val="4"/>
              </w:numPr>
              <w:contextualSpacing/>
              <w:jc w:val="both"/>
              <w:rPr>
                <w:rFonts w:ascii="Arial" w:eastAsia="Calibri" w:hAnsi="Arial" w:cs="Arial"/>
                <w:sz w:val="20"/>
                <w:szCs w:val="20"/>
              </w:rPr>
            </w:pPr>
            <w:r w:rsidRPr="00F92E61">
              <w:rPr>
                <w:rFonts w:ascii="Arial" w:eastAsia="Calibri" w:hAnsi="Arial" w:cs="Arial"/>
                <w:sz w:val="20"/>
                <w:szCs w:val="20"/>
                <w:highlight w:val="yellow"/>
              </w:rPr>
              <w:t>Spreekrecht</w:t>
            </w:r>
            <w:r w:rsidRPr="00F92E61">
              <w:rPr>
                <w:rFonts w:ascii="Arial" w:eastAsia="Calibri" w:hAnsi="Arial" w:cs="Arial"/>
                <w:sz w:val="20"/>
                <w:szCs w:val="20"/>
              </w:rPr>
              <w:t>: recht om eigen mening te formuleren en een standpunt te verdedigen tijdens de vergaderingen.</w:t>
            </w:r>
          </w:p>
          <w:p w14:paraId="6FBF2787" w14:textId="77777777" w:rsidR="00C170E7" w:rsidRPr="00F92E61" w:rsidRDefault="00C170E7" w:rsidP="00C170E7">
            <w:pPr>
              <w:ind w:left="720"/>
              <w:contextualSpacing/>
              <w:jc w:val="both"/>
              <w:rPr>
                <w:rFonts w:ascii="Arial" w:eastAsia="Calibri" w:hAnsi="Arial" w:cs="Arial"/>
                <w:sz w:val="20"/>
                <w:szCs w:val="20"/>
              </w:rPr>
            </w:pPr>
            <w:r w:rsidRPr="00F92E61">
              <w:rPr>
                <w:rFonts w:ascii="Arial" w:eastAsia="Calibri" w:hAnsi="Arial" w:cs="Arial"/>
                <w:sz w:val="20"/>
                <w:szCs w:val="20"/>
              </w:rPr>
              <w:t>Beperking : geheim houden van vertrouwelijke informatie voor iedereen die niet bevoegd is om er kennis van te nemen.</w:t>
            </w:r>
          </w:p>
          <w:p w14:paraId="135C462E" w14:textId="77777777" w:rsidR="00C170E7" w:rsidRPr="00F92E61" w:rsidRDefault="00C170E7" w:rsidP="00C170E7">
            <w:pPr>
              <w:numPr>
                <w:ilvl w:val="0"/>
                <w:numId w:val="4"/>
              </w:numPr>
              <w:contextualSpacing/>
              <w:jc w:val="both"/>
              <w:rPr>
                <w:rFonts w:ascii="Arial" w:eastAsia="Calibri" w:hAnsi="Arial" w:cs="Arial"/>
                <w:sz w:val="20"/>
                <w:szCs w:val="20"/>
              </w:rPr>
            </w:pPr>
            <w:r w:rsidRPr="00F92E61">
              <w:rPr>
                <w:rFonts w:ascii="Arial" w:eastAsia="Calibri" w:hAnsi="Arial" w:cs="Arial"/>
                <w:sz w:val="20"/>
                <w:szCs w:val="20"/>
                <w:highlight w:val="yellow"/>
              </w:rPr>
              <w:t>Spreekplicht</w:t>
            </w:r>
            <w:r w:rsidRPr="00F92E61">
              <w:rPr>
                <w:rFonts w:ascii="Arial" w:eastAsia="Calibri" w:hAnsi="Arial" w:cs="Arial"/>
                <w:sz w:val="20"/>
                <w:szCs w:val="20"/>
              </w:rPr>
              <w:t>: raad van bestuur / voorzitter / directeur op de hoogte brengen bij het vaststellen van een onregelmatigheid, fout, nalatigheid, misbruik of onverenigbaarheid.</w:t>
            </w:r>
          </w:p>
          <w:p w14:paraId="55FD07FC" w14:textId="607F7F4C" w:rsidR="00C170E7" w:rsidRPr="00F92E61" w:rsidRDefault="00C170E7" w:rsidP="00C170E7">
            <w:pPr>
              <w:numPr>
                <w:ilvl w:val="0"/>
                <w:numId w:val="4"/>
              </w:numPr>
              <w:contextualSpacing/>
              <w:jc w:val="both"/>
              <w:rPr>
                <w:rFonts w:ascii="Arial" w:eastAsia="Calibri" w:hAnsi="Arial" w:cs="Arial"/>
                <w:sz w:val="20"/>
                <w:szCs w:val="20"/>
              </w:rPr>
            </w:pPr>
            <w:r w:rsidRPr="00F92E61">
              <w:rPr>
                <w:rFonts w:ascii="Arial" w:eastAsia="Calibri" w:hAnsi="Arial" w:cs="Arial"/>
                <w:sz w:val="20"/>
                <w:szCs w:val="20"/>
                <w:highlight w:val="yellow"/>
              </w:rPr>
              <w:t xml:space="preserve">Verantwoord omgaan met vertrouwelijke informatie en </w:t>
            </w:r>
            <w:r w:rsidR="006C588A">
              <w:rPr>
                <w:rFonts w:ascii="Arial" w:eastAsia="Calibri" w:hAnsi="Arial" w:cs="Arial"/>
                <w:sz w:val="20"/>
                <w:szCs w:val="20"/>
                <w:highlight w:val="yellow"/>
              </w:rPr>
              <w:t xml:space="preserve">de </w:t>
            </w:r>
            <w:r w:rsidRPr="00F92E61">
              <w:rPr>
                <w:rFonts w:ascii="Arial" w:eastAsia="Calibri" w:hAnsi="Arial" w:cs="Arial"/>
                <w:sz w:val="20"/>
                <w:szCs w:val="20"/>
                <w:highlight w:val="yellow"/>
              </w:rPr>
              <w:t>geheimhoudingsplicht</w:t>
            </w:r>
            <w:r w:rsidRPr="00F92E61">
              <w:rPr>
                <w:rFonts w:ascii="Arial" w:eastAsia="Calibri" w:hAnsi="Arial" w:cs="Arial"/>
                <w:sz w:val="20"/>
                <w:szCs w:val="20"/>
              </w:rPr>
              <w:t xml:space="preserve">: </w:t>
            </w:r>
            <w:r w:rsidR="00810FD2">
              <w:rPr>
                <w:rFonts w:ascii="Arial" w:eastAsia="Calibri" w:hAnsi="Arial" w:cs="Arial"/>
                <w:sz w:val="20"/>
                <w:szCs w:val="20"/>
              </w:rPr>
              <w:t xml:space="preserve">men kan </w:t>
            </w:r>
            <w:r w:rsidRPr="00F92E61">
              <w:rPr>
                <w:rFonts w:ascii="Arial" w:eastAsia="Calibri" w:hAnsi="Arial" w:cs="Arial"/>
                <w:sz w:val="20"/>
                <w:szCs w:val="20"/>
              </w:rPr>
              <w:t xml:space="preserve">zich </w:t>
            </w:r>
            <w:r w:rsidR="00810FD2">
              <w:rPr>
                <w:rFonts w:ascii="Arial" w:eastAsia="Calibri" w:hAnsi="Arial" w:cs="Arial"/>
                <w:sz w:val="20"/>
                <w:szCs w:val="20"/>
              </w:rPr>
              <w:t xml:space="preserve">beter </w:t>
            </w:r>
            <w:r w:rsidRPr="00F92E61">
              <w:rPr>
                <w:rFonts w:ascii="Arial" w:eastAsia="Calibri" w:hAnsi="Arial" w:cs="Arial"/>
                <w:sz w:val="20"/>
                <w:szCs w:val="20"/>
              </w:rPr>
              <w:t>onthouden van (publieke) commentaren op de werkzaamheden van de raad van bestuur.</w:t>
            </w:r>
          </w:p>
          <w:p w14:paraId="10F95C84" w14:textId="77777777" w:rsidR="00C170E7" w:rsidRDefault="00C170E7" w:rsidP="00C170E7">
            <w:pPr>
              <w:ind w:left="360"/>
              <w:contextualSpacing/>
              <w:jc w:val="both"/>
              <w:rPr>
                <w:rFonts w:ascii="Arial" w:eastAsia="Calibri" w:hAnsi="Arial" w:cs="Arial"/>
                <w:sz w:val="20"/>
                <w:szCs w:val="20"/>
              </w:rPr>
            </w:pPr>
          </w:p>
          <w:p w14:paraId="45966750" w14:textId="7EE77827" w:rsidR="00C170E7" w:rsidRPr="00F92E61" w:rsidRDefault="00C170E7" w:rsidP="00C170E7">
            <w:pPr>
              <w:ind w:left="360"/>
              <w:contextualSpacing/>
              <w:jc w:val="both"/>
              <w:rPr>
                <w:rFonts w:ascii="Arial" w:eastAsia="Calibri" w:hAnsi="Arial" w:cs="Arial"/>
                <w:sz w:val="20"/>
                <w:szCs w:val="20"/>
              </w:rPr>
            </w:pPr>
          </w:p>
        </w:tc>
      </w:tr>
      <w:tr w:rsidR="000C03FE" w:rsidRPr="000C03FE" w14:paraId="5B2C3A05" w14:textId="77777777" w:rsidTr="000369DF">
        <w:tc>
          <w:tcPr>
            <w:tcW w:w="9062" w:type="dxa"/>
            <w:tcBorders>
              <w:top w:val="single" w:sz="4" w:space="0" w:color="auto"/>
            </w:tcBorders>
          </w:tcPr>
          <w:p w14:paraId="0A2636B1" w14:textId="52729AA9" w:rsidR="00C170E7" w:rsidRDefault="00C170E7" w:rsidP="000C03FE">
            <w:pPr>
              <w:ind w:left="993" w:hanging="273"/>
              <w:contextualSpacing/>
              <w:jc w:val="both"/>
              <w:rPr>
                <w:rFonts w:ascii="Arial" w:eastAsia="Calibri" w:hAnsi="Arial" w:cs="Arial"/>
                <w:sz w:val="20"/>
                <w:szCs w:val="20"/>
              </w:rPr>
            </w:pPr>
            <w:r w:rsidRPr="00F92E61">
              <w:rPr>
                <w:rFonts w:ascii="Arial" w:eastAsia="Calibri" w:hAnsi="Arial" w:cs="Arial"/>
                <w:sz w:val="20"/>
                <w:szCs w:val="20"/>
              </w:rPr>
              <w:lastRenderedPageBreak/>
              <w:t xml:space="preserve">Enkele gedragsregels kunnen </w:t>
            </w:r>
            <w:r w:rsidR="00B7509D">
              <w:rPr>
                <w:rFonts w:ascii="Arial" w:eastAsia="Calibri" w:hAnsi="Arial" w:cs="Arial"/>
                <w:sz w:val="20"/>
                <w:szCs w:val="20"/>
              </w:rPr>
              <w:t xml:space="preserve">hierbij </w:t>
            </w:r>
            <w:r w:rsidRPr="00F92E61">
              <w:rPr>
                <w:rFonts w:ascii="Arial" w:eastAsia="Calibri" w:hAnsi="Arial" w:cs="Arial"/>
                <w:sz w:val="20"/>
                <w:szCs w:val="20"/>
              </w:rPr>
              <w:t>in acht worden genomen</w:t>
            </w:r>
            <w:r w:rsidR="00024CCE">
              <w:rPr>
                <w:rFonts w:ascii="Arial" w:eastAsia="Calibri" w:hAnsi="Arial" w:cs="Arial"/>
                <w:sz w:val="20"/>
                <w:szCs w:val="20"/>
              </w:rPr>
              <w:t>,</w:t>
            </w:r>
            <w:r w:rsidRPr="00F92E61">
              <w:rPr>
                <w:rFonts w:ascii="Arial" w:eastAsia="Calibri" w:hAnsi="Arial" w:cs="Arial"/>
                <w:sz w:val="20"/>
                <w:szCs w:val="20"/>
              </w:rPr>
              <w:t xml:space="preserve"> zoals</w:t>
            </w:r>
            <w:r w:rsidR="003B4919">
              <w:rPr>
                <w:rFonts w:ascii="Arial" w:eastAsia="Calibri" w:hAnsi="Arial" w:cs="Arial"/>
                <w:sz w:val="20"/>
                <w:szCs w:val="20"/>
              </w:rPr>
              <w:t>:</w:t>
            </w:r>
          </w:p>
          <w:p w14:paraId="64DD65C8" w14:textId="714F4C12" w:rsidR="000C03FE" w:rsidRPr="00F92E61" w:rsidRDefault="000C03FE" w:rsidP="000C03FE">
            <w:pPr>
              <w:ind w:left="993" w:hanging="273"/>
              <w:contextualSpacing/>
              <w:jc w:val="both"/>
              <w:rPr>
                <w:rFonts w:ascii="Arial" w:eastAsia="Calibri" w:hAnsi="Arial" w:cs="Arial"/>
                <w:sz w:val="20"/>
                <w:szCs w:val="20"/>
              </w:rPr>
            </w:pPr>
            <w:r w:rsidRPr="00F92E61">
              <w:rPr>
                <w:rFonts w:ascii="Arial" w:eastAsia="Calibri" w:hAnsi="Arial" w:cs="Arial"/>
                <w:sz w:val="20"/>
                <w:szCs w:val="20"/>
              </w:rPr>
              <w:t>1°</w:t>
            </w:r>
            <w:r w:rsidRPr="00F92E61">
              <w:rPr>
                <w:rFonts w:ascii="Arial" w:eastAsia="Calibri" w:hAnsi="Arial" w:cs="Arial"/>
                <w:sz w:val="20"/>
                <w:szCs w:val="20"/>
              </w:rPr>
              <w:tab/>
              <w:t>het recht op privacy van de betrokkenen in dossiers of het vertrouwelijk karakter van gegevens niet in het gedrang brengen;</w:t>
            </w:r>
          </w:p>
          <w:p w14:paraId="1C968AD7" w14:textId="77777777" w:rsidR="000C03FE" w:rsidRPr="00F92E61" w:rsidRDefault="000C03FE" w:rsidP="000C03FE">
            <w:pPr>
              <w:ind w:left="993" w:hanging="273"/>
              <w:contextualSpacing/>
              <w:jc w:val="both"/>
              <w:rPr>
                <w:rFonts w:ascii="Arial" w:eastAsia="Calibri" w:hAnsi="Arial" w:cs="Arial"/>
                <w:sz w:val="20"/>
                <w:szCs w:val="20"/>
              </w:rPr>
            </w:pPr>
            <w:r w:rsidRPr="00F92E61">
              <w:rPr>
                <w:rFonts w:ascii="Arial" w:eastAsia="Calibri" w:hAnsi="Arial" w:cs="Arial"/>
                <w:sz w:val="20"/>
                <w:szCs w:val="20"/>
              </w:rPr>
              <w:t>2°</w:t>
            </w:r>
            <w:r w:rsidRPr="00F92E61">
              <w:rPr>
                <w:rFonts w:ascii="Arial" w:eastAsia="Calibri" w:hAnsi="Arial" w:cs="Arial"/>
                <w:sz w:val="20"/>
                <w:szCs w:val="20"/>
              </w:rPr>
              <w:tab/>
              <w:t>niet aangeven wie welke standpunten heeft ingenomen tijdens de vergadering;</w:t>
            </w:r>
          </w:p>
          <w:p w14:paraId="56592422" w14:textId="13222AD2" w:rsidR="000C03FE" w:rsidRDefault="000C03FE" w:rsidP="000C03FE">
            <w:pPr>
              <w:ind w:left="993" w:hanging="273"/>
              <w:contextualSpacing/>
              <w:jc w:val="both"/>
              <w:rPr>
                <w:rFonts w:ascii="Arial" w:eastAsia="Calibri" w:hAnsi="Arial" w:cs="Arial"/>
                <w:sz w:val="20"/>
                <w:szCs w:val="20"/>
              </w:rPr>
            </w:pPr>
            <w:r w:rsidRPr="00F92E61">
              <w:rPr>
                <w:rFonts w:ascii="Arial" w:eastAsia="Calibri" w:hAnsi="Arial" w:cs="Arial"/>
                <w:sz w:val="20"/>
                <w:szCs w:val="20"/>
              </w:rPr>
              <w:t>3°</w:t>
            </w:r>
            <w:r w:rsidRPr="00F92E61">
              <w:rPr>
                <w:rFonts w:ascii="Arial" w:eastAsia="Calibri" w:hAnsi="Arial" w:cs="Arial"/>
                <w:sz w:val="20"/>
                <w:szCs w:val="20"/>
              </w:rPr>
              <w:tab/>
              <w:t xml:space="preserve">zich onthouden van kritiek t.a.v. externen op de werking van de raad van bestuur en de </w:t>
            </w:r>
            <w:r w:rsidR="00E17625" w:rsidRPr="00F92E61">
              <w:rPr>
                <w:rFonts w:ascii="Arial" w:eastAsia="Calibri" w:hAnsi="Arial" w:cs="Arial"/>
                <w:sz w:val="20"/>
                <w:szCs w:val="20"/>
              </w:rPr>
              <w:t>WM</w:t>
            </w:r>
            <w:r w:rsidRPr="00F92E61">
              <w:rPr>
                <w:rFonts w:ascii="Arial" w:eastAsia="Calibri" w:hAnsi="Arial" w:cs="Arial"/>
                <w:sz w:val="20"/>
                <w:szCs w:val="20"/>
              </w:rPr>
              <w:t xml:space="preserve"> in het algemeen.</w:t>
            </w:r>
          </w:p>
          <w:p w14:paraId="20D1873E" w14:textId="77777777" w:rsidR="00B84D00" w:rsidRPr="00F92E61" w:rsidRDefault="00B84D00" w:rsidP="000C03FE">
            <w:pPr>
              <w:ind w:left="993" w:hanging="273"/>
              <w:contextualSpacing/>
              <w:jc w:val="both"/>
              <w:rPr>
                <w:rFonts w:ascii="Arial" w:eastAsia="Calibri" w:hAnsi="Arial" w:cs="Arial"/>
                <w:sz w:val="20"/>
                <w:szCs w:val="20"/>
              </w:rPr>
            </w:pPr>
          </w:p>
          <w:p w14:paraId="34CC17E0" w14:textId="77777777" w:rsidR="000C03FE" w:rsidRPr="00F92E61" w:rsidRDefault="000C03FE" w:rsidP="000C03FE">
            <w:pPr>
              <w:numPr>
                <w:ilvl w:val="0"/>
                <w:numId w:val="4"/>
              </w:numPr>
              <w:contextualSpacing/>
              <w:jc w:val="both"/>
              <w:rPr>
                <w:rFonts w:ascii="Arial" w:eastAsia="Calibri" w:hAnsi="Arial" w:cs="Arial"/>
                <w:sz w:val="20"/>
                <w:szCs w:val="20"/>
              </w:rPr>
            </w:pPr>
            <w:r w:rsidRPr="00F92E61">
              <w:rPr>
                <w:rFonts w:ascii="Arial" w:eastAsia="Calibri" w:hAnsi="Arial" w:cs="Arial"/>
                <w:sz w:val="20"/>
                <w:szCs w:val="20"/>
                <w:highlight w:val="yellow"/>
              </w:rPr>
              <w:t>Motivatie en betrokkenheid</w:t>
            </w:r>
            <w:r w:rsidRPr="00F92E61">
              <w:rPr>
                <w:rFonts w:ascii="Arial" w:eastAsia="Calibri" w:hAnsi="Arial" w:cs="Arial"/>
                <w:sz w:val="20"/>
                <w:szCs w:val="20"/>
              </w:rPr>
              <w:t xml:space="preserve">, zoals: </w:t>
            </w:r>
          </w:p>
          <w:p w14:paraId="14BCB8F4" w14:textId="77777777" w:rsidR="000C03FE" w:rsidRPr="00F92E61" w:rsidRDefault="000C03FE" w:rsidP="000C03FE">
            <w:pPr>
              <w:ind w:left="720"/>
              <w:contextualSpacing/>
              <w:jc w:val="both"/>
              <w:rPr>
                <w:rFonts w:ascii="Arial" w:eastAsia="Calibri" w:hAnsi="Arial" w:cs="Arial"/>
                <w:sz w:val="20"/>
                <w:szCs w:val="20"/>
              </w:rPr>
            </w:pPr>
            <w:r w:rsidRPr="00F92E61">
              <w:rPr>
                <w:rFonts w:ascii="Arial" w:eastAsia="Calibri" w:hAnsi="Arial" w:cs="Arial"/>
                <w:sz w:val="20"/>
                <w:szCs w:val="20"/>
              </w:rPr>
              <w:t>zich inspannen om de vergaderingen bij te wonen met een actieve inbreng;</w:t>
            </w:r>
          </w:p>
          <w:p w14:paraId="2710348B" w14:textId="3E186E94" w:rsidR="000C03FE" w:rsidRPr="00F92E61" w:rsidRDefault="000C03FE" w:rsidP="000C03FE">
            <w:pPr>
              <w:ind w:left="720"/>
              <w:contextualSpacing/>
              <w:jc w:val="both"/>
              <w:rPr>
                <w:rFonts w:ascii="Arial" w:eastAsia="Calibri" w:hAnsi="Arial" w:cs="Arial"/>
                <w:sz w:val="20"/>
                <w:szCs w:val="20"/>
              </w:rPr>
            </w:pPr>
            <w:r w:rsidRPr="00F92E61">
              <w:rPr>
                <w:rFonts w:ascii="Arial" w:eastAsia="Calibri" w:hAnsi="Arial" w:cs="Arial"/>
                <w:sz w:val="20"/>
                <w:szCs w:val="20"/>
              </w:rPr>
              <w:t>zich inzetten om kennis te verzamelen die nuttig kan zijn voor de werking van de raad van bestuur.</w:t>
            </w:r>
          </w:p>
          <w:p w14:paraId="4A56F763" w14:textId="77777777" w:rsidR="00010EDD" w:rsidRPr="00F92E61" w:rsidRDefault="00010EDD" w:rsidP="000C03FE">
            <w:pPr>
              <w:ind w:left="720"/>
              <w:contextualSpacing/>
              <w:jc w:val="both"/>
              <w:rPr>
                <w:rFonts w:ascii="Arial" w:eastAsia="Calibri" w:hAnsi="Arial" w:cs="Arial"/>
                <w:sz w:val="20"/>
                <w:szCs w:val="20"/>
              </w:rPr>
            </w:pPr>
          </w:p>
          <w:p w14:paraId="33BC9269" w14:textId="77777777" w:rsidR="000C03FE" w:rsidRPr="00F92E61" w:rsidRDefault="000C03FE" w:rsidP="000C03FE">
            <w:pPr>
              <w:ind w:left="426"/>
              <w:jc w:val="both"/>
              <w:rPr>
                <w:rFonts w:ascii="Arial" w:eastAsia="Calibri" w:hAnsi="Arial" w:cs="Arial"/>
                <w:sz w:val="20"/>
                <w:szCs w:val="20"/>
              </w:rPr>
            </w:pPr>
            <w:r w:rsidRPr="00F92E61">
              <w:rPr>
                <w:rFonts w:ascii="Arial" w:eastAsia="Calibri" w:hAnsi="Arial" w:cs="Arial"/>
                <w:sz w:val="20"/>
                <w:szCs w:val="20"/>
              </w:rPr>
              <w:t>Deze gedragsregels zijn niet limitatief en kunnen meer in detail worden uitgewerkt.</w:t>
            </w:r>
          </w:p>
          <w:p w14:paraId="64499EC8" w14:textId="77777777" w:rsidR="000C03FE" w:rsidRPr="00F92E61" w:rsidRDefault="000C03FE" w:rsidP="000C03FE">
            <w:pPr>
              <w:contextualSpacing/>
              <w:jc w:val="both"/>
              <w:rPr>
                <w:rFonts w:ascii="Arial" w:eastAsia="Calibri" w:hAnsi="Arial" w:cs="Arial"/>
                <w:sz w:val="20"/>
                <w:szCs w:val="20"/>
              </w:rPr>
            </w:pPr>
          </w:p>
          <w:p w14:paraId="775D5A49" w14:textId="4E1AF0D5" w:rsidR="000C03FE" w:rsidRPr="00F92E61" w:rsidRDefault="000C03FE" w:rsidP="000C03FE">
            <w:pPr>
              <w:contextualSpacing/>
              <w:jc w:val="both"/>
              <w:rPr>
                <w:rFonts w:ascii="Arial" w:eastAsia="Calibri" w:hAnsi="Arial" w:cs="Arial"/>
                <w:sz w:val="20"/>
                <w:szCs w:val="20"/>
              </w:rPr>
            </w:pPr>
            <w:r w:rsidRPr="00F92E61">
              <w:rPr>
                <w:rFonts w:ascii="Arial" w:eastAsia="Calibri" w:hAnsi="Arial" w:cs="Arial"/>
                <w:sz w:val="20"/>
                <w:szCs w:val="20"/>
              </w:rPr>
              <w:t xml:space="preserve">Opdat men </w:t>
            </w:r>
            <w:r w:rsidR="00EB6593">
              <w:rPr>
                <w:rFonts w:ascii="Arial" w:eastAsia="Calibri" w:hAnsi="Arial" w:cs="Arial"/>
                <w:sz w:val="20"/>
                <w:szCs w:val="20"/>
              </w:rPr>
              <w:t>duidelijk kan weten</w:t>
            </w:r>
            <w:r w:rsidRPr="00F92E61">
              <w:rPr>
                <w:rFonts w:ascii="Arial" w:eastAsia="Calibri" w:hAnsi="Arial" w:cs="Arial"/>
                <w:sz w:val="20"/>
                <w:szCs w:val="20"/>
              </w:rPr>
              <w:t xml:space="preserve"> welke versie de laatste is, moet </w:t>
            </w:r>
            <w:r w:rsidR="00D864DA">
              <w:rPr>
                <w:rFonts w:ascii="Arial" w:eastAsia="Calibri" w:hAnsi="Arial" w:cs="Arial"/>
                <w:sz w:val="20"/>
                <w:szCs w:val="20"/>
              </w:rPr>
              <w:t xml:space="preserve">steeds het volgende </w:t>
            </w:r>
            <w:r w:rsidRPr="00F92E61">
              <w:rPr>
                <w:rFonts w:ascii="Arial" w:eastAsia="Calibri" w:hAnsi="Arial" w:cs="Arial"/>
                <w:sz w:val="20"/>
                <w:szCs w:val="20"/>
              </w:rPr>
              <w:t>op het document vermeld worden:</w:t>
            </w:r>
          </w:p>
          <w:p w14:paraId="535D977B" w14:textId="77777777" w:rsidR="000C03FE" w:rsidRPr="00F92E61" w:rsidRDefault="000C03FE" w:rsidP="000C03FE">
            <w:pPr>
              <w:contextualSpacing/>
              <w:jc w:val="both"/>
              <w:rPr>
                <w:rFonts w:ascii="Arial" w:eastAsia="Calibri" w:hAnsi="Arial" w:cs="Arial"/>
                <w:sz w:val="20"/>
                <w:szCs w:val="20"/>
              </w:rPr>
            </w:pPr>
          </w:p>
          <w:p w14:paraId="4889385A" w14:textId="77777777" w:rsidR="000C03FE" w:rsidRPr="00362D9E" w:rsidRDefault="000C03FE" w:rsidP="0029371E">
            <w:pPr>
              <w:numPr>
                <w:ilvl w:val="0"/>
                <w:numId w:val="17"/>
              </w:numPr>
              <w:contextualSpacing/>
              <w:jc w:val="both"/>
              <w:rPr>
                <w:rFonts w:ascii="Arial" w:eastAsia="Calibri" w:hAnsi="Arial" w:cs="Arial"/>
                <w:sz w:val="20"/>
                <w:szCs w:val="20"/>
              </w:rPr>
            </w:pPr>
            <w:r w:rsidRPr="007D662F">
              <w:rPr>
                <w:rFonts w:ascii="Arial" w:eastAsia="Calibri" w:hAnsi="Arial" w:cs="Arial"/>
                <w:sz w:val="20"/>
                <w:szCs w:val="20"/>
                <w:highlight w:val="yellow"/>
              </w:rPr>
              <w:t>wanneer de raad van bestuur zijn goedkeuring heeft gehecht aan het document</w:t>
            </w:r>
            <w:r w:rsidRPr="00362D9E">
              <w:rPr>
                <w:rFonts w:ascii="Arial" w:eastAsia="Calibri" w:hAnsi="Arial" w:cs="Arial"/>
                <w:sz w:val="20"/>
                <w:szCs w:val="20"/>
              </w:rPr>
              <w:t>.</w:t>
            </w:r>
          </w:p>
          <w:p w14:paraId="5343B966" w14:textId="77777777" w:rsidR="000C03FE" w:rsidRPr="00362D9E" w:rsidRDefault="000C03FE" w:rsidP="0029371E">
            <w:pPr>
              <w:numPr>
                <w:ilvl w:val="0"/>
                <w:numId w:val="17"/>
              </w:numPr>
              <w:contextualSpacing/>
              <w:jc w:val="both"/>
              <w:rPr>
                <w:rFonts w:ascii="Arial" w:eastAsia="Calibri" w:hAnsi="Arial" w:cs="Arial"/>
                <w:sz w:val="20"/>
                <w:szCs w:val="20"/>
              </w:rPr>
            </w:pPr>
            <w:r w:rsidRPr="007D662F">
              <w:rPr>
                <w:rFonts w:ascii="Arial" w:eastAsia="Calibri" w:hAnsi="Arial" w:cs="Arial"/>
                <w:sz w:val="20"/>
                <w:szCs w:val="20"/>
                <w:highlight w:val="yellow"/>
              </w:rPr>
              <w:t>dat elk bestuurder een exemplaar ontvangt van de deontologische code</w:t>
            </w:r>
            <w:r w:rsidRPr="00362D9E">
              <w:rPr>
                <w:rFonts w:ascii="Arial" w:eastAsia="Calibri" w:hAnsi="Arial" w:cs="Arial"/>
                <w:sz w:val="20"/>
                <w:szCs w:val="20"/>
              </w:rPr>
              <w:t>.</w:t>
            </w:r>
          </w:p>
          <w:p w14:paraId="682C5CB0" w14:textId="77777777" w:rsidR="000C03FE" w:rsidRPr="00F92E61" w:rsidRDefault="000C03FE" w:rsidP="000C03FE">
            <w:pPr>
              <w:contextualSpacing/>
              <w:jc w:val="both"/>
              <w:rPr>
                <w:rFonts w:ascii="Arial" w:eastAsia="Calibri" w:hAnsi="Arial" w:cs="Arial"/>
                <w:sz w:val="20"/>
                <w:szCs w:val="20"/>
              </w:rPr>
            </w:pPr>
          </w:p>
          <w:p w14:paraId="7BFF19AC" w14:textId="77777777" w:rsidR="000C03FE" w:rsidRPr="00F92E61" w:rsidRDefault="000C03FE" w:rsidP="000C03FE">
            <w:pPr>
              <w:contextualSpacing/>
              <w:jc w:val="both"/>
              <w:rPr>
                <w:rFonts w:ascii="Arial" w:eastAsia="Calibri" w:hAnsi="Arial" w:cs="Arial"/>
                <w:sz w:val="20"/>
                <w:szCs w:val="20"/>
              </w:rPr>
            </w:pPr>
          </w:p>
          <w:p w14:paraId="0488E80E" w14:textId="2A431826" w:rsidR="000C03FE" w:rsidRPr="00F92E61" w:rsidRDefault="000C03FE" w:rsidP="000C03FE">
            <w:pPr>
              <w:contextualSpacing/>
              <w:jc w:val="both"/>
              <w:rPr>
                <w:rFonts w:ascii="Arial" w:eastAsia="Calibri" w:hAnsi="Arial" w:cs="Arial"/>
                <w:sz w:val="20"/>
                <w:szCs w:val="20"/>
              </w:rPr>
            </w:pPr>
            <w:r w:rsidRPr="00F92E61">
              <w:rPr>
                <w:rFonts w:ascii="Arial" w:eastAsia="Calibri" w:hAnsi="Arial" w:cs="Arial"/>
                <w:sz w:val="20"/>
                <w:szCs w:val="20"/>
              </w:rPr>
              <w:t xml:space="preserve">Het verdient aanbeveling dat het document ondertekend wordt door </w:t>
            </w:r>
            <w:r w:rsidR="009D5E08" w:rsidRPr="00F92E61">
              <w:rPr>
                <w:rFonts w:ascii="Arial" w:eastAsia="Calibri" w:hAnsi="Arial" w:cs="Arial"/>
                <w:sz w:val="20"/>
                <w:szCs w:val="20"/>
              </w:rPr>
              <w:t>elke</w:t>
            </w:r>
            <w:r w:rsidRPr="00F92E61">
              <w:rPr>
                <w:rFonts w:ascii="Arial" w:eastAsia="Calibri" w:hAnsi="Arial" w:cs="Arial"/>
                <w:sz w:val="20"/>
                <w:szCs w:val="20"/>
              </w:rPr>
              <w:t xml:space="preserve"> bestuurder (datum en naam vermelden).</w:t>
            </w:r>
          </w:p>
          <w:p w14:paraId="133B0B46" w14:textId="77777777" w:rsidR="000C03FE" w:rsidRPr="00F92E61" w:rsidRDefault="000C03FE" w:rsidP="000C03FE">
            <w:pPr>
              <w:contextualSpacing/>
              <w:jc w:val="both"/>
              <w:rPr>
                <w:rFonts w:ascii="Arial" w:eastAsia="Calibri" w:hAnsi="Arial" w:cs="Arial"/>
                <w:sz w:val="20"/>
                <w:szCs w:val="20"/>
              </w:rPr>
            </w:pPr>
          </w:p>
        </w:tc>
      </w:tr>
    </w:tbl>
    <w:p w14:paraId="73D361DB" w14:textId="3ABA4A2C" w:rsidR="00D31F43" w:rsidRDefault="00D31F43"/>
    <w:tbl>
      <w:tblPr>
        <w:tblStyle w:val="Tabelraster"/>
        <w:tblW w:w="0" w:type="auto"/>
        <w:tblLook w:val="04A0" w:firstRow="1" w:lastRow="0" w:firstColumn="1" w:lastColumn="0" w:noHBand="0" w:noVBand="1"/>
      </w:tblPr>
      <w:tblGrid>
        <w:gridCol w:w="9062"/>
      </w:tblGrid>
      <w:tr w:rsidR="00861022" w:rsidRPr="00861022" w14:paraId="04EBCD35" w14:textId="77777777" w:rsidTr="00940E58">
        <w:tc>
          <w:tcPr>
            <w:tcW w:w="9062" w:type="dxa"/>
            <w:tcBorders>
              <w:bottom w:val="single" w:sz="4" w:space="0" w:color="auto"/>
            </w:tcBorders>
            <w:vAlign w:val="center"/>
          </w:tcPr>
          <w:p w14:paraId="2EAE83A5" w14:textId="77777777" w:rsidR="00861022" w:rsidRPr="00861022" w:rsidRDefault="00861022" w:rsidP="00861022">
            <w:pPr>
              <w:tabs>
                <w:tab w:val="left" w:pos="1935"/>
                <w:tab w:val="center" w:pos="4423"/>
              </w:tabs>
              <w:jc w:val="center"/>
              <w:rPr>
                <w:rFonts w:ascii="Calibri" w:eastAsia="Calibri" w:hAnsi="Calibri" w:cs="Times New Roman"/>
                <w:b/>
              </w:rPr>
            </w:pPr>
          </w:p>
          <w:p w14:paraId="77FD181F" w14:textId="354B2C6D" w:rsidR="00861022" w:rsidRPr="006B110D" w:rsidRDefault="00861022" w:rsidP="00861022">
            <w:pPr>
              <w:tabs>
                <w:tab w:val="left" w:pos="1935"/>
                <w:tab w:val="center" w:pos="4423"/>
              </w:tabs>
              <w:jc w:val="center"/>
              <w:rPr>
                <w:rFonts w:ascii="Arial" w:eastAsia="Calibri" w:hAnsi="Arial" w:cs="Arial"/>
                <w:b/>
                <w:sz w:val="24"/>
                <w:szCs w:val="24"/>
              </w:rPr>
            </w:pPr>
            <w:r w:rsidRPr="006B110D">
              <w:rPr>
                <w:rFonts w:ascii="Arial" w:eastAsia="Calibri" w:hAnsi="Arial" w:cs="Arial"/>
                <w:b/>
                <w:sz w:val="24"/>
                <w:szCs w:val="24"/>
              </w:rPr>
              <w:t xml:space="preserve">Leidraad deontologische code bestuurders van </w:t>
            </w:r>
            <w:proofErr w:type="spellStart"/>
            <w:r w:rsidR="006D71ED" w:rsidRPr="006B110D">
              <w:rPr>
                <w:rFonts w:ascii="Arial" w:eastAsia="Calibri" w:hAnsi="Arial" w:cs="Arial"/>
                <w:b/>
                <w:sz w:val="24"/>
                <w:szCs w:val="24"/>
              </w:rPr>
              <w:t>WM’en</w:t>
            </w:r>
            <w:proofErr w:type="spellEnd"/>
          </w:p>
          <w:p w14:paraId="43934C88" w14:textId="77777777" w:rsidR="00861022" w:rsidRPr="00861022" w:rsidRDefault="00861022" w:rsidP="00861022">
            <w:pPr>
              <w:jc w:val="center"/>
              <w:rPr>
                <w:rFonts w:ascii="Calibri" w:eastAsia="Calibri" w:hAnsi="Calibri" w:cs="Times New Roman"/>
              </w:rPr>
            </w:pPr>
          </w:p>
        </w:tc>
      </w:tr>
      <w:tr w:rsidR="00861022" w:rsidRPr="00861022" w14:paraId="361CE57E" w14:textId="77777777" w:rsidTr="00BF7205">
        <w:tc>
          <w:tcPr>
            <w:tcW w:w="9062" w:type="dxa"/>
            <w:tcBorders>
              <w:bottom w:val="single" w:sz="4" w:space="0" w:color="auto"/>
            </w:tcBorders>
          </w:tcPr>
          <w:p w14:paraId="7050F83F" w14:textId="77777777" w:rsidR="00E05374" w:rsidRPr="00F92E61" w:rsidRDefault="00E05374" w:rsidP="00CA4D0C">
            <w:pPr>
              <w:jc w:val="both"/>
              <w:rPr>
                <w:rFonts w:ascii="Arial" w:eastAsia="Calibri" w:hAnsi="Arial" w:cs="Arial"/>
                <w:sz w:val="20"/>
                <w:szCs w:val="20"/>
              </w:rPr>
            </w:pPr>
          </w:p>
          <w:p w14:paraId="6B0FA2FD" w14:textId="108D6B9B" w:rsidR="00861022" w:rsidRDefault="00861022" w:rsidP="00CA4D0C">
            <w:pPr>
              <w:jc w:val="both"/>
              <w:rPr>
                <w:rFonts w:ascii="Arial" w:eastAsia="Calibri" w:hAnsi="Arial" w:cs="Arial"/>
                <w:sz w:val="20"/>
                <w:szCs w:val="20"/>
              </w:rPr>
            </w:pPr>
            <w:r w:rsidRPr="00F92E61">
              <w:rPr>
                <w:rFonts w:ascii="Arial" w:eastAsia="Calibri" w:hAnsi="Arial" w:cs="Arial"/>
                <w:sz w:val="20"/>
                <w:szCs w:val="20"/>
              </w:rPr>
              <w:t>De leidraad is indicatief en oriënterend bedoeld</w:t>
            </w:r>
            <w:r w:rsidR="004658E9">
              <w:rPr>
                <w:rFonts w:ascii="Arial" w:eastAsia="Calibri" w:hAnsi="Arial" w:cs="Arial"/>
                <w:sz w:val="20"/>
                <w:szCs w:val="20"/>
              </w:rPr>
              <w:t xml:space="preserve"> en </w:t>
            </w:r>
            <w:r w:rsidRPr="00F92E61">
              <w:rPr>
                <w:rFonts w:ascii="Arial" w:eastAsia="Calibri" w:hAnsi="Arial" w:cs="Arial"/>
                <w:sz w:val="20"/>
                <w:szCs w:val="20"/>
              </w:rPr>
              <w:t>beperkt zich tot het centrale thema van het goed bestuur</w:t>
            </w:r>
            <w:r w:rsidR="00D53A4D">
              <w:rPr>
                <w:rFonts w:ascii="Arial" w:eastAsia="Calibri" w:hAnsi="Arial" w:cs="Arial"/>
                <w:sz w:val="20"/>
                <w:szCs w:val="20"/>
              </w:rPr>
              <w:t>. D</w:t>
            </w:r>
            <w:r w:rsidR="00FD26E2">
              <w:rPr>
                <w:rFonts w:ascii="Arial" w:eastAsia="Calibri" w:hAnsi="Arial" w:cs="Arial"/>
                <w:sz w:val="20"/>
                <w:szCs w:val="20"/>
              </w:rPr>
              <w:t>e leidraad</w:t>
            </w:r>
            <w:r w:rsidRPr="00F92E61">
              <w:rPr>
                <w:rFonts w:ascii="Arial" w:eastAsia="Calibri" w:hAnsi="Arial" w:cs="Arial"/>
                <w:sz w:val="20"/>
                <w:szCs w:val="20"/>
              </w:rPr>
              <w:t xml:space="preserve"> handelt niet over het statuut van de bestuurder (</w:t>
            </w:r>
            <w:proofErr w:type="spellStart"/>
            <w:r w:rsidRPr="00F92E61">
              <w:rPr>
                <w:rFonts w:ascii="Arial" w:eastAsia="Calibri" w:hAnsi="Arial" w:cs="Arial"/>
                <w:sz w:val="20"/>
                <w:szCs w:val="20"/>
              </w:rPr>
              <w:t>bvb</w:t>
            </w:r>
            <w:proofErr w:type="spellEnd"/>
            <w:r w:rsidRPr="00F92E61">
              <w:rPr>
                <w:rFonts w:ascii="Arial" w:eastAsia="Calibri" w:hAnsi="Arial" w:cs="Arial"/>
                <w:sz w:val="20"/>
                <w:szCs w:val="20"/>
              </w:rPr>
              <w:t>. benoeming en afzetting</w:t>
            </w:r>
            <w:r w:rsidR="001727BA">
              <w:rPr>
                <w:rFonts w:ascii="Arial" w:eastAsia="Calibri" w:hAnsi="Arial" w:cs="Arial"/>
                <w:sz w:val="20"/>
                <w:szCs w:val="20"/>
              </w:rPr>
              <w:t>,</w:t>
            </w:r>
            <w:r w:rsidRPr="00F92E61">
              <w:rPr>
                <w:rFonts w:ascii="Arial" w:eastAsia="Calibri" w:hAnsi="Arial" w:cs="Arial"/>
                <w:sz w:val="20"/>
                <w:szCs w:val="20"/>
              </w:rPr>
              <w:t xml:space="preserve"> onverenigbaarheden), noch over de rol van de raad van bestuur in de organisatie, noch over de talrijke en diverse andere verplichtingen die op bestuurders rusten (</w:t>
            </w:r>
            <w:proofErr w:type="spellStart"/>
            <w:r w:rsidRPr="00F92E61">
              <w:rPr>
                <w:rFonts w:ascii="Arial" w:eastAsia="Calibri" w:hAnsi="Arial" w:cs="Arial"/>
                <w:sz w:val="20"/>
                <w:szCs w:val="20"/>
              </w:rPr>
              <w:t>bvb</w:t>
            </w:r>
            <w:proofErr w:type="spellEnd"/>
            <w:r w:rsidRPr="00F92E61">
              <w:rPr>
                <w:rFonts w:ascii="Arial" w:eastAsia="Calibri" w:hAnsi="Arial" w:cs="Arial"/>
                <w:sz w:val="20"/>
                <w:szCs w:val="20"/>
              </w:rPr>
              <w:t>. inzake geheimhouding en loyauteit, onafhankelijkheid en collegialiteit, belangenconflicten, ingevolge vennootschapswetgeving enz.). Ook de materie inzake bestuurdersaansprakelijkheid is hier niet aan de orde.</w:t>
            </w:r>
          </w:p>
          <w:p w14:paraId="2AAD390E" w14:textId="77777777" w:rsidR="00397F40" w:rsidRPr="00F92E61" w:rsidRDefault="00397F40" w:rsidP="00CA4D0C">
            <w:pPr>
              <w:jc w:val="both"/>
              <w:rPr>
                <w:rFonts w:ascii="Arial" w:eastAsia="Calibri" w:hAnsi="Arial" w:cs="Arial"/>
                <w:sz w:val="20"/>
                <w:szCs w:val="20"/>
              </w:rPr>
            </w:pPr>
          </w:p>
          <w:p w14:paraId="51ECACA9" w14:textId="2DE0AC25" w:rsidR="00861022" w:rsidRPr="00F92E61" w:rsidRDefault="00861022" w:rsidP="00CA4D0C">
            <w:pPr>
              <w:jc w:val="both"/>
              <w:rPr>
                <w:rFonts w:ascii="Arial" w:eastAsia="Calibri" w:hAnsi="Arial" w:cs="Arial"/>
                <w:sz w:val="20"/>
                <w:szCs w:val="20"/>
              </w:rPr>
            </w:pPr>
            <w:r w:rsidRPr="00F92E61">
              <w:rPr>
                <w:rFonts w:ascii="Arial" w:eastAsia="Calibri" w:hAnsi="Arial" w:cs="Arial"/>
                <w:sz w:val="20"/>
                <w:szCs w:val="20"/>
              </w:rPr>
              <w:t>Het naleven van deze leidraad is geen voldoende voorwaarde voor goed, behoorlijk en deugdelijk bestuur.  In geval van twijfel over de redelijke toepassing van de uiteengezette beginselen in de concrete praktijk kan het aangewezen zijn deskundig advies in te winnen.</w:t>
            </w:r>
          </w:p>
          <w:p w14:paraId="1F38C110" w14:textId="77777777" w:rsidR="007B534F" w:rsidRPr="00F92E61" w:rsidRDefault="007B534F" w:rsidP="00CA4D0C">
            <w:pPr>
              <w:jc w:val="both"/>
              <w:rPr>
                <w:rFonts w:ascii="Arial" w:eastAsia="Calibri" w:hAnsi="Arial" w:cs="Arial"/>
                <w:sz w:val="20"/>
                <w:szCs w:val="20"/>
              </w:rPr>
            </w:pPr>
          </w:p>
          <w:p w14:paraId="7FA8A6D5" w14:textId="022E1C2D" w:rsidR="00861022" w:rsidRDefault="007D3CC7"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D</w:t>
            </w:r>
            <w:r w:rsidR="00861022" w:rsidRPr="00C170E7">
              <w:rPr>
                <w:rFonts w:ascii="Arial" w:eastAsia="Calibri" w:hAnsi="Arial" w:cs="Arial"/>
                <w:sz w:val="20"/>
                <w:szCs w:val="20"/>
              </w:rPr>
              <w:t xml:space="preserve">e </w:t>
            </w:r>
            <w:proofErr w:type="spellStart"/>
            <w:r w:rsidR="006D71ED" w:rsidRPr="00C170E7">
              <w:rPr>
                <w:rFonts w:ascii="Arial" w:eastAsia="Calibri" w:hAnsi="Arial" w:cs="Arial"/>
                <w:sz w:val="20"/>
                <w:szCs w:val="20"/>
              </w:rPr>
              <w:t>WM’en</w:t>
            </w:r>
            <w:proofErr w:type="spellEnd"/>
            <w:r w:rsidR="00861022" w:rsidRPr="00C170E7">
              <w:rPr>
                <w:rFonts w:ascii="Arial" w:eastAsia="Calibri" w:hAnsi="Arial" w:cs="Arial"/>
                <w:sz w:val="20"/>
                <w:szCs w:val="20"/>
              </w:rPr>
              <w:t xml:space="preserve"> zijn sociale woonorganisaties.  De bevordering van het algemeen belang is de enige drijfveer van hun </w:t>
            </w:r>
            <w:proofErr w:type="spellStart"/>
            <w:r w:rsidR="00861022" w:rsidRPr="00C170E7">
              <w:rPr>
                <w:rFonts w:ascii="Arial" w:eastAsia="Calibri" w:hAnsi="Arial" w:cs="Arial"/>
                <w:sz w:val="20"/>
                <w:szCs w:val="20"/>
              </w:rPr>
              <w:t>bestuursbedrijvigheid</w:t>
            </w:r>
            <w:proofErr w:type="spellEnd"/>
            <w:r w:rsidR="00861022" w:rsidRPr="00C170E7">
              <w:rPr>
                <w:rFonts w:ascii="Arial" w:eastAsia="Calibri" w:hAnsi="Arial" w:cs="Arial"/>
                <w:sz w:val="20"/>
                <w:szCs w:val="20"/>
              </w:rPr>
              <w:t>.  De bestuurders handelen in alle omstandigheden in de lijn van de overheidsdoelstellingen.  De bestuurder behartigt, vanuit een lange termijn visie, in de eerste plaats de continuïteit en het algemeen belang van de openbare dienst, zoals dit wordt gedefinieerd door de Vlaamse wooncode.</w:t>
            </w:r>
          </w:p>
          <w:p w14:paraId="3DFBAC96" w14:textId="77777777" w:rsidR="00C170E7" w:rsidRPr="00C170E7" w:rsidRDefault="00C170E7" w:rsidP="00C170E7">
            <w:pPr>
              <w:pStyle w:val="Lijstalinea"/>
              <w:ind w:left="420"/>
              <w:jc w:val="both"/>
              <w:rPr>
                <w:rFonts w:ascii="Arial" w:eastAsia="Calibri" w:hAnsi="Arial" w:cs="Arial"/>
                <w:sz w:val="20"/>
                <w:szCs w:val="20"/>
              </w:rPr>
            </w:pPr>
          </w:p>
          <w:p w14:paraId="0415389C" w14:textId="56B9322C" w:rsidR="00861022" w:rsidRDefault="007D3CC7"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D</w:t>
            </w:r>
            <w:r w:rsidR="00861022" w:rsidRPr="00C170E7">
              <w:rPr>
                <w:rFonts w:ascii="Arial" w:eastAsia="Calibri" w:hAnsi="Arial" w:cs="Arial"/>
                <w:sz w:val="20"/>
                <w:szCs w:val="20"/>
              </w:rPr>
              <w:t>e bestuurders dragen, in het kader van hun mandaat, bij tot de verwezenlijking van de opdracht van algemeen belang en tot het goed beheer van hun goederen, met inachtneming van het sociaal oogmerk waarin ze hun functie uitoefenen.  Voor de bestuurders in de sociale woonorganisaties betekent dit dat het promoveren, realiseren en concretiseren van de diverse vormen van steunverlening die in de Vlaamse wooncode staan ingeschreven ten behoeve van woonbehoeftige gezinnen en alleenstaanden uiteindelijk de enige richtsnoer vormt van hun bedrijvigheid.</w:t>
            </w:r>
          </w:p>
          <w:p w14:paraId="19C6B8C0" w14:textId="77777777" w:rsidR="00C170E7" w:rsidRPr="00C170E7" w:rsidRDefault="00C170E7" w:rsidP="00C170E7">
            <w:pPr>
              <w:jc w:val="both"/>
              <w:rPr>
                <w:rFonts w:ascii="Arial" w:eastAsia="Calibri" w:hAnsi="Arial" w:cs="Arial"/>
                <w:sz w:val="20"/>
                <w:szCs w:val="20"/>
              </w:rPr>
            </w:pPr>
          </w:p>
          <w:p w14:paraId="13A4D8C6" w14:textId="67BBB393" w:rsidR="00861022" w:rsidRPr="00F92E61" w:rsidRDefault="00BE118F"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D</w:t>
            </w:r>
            <w:r w:rsidR="00861022" w:rsidRPr="00C170E7">
              <w:rPr>
                <w:rFonts w:ascii="Arial" w:eastAsia="Calibri" w:hAnsi="Arial" w:cs="Arial"/>
                <w:sz w:val="20"/>
                <w:szCs w:val="20"/>
              </w:rPr>
              <w:t>e werking en de bevoegdheden van de raad van bestuur en het mandaat van de bestuurder in een vennootschap worden geregeld door een aantal wettelijke, reglementaire en statutaire bepalingen die de bestuurder eerst moet kennen voor hij ze kan toepassen, controleren of respecteren.</w:t>
            </w:r>
          </w:p>
        </w:tc>
      </w:tr>
      <w:tr w:rsidR="00C170E7" w:rsidRPr="00861022" w14:paraId="2CC9F88C" w14:textId="77777777" w:rsidTr="00940E58">
        <w:tc>
          <w:tcPr>
            <w:tcW w:w="9062" w:type="dxa"/>
            <w:tcBorders>
              <w:top w:val="single" w:sz="4" w:space="0" w:color="auto"/>
              <w:left w:val="single" w:sz="4" w:space="0" w:color="auto"/>
              <w:bottom w:val="nil"/>
              <w:right w:val="single" w:sz="4" w:space="0" w:color="auto"/>
            </w:tcBorders>
          </w:tcPr>
          <w:p w14:paraId="457FDDD1" w14:textId="77777777" w:rsidR="00C170E7" w:rsidRDefault="00C170E7"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lastRenderedPageBreak/>
              <w:t xml:space="preserve">De bestuurder houdt zich aan de vigerende wetgeving, zowel in de materiële als in de formele zin.  Hij besteedt daarbij in het bijzonder aandacht aan de administratiefrechtelijke ontwikkelingen, o.m. doch niet uitsluitend op het vlak van de beginselen van de openbare dienst, de beginselen van behoorlijk bestuur en de beginselen van gelijke behandeling en non-discriminatie.  Enkele concrete toepassingen van deze beginselen worden gemaakt in de hierna volgende artikelen. </w:t>
            </w:r>
          </w:p>
          <w:p w14:paraId="556D6315" w14:textId="77777777" w:rsidR="00C170E7" w:rsidRPr="00C170E7" w:rsidRDefault="00C170E7" w:rsidP="00C170E7">
            <w:pPr>
              <w:jc w:val="both"/>
              <w:rPr>
                <w:rFonts w:ascii="Arial" w:eastAsia="Calibri" w:hAnsi="Arial" w:cs="Arial"/>
                <w:sz w:val="20"/>
                <w:szCs w:val="20"/>
              </w:rPr>
            </w:pPr>
          </w:p>
          <w:p w14:paraId="607EF365" w14:textId="77777777" w:rsidR="00C170E7" w:rsidRPr="00C170E7" w:rsidRDefault="00C170E7"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 xml:space="preserve">De bestuurders voeren een doelmatig, zorgvuldig, redelijk, voorzichtig en zuinig beleid en zijn steeds waakzaam voor alle mogelijke vormen van machtsoverschrijding en machtsafwending.  Bijvoorbeeld mogen zij de goederen van de rechtspersonen waarin ze hun functie uitoefenen niet gebruiken ten bate van zichzelf of van derden, noch die goederen verwarren met hun eigen goederen en zij mogen noch direct noch indirect een ongegrond voordeel toekennen, vragen of aanvaarden voor zichzelf of voor een derde.  </w:t>
            </w:r>
          </w:p>
          <w:p w14:paraId="014C5092" w14:textId="77777777" w:rsidR="00C170E7" w:rsidRPr="00F92E61" w:rsidRDefault="00C170E7" w:rsidP="00C170E7">
            <w:pPr>
              <w:ind w:left="447"/>
              <w:jc w:val="both"/>
              <w:rPr>
                <w:rFonts w:ascii="Arial" w:eastAsia="Calibri" w:hAnsi="Arial" w:cs="Arial"/>
                <w:sz w:val="20"/>
                <w:szCs w:val="20"/>
              </w:rPr>
            </w:pPr>
            <w:r w:rsidRPr="00F92E61">
              <w:rPr>
                <w:rFonts w:ascii="Arial" w:eastAsia="Calibri" w:hAnsi="Arial" w:cs="Arial"/>
                <w:sz w:val="20"/>
                <w:szCs w:val="20"/>
              </w:rPr>
              <w:t>Het inzetten van middelen met het oog op een ander – zelfs algemeen – belang kan eveneens leiden tot machtsafwending.</w:t>
            </w:r>
          </w:p>
          <w:p w14:paraId="0FBBA587" w14:textId="77777777" w:rsidR="00C170E7" w:rsidRPr="00F92E61" w:rsidRDefault="00C170E7" w:rsidP="00CA4D0C">
            <w:pPr>
              <w:jc w:val="both"/>
              <w:rPr>
                <w:rFonts w:ascii="Arial" w:eastAsia="Calibri" w:hAnsi="Arial" w:cs="Arial"/>
                <w:sz w:val="20"/>
                <w:szCs w:val="20"/>
              </w:rPr>
            </w:pPr>
          </w:p>
        </w:tc>
      </w:tr>
      <w:tr w:rsidR="00861022" w:rsidRPr="00861022" w14:paraId="0FEDAE71" w14:textId="77777777" w:rsidTr="00940E58">
        <w:tc>
          <w:tcPr>
            <w:tcW w:w="9062" w:type="dxa"/>
            <w:tcBorders>
              <w:top w:val="nil"/>
              <w:left w:val="single" w:sz="4" w:space="0" w:color="auto"/>
              <w:bottom w:val="single" w:sz="4" w:space="0" w:color="auto"/>
              <w:right w:val="single" w:sz="4" w:space="0" w:color="auto"/>
            </w:tcBorders>
          </w:tcPr>
          <w:p w14:paraId="57CF38F9" w14:textId="4EC9FC77" w:rsidR="00861022" w:rsidRPr="00C170E7" w:rsidRDefault="00BE118F" w:rsidP="00EF6BA4">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D</w:t>
            </w:r>
            <w:r w:rsidR="00861022" w:rsidRPr="00C170E7">
              <w:rPr>
                <w:rFonts w:ascii="Arial" w:eastAsia="Calibri" w:hAnsi="Arial" w:cs="Arial"/>
                <w:sz w:val="20"/>
                <w:szCs w:val="20"/>
              </w:rPr>
              <w:t xml:space="preserve">e bestuurder waakt erover dat de opdracht van algemeen belang op dezelfde gewetensvolle manier ten dienste staat van alle burgers.  De burgers kunnen op deze dienst een beroep doen zodra zij als wettelijk woonbehoeftig worden beschouwd voor de desbetreffende vorm van steunverlening, d.w.z. principieel zonder onderscheid naar geslacht, ras, kleur, etnische of sociale afstamming, genetische kenmerken, sociale status, nationaliteit, het behoren tot een (nationale) minderheid, een handicap, vermogen, filosofische en/of religieuze overtuiging, ideologische of politieke voorkeur, leeftijd, seksuele geaardheid of  persoonlijke gevoelens, tenzij één of meerdere van deze kwalificaties uitdrukkelijk wordt opgenomen in de bepaling van de woonbehoeftigheid en voor zover dit gebeurt onder alle garanties en voorwaarden van de bescherming van de fundamentele rechten in internationaal en nationaal recht. </w:t>
            </w:r>
          </w:p>
          <w:p w14:paraId="474D4790" w14:textId="77777777" w:rsidR="00C170E7" w:rsidRDefault="00C170E7" w:rsidP="00C170E7">
            <w:pPr>
              <w:pStyle w:val="Lijstalinea"/>
              <w:ind w:left="420"/>
              <w:jc w:val="both"/>
              <w:rPr>
                <w:rFonts w:ascii="Arial" w:eastAsia="Calibri" w:hAnsi="Arial" w:cs="Arial"/>
                <w:sz w:val="20"/>
                <w:szCs w:val="20"/>
              </w:rPr>
            </w:pPr>
          </w:p>
          <w:p w14:paraId="43C996C0" w14:textId="55F216DD" w:rsidR="00861022" w:rsidRDefault="00BE118F" w:rsidP="00C170E7">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B</w:t>
            </w:r>
            <w:r w:rsidR="00861022" w:rsidRPr="00C170E7">
              <w:rPr>
                <w:rFonts w:ascii="Arial" w:eastAsia="Calibri" w:hAnsi="Arial" w:cs="Arial"/>
                <w:sz w:val="20"/>
                <w:szCs w:val="20"/>
              </w:rPr>
              <w:t xml:space="preserve">espoedigings- en begunstigingstussenkomsten leiden in de regel tot een ongelijke behandeling van de betrokken burgers en zijn principieel verboden.  De bestuurder onthoudt zich van elke vorm van </w:t>
            </w:r>
            <w:proofErr w:type="spellStart"/>
            <w:r w:rsidR="00861022" w:rsidRPr="00C170E7">
              <w:rPr>
                <w:rFonts w:ascii="Arial" w:eastAsia="Calibri" w:hAnsi="Arial" w:cs="Arial"/>
                <w:sz w:val="20"/>
                <w:szCs w:val="20"/>
              </w:rPr>
              <w:t>cliëntelisme</w:t>
            </w:r>
            <w:proofErr w:type="spellEnd"/>
            <w:r w:rsidR="00861022" w:rsidRPr="00C170E7">
              <w:rPr>
                <w:rFonts w:ascii="Arial" w:eastAsia="Calibri" w:hAnsi="Arial" w:cs="Arial"/>
                <w:sz w:val="20"/>
                <w:szCs w:val="20"/>
              </w:rPr>
              <w:t xml:space="preserve"> of favoritisme. </w:t>
            </w:r>
          </w:p>
          <w:p w14:paraId="4363F526" w14:textId="77777777" w:rsidR="00C170E7" w:rsidRPr="00C170E7" w:rsidRDefault="00C170E7" w:rsidP="00C170E7">
            <w:pPr>
              <w:jc w:val="both"/>
              <w:rPr>
                <w:rFonts w:ascii="Arial" w:eastAsia="Calibri" w:hAnsi="Arial" w:cs="Arial"/>
                <w:sz w:val="20"/>
                <w:szCs w:val="20"/>
              </w:rPr>
            </w:pPr>
          </w:p>
          <w:p w14:paraId="0B49BE44" w14:textId="44B3EFD4" w:rsidR="00861022" w:rsidRDefault="00E751C3" w:rsidP="00C86134">
            <w:pPr>
              <w:pStyle w:val="Lijstalinea"/>
              <w:numPr>
                <w:ilvl w:val="0"/>
                <w:numId w:val="6"/>
              </w:numPr>
              <w:jc w:val="both"/>
              <w:rPr>
                <w:rFonts w:ascii="Arial" w:eastAsia="Calibri" w:hAnsi="Arial" w:cs="Arial"/>
                <w:sz w:val="20"/>
                <w:szCs w:val="20"/>
              </w:rPr>
            </w:pPr>
            <w:r w:rsidRPr="00C170E7">
              <w:rPr>
                <w:rFonts w:ascii="Arial" w:eastAsia="Calibri" w:hAnsi="Arial" w:cs="Arial"/>
                <w:sz w:val="20"/>
                <w:szCs w:val="20"/>
              </w:rPr>
              <w:t>D</w:t>
            </w:r>
            <w:r w:rsidR="00861022" w:rsidRPr="00C170E7">
              <w:rPr>
                <w:rFonts w:ascii="Arial" w:eastAsia="Calibri" w:hAnsi="Arial" w:cs="Arial"/>
                <w:sz w:val="20"/>
                <w:szCs w:val="20"/>
              </w:rPr>
              <w:t xml:space="preserve">e bestuurders waken erover dat de beginselen van de code tevens richtinggevend kunnen worden gemaakt ten aanzien van het management en het personeel dat bij de uitvoering van de opdrachten wordt betrokken.  </w:t>
            </w:r>
          </w:p>
          <w:p w14:paraId="31070D76" w14:textId="77777777" w:rsidR="003B4BF9" w:rsidRPr="003B4BF9" w:rsidRDefault="003B4BF9" w:rsidP="003B4BF9">
            <w:pPr>
              <w:pStyle w:val="Lijstalinea"/>
              <w:rPr>
                <w:rFonts w:ascii="Arial" w:eastAsia="Calibri" w:hAnsi="Arial" w:cs="Arial"/>
                <w:sz w:val="20"/>
                <w:szCs w:val="20"/>
              </w:rPr>
            </w:pPr>
          </w:p>
          <w:p w14:paraId="11640C42" w14:textId="77777777" w:rsidR="00985AC4" w:rsidRDefault="00F86070" w:rsidP="00F86070">
            <w:pPr>
              <w:shd w:val="clear" w:color="auto" w:fill="FFFFFF"/>
              <w:spacing w:line="285" w:lineRule="atLeast"/>
              <w:rPr>
                <w:rFonts w:ascii="Arial" w:eastAsia="Times New Roman" w:hAnsi="Arial" w:cs="Arial"/>
                <w:color w:val="000000"/>
                <w:sz w:val="20"/>
                <w:szCs w:val="20"/>
                <w:lang w:eastAsia="nl-BE"/>
              </w:rPr>
            </w:pPr>
            <w:r w:rsidRPr="00F86070">
              <w:rPr>
                <w:rFonts w:ascii="Arial" w:eastAsia="Times New Roman" w:hAnsi="Arial" w:cs="Arial"/>
                <w:color w:val="000000"/>
                <w:sz w:val="20"/>
                <w:szCs w:val="20"/>
                <w:lang w:eastAsia="nl-BE"/>
              </w:rPr>
              <w:t xml:space="preserve">Het bestuursorgaan bestaat uit </w:t>
            </w:r>
            <w:r w:rsidR="003B7648" w:rsidRPr="0099603B">
              <w:rPr>
                <w:rFonts w:ascii="Arial" w:eastAsia="Times New Roman" w:hAnsi="Arial" w:cs="Arial"/>
                <w:color w:val="000000"/>
                <w:sz w:val="20"/>
                <w:szCs w:val="20"/>
                <w:u w:val="single"/>
                <w:lang w:eastAsia="nl-BE"/>
              </w:rPr>
              <w:t xml:space="preserve">maximaal </w:t>
            </w:r>
            <w:r w:rsidRPr="0099603B">
              <w:rPr>
                <w:rFonts w:ascii="Arial" w:eastAsia="Times New Roman" w:hAnsi="Arial" w:cs="Arial"/>
                <w:color w:val="000000"/>
                <w:sz w:val="20"/>
                <w:szCs w:val="20"/>
                <w:u w:val="single"/>
                <w:lang w:eastAsia="nl-BE"/>
              </w:rPr>
              <w:t>vijftien</w:t>
            </w:r>
            <w:r w:rsidRPr="00F86070">
              <w:rPr>
                <w:rFonts w:ascii="Arial" w:eastAsia="Times New Roman" w:hAnsi="Arial" w:cs="Arial"/>
                <w:color w:val="000000"/>
                <w:sz w:val="20"/>
                <w:szCs w:val="20"/>
                <w:u w:val="single"/>
                <w:lang w:eastAsia="nl-BE"/>
              </w:rPr>
              <w:t> </w:t>
            </w:r>
            <w:hyperlink r:id="rId5" w:history="1">
              <w:r w:rsidRPr="00F86070">
                <w:rPr>
                  <w:rFonts w:ascii="Arial" w:eastAsia="Times New Roman" w:hAnsi="Arial" w:cs="Arial"/>
                  <w:sz w:val="20"/>
                  <w:szCs w:val="20"/>
                  <w:u w:val="single"/>
                  <w:lang w:eastAsia="nl-BE"/>
                </w:rPr>
                <w:t>leden</w:t>
              </w:r>
            </w:hyperlink>
            <w:r w:rsidRPr="00F86070">
              <w:rPr>
                <w:rFonts w:ascii="Arial" w:eastAsia="Times New Roman" w:hAnsi="Arial" w:cs="Arial"/>
                <w:color w:val="000000"/>
                <w:sz w:val="20"/>
                <w:szCs w:val="20"/>
                <w:lang w:eastAsia="nl-BE"/>
              </w:rPr>
              <w:t xml:space="preserve"> waarvan maximaal twee derde van hetzelfde geslacht. </w:t>
            </w:r>
          </w:p>
          <w:p w14:paraId="42BDA0AB" w14:textId="5A49C8DD" w:rsidR="00F86070" w:rsidRPr="00F86070" w:rsidRDefault="00985AC4" w:rsidP="00F86070">
            <w:pPr>
              <w:shd w:val="clear" w:color="auto" w:fill="FFFFFF"/>
              <w:spacing w:line="285" w:lineRule="atLeast"/>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De s</w:t>
            </w:r>
            <w:r w:rsidR="00F86070" w:rsidRPr="00F86070">
              <w:rPr>
                <w:rFonts w:ascii="Arial" w:eastAsia="Times New Roman" w:hAnsi="Arial" w:cs="Arial"/>
                <w:color w:val="000000"/>
                <w:sz w:val="20"/>
                <w:szCs w:val="20"/>
                <w:lang w:eastAsia="nl-BE"/>
              </w:rPr>
              <w:t xml:space="preserve">chaalgrootte is </w:t>
            </w:r>
            <w:r w:rsidR="008D19B9">
              <w:rPr>
                <w:rFonts w:ascii="Arial" w:eastAsia="Times New Roman" w:hAnsi="Arial" w:cs="Arial"/>
                <w:color w:val="000000"/>
                <w:sz w:val="20"/>
                <w:szCs w:val="20"/>
                <w:lang w:eastAsia="nl-BE"/>
              </w:rPr>
              <w:t xml:space="preserve">dus </w:t>
            </w:r>
            <w:r w:rsidR="00F86070" w:rsidRPr="00F86070">
              <w:rPr>
                <w:rFonts w:ascii="Arial" w:eastAsia="Times New Roman" w:hAnsi="Arial" w:cs="Arial"/>
                <w:color w:val="000000"/>
                <w:sz w:val="20"/>
                <w:szCs w:val="20"/>
                <w:lang w:eastAsia="nl-BE"/>
              </w:rPr>
              <w:t>niet langer bepalend voor de vaststelling van het aantal bestuursmandaten in een woonmaatschappij.</w:t>
            </w:r>
          </w:p>
          <w:p w14:paraId="7FC98F9E" w14:textId="77777777" w:rsidR="00F86070" w:rsidRPr="00F86070" w:rsidRDefault="00F86070" w:rsidP="00F86070">
            <w:pPr>
              <w:shd w:val="clear" w:color="auto" w:fill="FFFFFF"/>
              <w:spacing w:line="285" w:lineRule="atLeast"/>
              <w:rPr>
                <w:rFonts w:ascii="Arial" w:eastAsia="Times New Roman" w:hAnsi="Arial" w:cs="Arial"/>
                <w:color w:val="000000"/>
                <w:sz w:val="20"/>
                <w:szCs w:val="20"/>
                <w:lang w:eastAsia="nl-BE"/>
              </w:rPr>
            </w:pPr>
            <w:r w:rsidRPr="00F86070">
              <w:rPr>
                <w:rFonts w:ascii="Arial" w:eastAsia="Times New Roman" w:hAnsi="Arial" w:cs="Arial"/>
                <w:color w:val="000000"/>
                <w:sz w:val="20"/>
                <w:szCs w:val="20"/>
                <w:lang w:eastAsia="nl-BE"/>
              </w:rPr>
              <w:t> </w:t>
            </w:r>
          </w:p>
          <w:p w14:paraId="729795E2" w14:textId="77777777" w:rsidR="00F86070" w:rsidRPr="00F86070" w:rsidRDefault="00F86070" w:rsidP="00F86070">
            <w:pPr>
              <w:shd w:val="clear" w:color="auto" w:fill="FFFFFF"/>
              <w:spacing w:line="285" w:lineRule="atLeast"/>
              <w:rPr>
                <w:rFonts w:ascii="Arial" w:eastAsia="Times New Roman" w:hAnsi="Arial" w:cs="Arial"/>
                <w:color w:val="000000"/>
                <w:sz w:val="20"/>
                <w:szCs w:val="20"/>
                <w:lang w:eastAsia="nl-BE"/>
              </w:rPr>
            </w:pPr>
            <w:r w:rsidRPr="00F86070">
              <w:rPr>
                <w:rFonts w:ascii="Arial" w:eastAsia="Times New Roman" w:hAnsi="Arial" w:cs="Arial"/>
                <w:color w:val="000000"/>
                <w:sz w:val="20"/>
                <w:szCs w:val="20"/>
                <w:lang w:eastAsia="nl-BE"/>
              </w:rPr>
              <w:t>Verwacht wordt dat de vorming van de woonmaatschappijen tot schaalvergroting zal leiden met minder spelers op een ruimer werkingsgebied. Voor een evenwichtige vertegenwoordiging van lokale besturen in de bestuursorganen wordt een maximum aantal van vijftien bestuurders voorzien. Dit </w:t>
            </w:r>
            <w:hyperlink r:id="rId6" w:history="1">
              <w:r w:rsidRPr="00F86070">
                <w:rPr>
                  <w:rFonts w:ascii="Arial" w:eastAsia="Times New Roman" w:hAnsi="Arial" w:cs="Arial"/>
                  <w:sz w:val="20"/>
                  <w:szCs w:val="20"/>
                  <w:lang w:eastAsia="nl-BE"/>
                </w:rPr>
                <w:t>quotum</w:t>
              </w:r>
            </w:hyperlink>
            <w:r w:rsidRPr="00F86070">
              <w:rPr>
                <w:rFonts w:ascii="Arial" w:eastAsia="Times New Roman" w:hAnsi="Arial" w:cs="Arial"/>
                <w:color w:val="000000"/>
                <w:sz w:val="20"/>
                <w:szCs w:val="20"/>
                <w:lang w:eastAsia="nl-BE"/>
              </w:rPr>
              <w:t> is geïnspireerd op het maximumquotum voor de intercommunales. Dit quotum moet toelaten de vereiste expertise, nodig voor geïntegreerde SVK- en SHM-activiteiten, op te nemen in het bestuursorgaan.</w:t>
            </w:r>
          </w:p>
          <w:p w14:paraId="228B6BE6" w14:textId="1E3DDFFD" w:rsidR="00F86070" w:rsidRPr="00F86070" w:rsidRDefault="00F86070" w:rsidP="00F86070">
            <w:pPr>
              <w:shd w:val="clear" w:color="auto" w:fill="FFFFFF"/>
              <w:spacing w:line="285" w:lineRule="atLeast"/>
              <w:rPr>
                <w:rFonts w:ascii="Arial" w:eastAsia="Times New Roman" w:hAnsi="Arial" w:cs="Arial"/>
                <w:color w:val="000000"/>
                <w:sz w:val="20"/>
                <w:szCs w:val="20"/>
                <w:lang w:eastAsia="nl-BE"/>
              </w:rPr>
            </w:pPr>
            <w:r w:rsidRPr="00F86070">
              <w:rPr>
                <w:rFonts w:ascii="Arial" w:eastAsia="Times New Roman" w:hAnsi="Arial" w:cs="Arial"/>
                <w:color w:val="000000"/>
                <w:sz w:val="20"/>
                <w:szCs w:val="20"/>
                <w:lang w:eastAsia="nl-BE"/>
              </w:rPr>
              <w:t> </w:t>
            </w:r>
          </w:p>
          <w:p w14:paraId="09FF8F22" w14:textId="27C7F19E" w:rsidR="00DC2201" w:rsidRPr="00F86070" w:rsidRDefault="00F86070" w:rsidP="00F86070">
            <w:pPr>
              <w:shd w:val="clear" w:color="auto" w:fill="FFFFFF"/>
              <w:spacing w:line="285" w:lineRule="atLeast"/>
              <w:rPr>
                <w:rFonts w:ascii="Arial" w:eastAsia="Times New Roman" w:hAnsi="Arial" w:cs="Arial"/>
                <w:color w:val="000000"/>
                <w:sz w:val="20"/>
                <w:szCs w:val="20"/>
                <w:lang w:eastAsia="nl-BE"/>
              </w:rPr>
            </w:pPr>
            <w:r w:rsidRPr="00F86070">
              <w:rPr>
                <w:rFonts w:ascii="Arial" w:eastAsia="Times New Roman" w:hAnsi="Arial" w:cs="Arial"/>
                <w:color w:val="000000"/>
                <w:sz w:val="20"/>
                <w:szCs w:val="20"/>
                <w:lang w:eastAsia="nl-BE"/>
              </w:rPr>
              <w:t xml:space="preserve">Bij fusie van of herstructurering tussen erkende woonorganisaties bij de oprichting van de </w:t>
            </w:r>
            <w:proofErr w:type="spellStart"/>
            <w:r w:rsidR="00895D61">
              <w:rPr>
                <w:rFonts w:ascii="Arial" w:eastAsia="Times New Roman" w:hAnsi="Arial" w:cs="Arial"/>
                <w:color w:val="000000"/>
                <w:sz w:val="20"/>
                <w:szCs w:val="20"/>
                <w:lang w:eastAsia="nl-BE"/>
              </w:rPr>
              <w:t>WM’en</w:t>
            </w:r>
            <w:proofErr w:type="spellEnd"/>
            <w:r w:rsidR="00895D61">
              <w:rPr>
                <w:rFonts w:ascii="Arial" w:eastAsia="Times New Roman" w:hAnsi="Arial" w:cs="Arial"/>
                <w:color w:val="000000"/>
                <w:sz w:val="20"/>
                <w:szCs w:val="20"/>
                <w:lang w:eastAsia="nl-BE"/>
              </w:rPr>
              <w:t xml:space="preserve"> </w:t>
            </w:r>
            <w:r w:rsidRPr="00F86070">
              <w:rPr>
                <w:rFonts w:ascii="Arial" w:eastAsia="Times New Roman" w:hAnsi="Arial" w:cs="Arial"/>
                <w:color w:val="000000"/>
                <w:sz w:val="20"/>
                <w:szCs w:val="20"/>
                <w:lang w:eastAsia="nl-BE"/>
              </w:rPr>
              <w:t xml:space="preserve">of bij fusie of herstructurering van </w:t>
            </w:r>
            <w:proofErr w:type="spellStart"/>
            <w:r w:rsidR="00895D61">
              <w:rPr>
                <w:rFonts w:ascii="Arial" w:eastAsia="Times New Roman" w:hAnsi="Arial" w:cs="Arial"/>
                <w:color w:val="000000"/>
                <w:sz w:val="20"/>
                <w:szCs w:val="20"/>
                <w:lang w:eastAsia="nl-BE"/>
              </w:rPr>
              <w:t>WM’en</w:t>
            </w:r>
            <w:proofErr w:type="spellEnd"/>
            <w:r w:rsidR="00895D61">
              <w:rPr>
                <w:rFonts w:ascii="Arial" w:eastAsia="Times New Roman" w:hAnsi="Arial" w:cs="Arial"/>
                <w:color w:val="000000"/>
                <w:sz w:val="20"/>
                <w:szCs w:val="20"/>
                <w:lang w:eastAsia="nl-BE"/>
              </w:rPr>
              <w:t xml:space="preserve"> </w:t>
            </w:r>
            <w:r w:rsidRPr="00F86070">
              <w:rPr>
                <w:rFonts w:ascii="Arial" w:eastAsia="Times New Roman" w:hAnsi="Arial" w:cs="Arial"/>
                <w:color w:val="000000"/>
                <w:sz w:val="20"/>
                <w:szCs w:val="20"/>
                <w:lang w:eastAsia="nl-BE"/>
              </w:rPr>
              <w:t>onderling kan een </w:t>
            </w:r>
            <w:hyperlink r:id="rId7" w:history="1">
              <w:r w:rsidRPr="00F86070">
                <w:rPr>
                  <w:rFonts w:ascii="Arial" w:eastAsia="Times New Roman" w:hAnsi="Arial" w:cs="Arial"/>
                  <w:sz w:val="20"/>
                  <w:szCs w:val="20"/>
                  <w:lang w:eastAsia="nl-BE"/>
                </w:rPr>
                <w:t>hoger aantal bestuursleden</w:t>
              </w:r>
            </w:hyperlink>
            <w:r w:rsidRPr="00F86070">
              <w:rPr>
                <w:rFonts w:ascii="Arial" w:eastAsia="Times New Roman" w:hAnsi="Arial" w:cs="Arial"/>
                <w:color w:val="000000"/>
                <w:sz w:val="20"/>
                <w:szCs w:val="20"/>
                <w:lang w:eastAsia="nl-BE"/>
              </w:rPr>
              <w:t xml:space="preserve"> aangesteld blijven voor de duurtijd van de lopende mandaten. Dan mag u na de aanstelling van het eerste bestuursorgaan van de gefuseerde maatschappij geen nieuwe raadsleden aanstellen of mandaten van raadsleden verlengen zolang hun aantal te hoog is. Uiterlijk na de vervanging of verlenging van alle mandaten van de leden van het bestuursorgaan na samenstelling van het </w:t>
            </w:r>
            <w:r w:rsidR="0062025B">
              <w:rPr>
                <w:rFonts w:ascii="Arial" w:eastAsia="Times New Roman" w:hAnsi="Arial" w:cs="Arial"/>
                <w:color w:val="000000"/>
                <w:sz w:val="20"/>
                <w:szCs w:val="20"/>
                <w:lang w:eastAsia="nl-BE"/>
              </w:rPr>
              <w:t>1ste</w:t>
            </w:r>
            <w:r w:rsidRPr="00F86070">
              <w:rPr>
                <w:rFonts w:ascii="Arial" w:eastAsia="Times New Roman" w:hAnsi="Arial" w:cs="Arial"/>
                <w:color w:val="000000"/>
                <w:sz w:val="20"/>
                <w:szCs w:val="20"/>
                <w:lang w:eastAsia="nl-BE"/>
              </w:rPr>
              <w:t xml:space="preserve"> bestuursorgaan van de gefuseerde maatschappij moet aan alle voorwaarden worden voldaan.</w:t>
            </w:r>
          </w:p>
          <w:p w14:paraId="2008E2B3" w14:textId="2204CF38" w:rsidR="00B23ABE" w:rsidRPr="00F92E61" w:rsidRDefault="00B23ABE" w:rsidP="001F460A">
            <w:pPr>
              <w:shd w:val="clear" w:color="auto" w:fill="FFFFFF"/>
              <w:spacing w:line="285" w:lineRule="atLeast"/>
              <w:ind w:left="720"/>
              <w:rPr>
                <w:rFonts w:ascii="Arial" w:eastAsia="Calibri" w:hAnsi="Arial" w:cs="Arial"/>
                <w:sz w:val="20"/>
                <w:szCs w:val="20"/>
              </w:rPr>
            </w:pPr>
          </w:p>
        </w:tc>
      </w:tr>
      <w:tr w:rsidR="00F23881" w:rsidRPr="000C03FE" w14:paraId="11F10C00" w14:textId="77777777" w:rsidTr="006E11CC">
        <w:tc>
          <w:tcPr>
            <w:tcW w:w="9062" w:type="dxa"/>
            <w:tcBorders>
              <w:bottom w:val="nil"/>
            </w:tcBorders>
          </w:tcPr>
          <w:p w14:paraId="7D9D2DC0" w14:textId="77777777" w:rsidR="00F23881" w:rsidRPr="00D83593" w:rsidRDefault="00F23881" w:rsidP="006E11CC">
            <w:pPr>
              <w:shd w:val="clear" w:color="auto" w:fill="FFFFFF"/>
              <w:spacing w:before="100" w:beforeAutospacing="1" w:after="100" w:afterAutospacing="1" w:line="330" w:lineRule="atLeast"/>
              <w:outlineLvl w:val="3"/>
              <w:rPr>
                <w:rFonts w:ascii="Arial" w:eastAsia="Calibri" w:hAnsi="Arial" w:cs="Arial"/>
                <w:sz w:val="20"/>
                <w:szCs w:val="20"/>
              </w:rPr>
            </w:pPr>
            <w:r w:rsidRPr="00D83593">
              <w:rPr>
                <w:rFonts w:ascii="Arial" w:eastAsia="Times New Roman" w:hAnsi="Arial" w:cs="Arial"/>
                <w:b/>
                <w:bCs/>
                <w:color w:val="000000"/>
                <w:sz w:val="20"/>
                <w:szCs w:val="20"/>
                <w:lang w:eastAsia="nl-BE"/>
              </w:rPr>
              <w:lastRenderedPageBreak/>
              <w:t xml:space="preserve">Aanvulling voor de onafhankelijke bestuurders (cf. draaiboek voor </w:t>
            </w:r>
            <w:proofErr w:type="spellStart"/>
            <w:r w:rsidRPr="00D83593">
              <w:rPr>
                <w:rFonts w:ascii="Arial" w:eastAsia="Times New Roman" w:hAnsi="Arial" w:cs="Arial"/>
                <w:b/>
                <w:bCs/>
                <w:color w:val="000000"/>
                <w:sz w:val="20"/>
                <w:szCs w:val="20"/>
                <w:lang w:eastAsia="nl-BE"/>
              </w:rPr>
              <w:t>WM’en</w:t>
            </w:r>
            <w:proofErr w:type="spellEnd"/>
            <w:r w:rsidRPr="00D83593">
              <w:rPr>
                <w:rFonts w:ascii="Arial" w:eastAsia="Times New Roman" w:hAnsi="Arial" w:cs="Arial"/>
                <w:b/>
                <w:bCs/>
                <w:color w:val="000000"/>
                <w:sz w:val="20"/>
                <w:szCs w:val="20"/>
                <w:lang w:eastAsia="nl-BE"/>
              </w:rPr>
              <w:t xml:space="preserve"> - bestuursorgaan)</w:t>
            </w:r>
          </w:p>
        </w:tc>
      </w:tr>
      <w:tr w:rsidR="00F23881" w:rsidRPr="000C03FE" w14:paraId="507B17DB" w14:textId="77777777" w:rsidTr="006E11CC">
        <w:tc>
          <w:tcPr>
            <w:tcW w:w="9062" w:type="dxa"/>
            <w:tcBorders>
              <w:top w:val="nil"/>
              <w:bottom w:val="single" w:sz="4" w:space="0" w:color="auto"/>
            </w:tcBorders>
          </w:tcPr>
          <w:p w14:paraId="6766092E" w14:textId="77777777" w:rsidR="00F23881" w:rsidRPr="00F92E61" w:rsidRDefault="00F23881" w:rsidP="006E11CC">
            <w:pPr>
              <w:ind w:left="360"/>
              <w:contextualSpacing/>
              <w:jc w:val="both"/>
              <w:rPr>
                <w:rFonts w:ascii="Arial" w:eastAsia="Calibri" w:hAnsi="Arial" w:cs="Arial"/>
                <w:sz w:val="20"/>
                <w:szCs w:val="20"/>
              </w:rPr>
            </w:pPr>
          </w:p>
        </w:tc>
      </w:tr>
      <w:tr w:rsidR="00F23881" w:rsidRPr="00861022" w14:paraId="566A4BD1" w14:textId="77777777" w:rsidTr="006E11CC">
        <w:tc>
          <w:tcPr>
            <w:tcW w:w="9062" w:type="dxa"/>
            <w:tcBorders>
              <w:top w:val="single" w:sz="4" w:space="0" w:color="auto"/>
              <w:left w:val="single" w:sz="4" w:space="0" w:color="auto"/>
              <w:bottom w:val="single" w:sz="4" w:space="0" w:color="auto"/>
              <w:right w:val="single" w:sz="4" w:space="0" w:color="auto"/>
            </w:tcBorders>
          </w:tcPr>
          <w:p w14:paraId="1D4F06DA" w14:textId="77777777" w:rsidR="00F23881" w:rsidRPr="00BF695A" w:rsidRDefault="00F23881" w:rsidP="006E11CC">
            <w:pPr>
              <w:shd w:val="clear" w:color="auto" w:fill="FFFFFF"/>
              <w:spacing w:line="285" w:lineRule="atLeast"/>
              <w:rPr>
                <w:rFonts w:ascii="Arial" w:eastAsia="Times New Roman" w:hAnsi="Arial" w:cs="Arial"/>
                <w:color w:val="000000"/>
                <w:sz w:val="20"/>
                <w:szCs w:val="20"/>
                <w:lang w:eastAsia="nl-BE"/>
              </w:rPr>
            </w:pPr>
            <w:r w:rsidRPr="00BF695A">
              <w:rPr>
                <w:rFonts w:ascii="Arial" w:eastAsia="Times New Roman" w:hAnsi="Arial" w:cs="Arial"/>
                <w:color w:val="000000"/>
                <w:sz w:val="20"/>
                <w:szCs w:val="20"/>
                <w:lang w:eastAsia="nl-BE"/>
              </w:rPr>
              <w:t>Maximaal twee leden kunnen als </w:t>
            </w:r>
            <w:hyperlink r:id="rId8" w:history="1">
              <w:r w:rsidRPr="00BF695A">
                <w:rPr>
                  <w:rFonts w:ascii="Arial" w:eastAsia="Times New Roman" w:hAnsi="Arial" w:cs="Arial"/>
                  <w:sz w:val="20"/>
                  <w:szCs w:val="20"/>
                  <w:lang w:eastAsia="nl-BE"/>
                </w:rPr>
                <w:t>onafhankelijk bestuurder</w:t>
              </w:r>
            </w:hyperlink>
            <w:r w:rsidRPr="00BF695A">
              <w:rPr>
                <w:rFonts w:ascii="Arial" w:eastAsia="Times New Roman" w:hAnsi="Arial" w:cs="Arial"/>
                <w:color w:val="000000"/>
                <w:sz w:val="20"/>
                <w:szCs w:val="20"/>
                <w:lang w:eastAsia="nl-BE"/>
              </w:rPr>
              <w:t xml:space="preserve"> zetelen. </w:t>
            </w:r>
          </w:p>
          <w:p w14:paraId="7BC687F2" w14:textId="77777777" w:rsidR="00F23881" w:rsidRPr="000B466A" w:rsidRDefault="00F23881" w:rsidP="006E11CC">
            <w:p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0A5A5C4F" w14:textId="77777777" w:rsidR="00F23881" w:rsidRPr="000B466A" w:rsidRDefault="00F23881" w:rsidP="006E11CC">
            <w:p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De algemene vergadering stelt onafhankelijke bestuurders op voordracht van het bestuursorgaan aan. Deze aanstelling kan pas gebeuren nadat eerst de niet-onafhankelijke bestuurders worden aangewezen.</w:t>
            </w:r>
          </w:p>
          <w:p w14:paraId="4793ECE2" w14:textId="77777777" w:rsidR="00F23881" w:rsidRPr="000B466A" w:rsidRDefault="00F23881" w:rsidP="006E11CC">
            <w:pPr>
              <w:shd w:val="clear" w:color="auto" w:fill="FFFFFF"/>
              <w:spacing w:line="285" w:lineRule="atLeast"/>
              <w:rPr>
                <w:rFonts w:ascii="Arial" w:eastAsia="Times New Roman" w:hAnsi="Arial" w:cs="Arial"/>
                <w:color w:val="000000"/>
                <w:sz w:val="20"/>
                <w:szCs w:val="20"/>
                <w:lang w:eastAsia="nl-BE"/>
              </w:rPr>
            </w:pPr>
          </w:p>
          <w:p w14:paraId="10F37E0F" w14:textId="77777777" w:rsidR="00F23881" w:rsidRDefault="00F23881" w:rsidP="006E11CC">
            <w:p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xml:space="preserve">Voor de definiëring van het onafhankelijk karakter verwijst het </w:t>
            </w:r>
            <w:proofErr w:type="spellStart"/>
            <w:r w:rsidRPr="000B466A">
              <w:rPr>
                <w:rFonts w:ascii="Arial" w:eastAsia="Times New Roman" w:hAnsi="Arial" w:cs="Arial"/>
                <w:color w:val="000000"/>
                <w:sz w:val="20"/>
                <w:szCs w:val="20"/>
                <w:lang w:eastAsia="nl-BE"/>
              </w:rPr>
              <w:t>Bestuursdecreet</w:t>
            </w:r>
            <w:proofErr w:type="spellEnd"/>
            <w:r w:rsidRPr="000B466A">
              <w:rPr>
                <w:rFonts w:ascii="Arial" w:eastAsia="Times New Roman" w:hAnsi="Arial" w:cs="Arial"/>
                <w:color w:val="000000"/>
                <w:sz w:val="20"/>
                <w:szCs w:val="20"/>
                <w:lang w:eastAsia="nl-BE"/>
              </w:rPr>
              <w:t xml:space="preserve"> naar het ‘Wetboek van vennootschappen’. Het </w:t>
            </w:r>
            <w:r>
              <w:rPr>
                <w:rFonts w:ascii="Arial" w:eastAsia="Times New Roman" w:hAnsi="Arial" w:cs="Arial"/>
                <w:color w:val="000000"/>
                <w:sz w:val="20"/>
                <w:szCs w:val="20"/>
                <w:lang w:eastAsia="nl-BE"/>
              </w:rPr>
              <w:t>W</w:t>
            </w:r>
            <w:r w:rsidRPr="000B466A">
              <w:rPr>
                <w:rFonts w:ascii="Arial" w:eastAsia="Times New Roman" w:hAnsi="Arial" w:cs="Arial"/>
                <w:color w:val="000000"/>
                <w:sz w:val="20"/>
                <w:szCs w:val="20"/>
                <w:lang w:eastAsia="nl-BE"/>
              </w:rPr>
              <w:t xml:space="preserve">etboek van vennootschappen en verenigingen verwijst op zijn beurt naar de criteria uit de code voor deugdelijk bestuur die de Koning overeenkomstig artikel 3:6, §2, vierde lid Wetboek van vennootschappen en verenigingen aanduidt. De meest actuele versie hiervan is de ‘Belgische corporate </w:t>
            </w:r>
            <w:proofErr w:type="spellStart"/>
            <w:r w:rsidRPr="000B466A">
              <w:rPr>
                <w:rFonts w:ascii="Arial" w:eastAsia="Times New Roman" w:hAnsi="Arial" w:cs="Arial"/>
                <w:color w:val="000000"/>
                <w:sz w:val="20"/>
                <w:szCs w:val="20"/>
                <w:lang w:eastAsia="nl-BE"/>
              </w:rPr>
              <w:t>governance</w:t>
            </w:r>
            <w:proofErr w:type="spellEnd"/>
            <w:r w:rsidRPr="000B466A">
              <w:rPr>
                <w:rFonts w:ascii="Arial" w:eastAsia="Times New Roman" w:hAnsi="Arial" w:cs="Arial"/>
                <w:color w:val="000000"/>
                <w:sz w:val="20"/>
                <w:szCs w:val="20"/>
                <w:lang w:eastAsia="nl-BE"/>
              </w:rPr>
              <w:t xml:space="preserve"> code 2020’. Om als </w:t>
            </w:r>
            <w:r>
              <w:rPr>
                <w:rFonts w:ascii="Arial" w:eastAsia="Times New Roman" w:hAnsi="Arial" w:cs="Arial"/>
                <w:color w:val="000000"/>
                <w:sz w:val="20"/>
                <w:szCs w:val="20"/>
                <w:lang w:eastAsia="nl-BE"/>
              </w:rPr>
              <w:t xml:space="preserve">een </w:t>
            </w:r>
            <w:r w:rsidRPr="000B466A">
              <w:rPr>
                <w:rFonts w:ascii="Arial" w:eastAsia="Times New Roman" w:hAnsi="Arial" w:cs="Arial"/>
                <w:color w:val="000000"/>
                <w:sz w:val="20"/>
                <w:szCs w:val="20"/>
                <w:lang w:eastAsia="nl-BE"/>
              </w:rPr>
              <w:t xml:space="preserve">onafhankelijk bestuurder gekwalificeerd te kunnen worden, moet </w:t>
            </w:r>
            <w:r>
              <w:rPr>
                <w:rFonts w:ascii="Arial" w:eastAsia="Times New Roman" w:hAnsi="Arial" w:cs="Arial"/>
                <w:color w:val="000000"/>
                <w:sz w:val="20"/>
                <w:szCs w:val="20"/>
                <w:lang w:eastAsia="nl-BE"/>
              </w:rPr>
              <w:t>de</w:t>
            </w:r>
            <w:r w:rsidRPr="000B466A">
              <w:rPr>
                <w:rFonts w:ascii="Arial" w:eastAsia="Times New Roman" w:hAnsi="Arial" w:cs="Arial"/>
                <w:color w:val="000000"/>
                <w:sz w:val="20"/>
                <w:szCs w:val="20"/>
                <w:lang w:eastAsia="nl-BE"/>
              </w:rPr>
              <w:t xml:space="preserve"> bestuurder aan de volgende </w:t>
            </w:r>
            <w:hyperlink r:id="rId9" w:history="1">
              <w:r w:rsidRPr="00D7504B">
                <w:rPr>
                  <w:rFonts w:ascii="Arial" w:eastAsia="Times New Roman" w:hAnsi="Arial" w:cs="Arial"/>
                  <w:sz w:val="20"/>
                  <w:szCs w:val="20"/>
                  <w:lang w:eastAsia="nl-BE"/>
                </w:rPr>
                <w:t>criteria</w:t>
              </w:r>
            </w:hyperlink>
            <w:r w:rsidRPr="000B466A">
              <w:rPr>
                <w:rFonts w:ascii="Arial" w:eastAsia="Times New Roman" w:hAnsi="Arial" w:cs="Arial"/>
                <w:color w:val="000000"/>
                <w:sz w:val="20"/>
                <w:szCs w:val="20"/>
                <w:lang w:eastAsia="nl-BE"/>
              </w:rPr>
              <w:t> voldoen:</w:t>
            </w:r>
          </w:p>
          <w:p w14:paraId="6837C4C3" w14:textId="77777777" w:rsidR="00F23881" w:rsidRPr="000B466A" w:rsidRDefault="00F23881" w:rsidP="006E11CC">
            <w:pPr>
              <w:shd w:val="clear" w:color="auto" w:fill="FFFFFF"/>
              <w:spacing w:line="285" w:lineRule="atLeast"/>
              <w:rPr>
                <w:rFonts w:ascii="Arial" w:eastAsia="Times New Roman" w:hAnsi="Arial" w:cs="Arial"/>
                <w:color w:val="000000"/>
                <w:sz w:val="20"/>
                <w:szCs w:val="20"/>
                <w:lang w:eastAsia="nl-BE"/>
              </w:rPr>
            </w:pPr>
          </w:p>
          <w:p w14:paraId="3E845956" w14:textId="77777777" w:rsidR="00F23881" w:rsidRPr="000B466A" w:rsidRDefault="00F23881" w:rsidP="006E11CC">
            <w:pPr>
              <w:numPr>
                <w:ilvl w:val="0"/>
                <w:numId w:val="8"/>
              </w:numPr>
              <w:shd w:val="clear" w:color="auto" w:fill="FFFFFF"/>
              <w:spacing w:line="285" w:lineRule="atLeast"/>
              <w:rPr>
                <w:rFonts w:ascii="Arial" w:eastAsia="Times New Roman" w:hAnsi="Arial" w:cs="Arial"/>
                <w:color w:val="000000"/>
                <w:sz w:val="20"/>
                <w:szCs w:val="20"/>
                <w:lang w:eastAsia="nl-BE"/>
              </w:rPr>
            </w:pPr>
            <w:r w:rsidRPr="006026FB">
              <w:rPr>
                <w:rFonts w:ascii="Arial" w:eastAsia="Times New Roman" w:hAnsi="Arial" w:cs="Arial"/>
                <w:color w:val="000000"/>
                <w:sz w:val="20"/>
                <w:szCs w:val="20"/>
                <w:highlight w:val="yellow"/>
                <w:lang w:eastAsia="nl-BE"/>
              </w:rPr>
              <w:t>geen lid zijn van het uitvoerend management of een functie uitoefenen als persoon belast met het dagelijks bestuur van de vennootschap</w:t>
            </w:r>
            <w:r w:rsidRPr="000B466A">
              <w:rPr>
                <w:rFonts w:ascii="Arial" w:eastAsia="Times New Roman" w:hAnsi="Arial" w:cs="Arial"/>
                <w:color w:val="000000"/>
                <w:sz w:val="20"/>
                <w:szCs w:val="20"/>
                <w:lang w:eastAsia="nl-BE"/>
              </w:rPr>
              <w:t xml:space="preserve"> of een daarmee verbonden vennootschap of persoon, noch een dergelijke positie hebben uitgeoefend </w:t>
            </w:r>
            <w:r w:rsidRPr="00C31CA4">
              <w:rPr>
                <w:rFonts w:ascii="Arial" w:eastAsia="Times New Roman" w:hAnsi="Arial" w:cs="Arial"/>
                <w:color w:val="000000"/>
                <w:sz w:val="20"/>
                <w:szCs w:val="20"/>
                <w:highlight w:val="yellow"/>
                <w:lang w:eastAsia="nl-BE"/>
              </w:rPr>
              <w:t>gedurende een tijdvak van drie jaar voorafgaand aan de benoeming</w:t>
            </w:r>
            <w:r w:rsidRPr="000B466A">
              <w:rPr>
                <w:rFonts w:ascii="Arial" w:eastAsia="Times New Roman" w:hAnsi="Arial" w:cs="Arial"/>
                <w:color w:val="000000"/>
                <w:sz w:val="20"/>
                <w:szCs w:val="20"/>
                <w:lang w:eastAsia="nl-BE"/>
              </w:rPr>
              <w:t>. Of niet langer genieten van aandelenopties van de vennootschap met betrekking tot deze positie;</w:t>
            </w:r>
          </w:p>
          <w:p w14:paraId="766412AD"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782D8043" w14:textId="77777777" w:rsidR="00F23881" w:rsidRPr="000B466A" w:rsidRDefault="00F23881" w:rsidP="006E11CC">
            <w:pPr>
              <w:numPr>
                <w:ilvl w:val="0"/>
                <w:numId w:val="9"/>
              </w:numPr>
              <w:shd w:val="clear" w:color="auto" w:fill="FFFFFF"/>
              <w:spacing w:line="285" w:lineRule="atLeast"/>
              <w:rPr>
                <w:rFonts w:ascii="Arial" w:eastAsia="Times New Roman" w:hAnsi="Arial" w:cs="Arial"/>
                <w:color w:val="000000"/>
                <w:sz w:val="20"/>
                <w:szCs w:val="20"/>
                <w:lang w:eastAsia="nl-BE"/>
              </w:rPr>
            </w:pPr>
            <w:r w:rsidRPr="0054471F">
              <w:rPr>
                <w:rFonts w:ascii="Arial" w:eastAsia="Times New Roman" w:hAnsi="Arial" w:cs="Arial"/>
                <w:color w:val="000000"/>
                <w:sz w:val="20"/>
                <w:szCs w:val="20"/>
                <w:highlight w:val="yellow"/>
                <w:lang w:eastAsia="nl-BE"/>
              </w:rPr>
              <w:t>niet langer dan 12 jaar een mandaat hebben uitgeoefend als niet-uitvoerend bestuurder</w:t>
            </w:r>
            <w:r w:rsidRPr="000B466A">
              <w:rPr>
                <w:rFonts w:ascii="Arial" w:eastAsia="Times New Roman" w:hAnsi="Arial" w:cs="Arial"/>
                <w:color w:val="000000"/>
                <w:sz w:val="20"/>
                <w:szCs w:val="20"/>
                <w:lang w:eastAsia="nl-BE"/>
              </w:rPr>
              <w:t>;</w:t>
            </w:r>
          </w:p>
          <w:p w14:paraId="049E8FA4"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51F93F73" w14:textId="77777777" w:rsidR="00F23881" w:rsidRPr="000B466A" w:rsidRDefault="00F23881" w:rsidP="006E11CC">
            <w:pPr>
              <w:numPr>
                <w:ilvl w:val="0"/>
                <w:numId w:val="10"/>
              </w:numPr>
              <w:shd w:val="clear" w:color="auto" w:fill="FFFFFF"/>
              <w:spacing w:line="285" w:lineRule="atLeast"/>
              <w:rPr>
                <w:rFonts w:ascii="Arial" w:eastAsia="Times New Roman" w:hAnsi="Arial" w:cs="Arial"/>
                <w:color w:val="000000"/>
                <w:sz w:val="20"/>
                <w:szCs w:val="20"/>
                <w:lang w:eastAsia="nl-BE"/>
              </w:rPr>
            </w:pPr>
            <w:r w:rsidRPr="004455B9">
              <w:rPr>
                <w:rFonts w:ascii="Arial" w:eastAsia="Times New Roman" w:hAnsi="Arial" w:cs="Arial"/>
                <w:color w:val="000000"/>
                <w:sz w:val="20"/>
                <w:szCs w:val="20"/>
                <w:highlight w:val="yellow"/>
                <w:lang w:eastAsia="nl-BE"/>
              </w:rPr>
              <w:t>geen deel uitmaken van het </w:t>
            </w:r>
            <w:hyperlink r:id="rId10" w:history="1">
              <w:r w:rsidRPr="004455B9">
                <w:rPr>
                  <w:rFonts w:ascii="Arial" w:eastAsia="Times New Roman" w:hAnsi="Arial" w:cs="Arial"/>
                  <w:sz w:val="20"/>
                  <w:szCs w:val="20"/>
                  <w:highlight w:val="yellow"/>
                  <w:lang w:eastAsia="nl-BE"/>
                </w:rPr>
                <w:t>leidinggevend personeel</w:t>
              </w:r>
            </w:hyperlink>
            <w:r w:rsidRPr="000B466A">
              <w:rPr>
                <w:rFonts w:ascii="Arial" w:eastAsia="Times New Roman" w:hAnsi="Arial" w:cs="Arial"/>
                <w:color w:val="000000"/>
                <w:sz w:val="20"/>
                <w:szCs w:val="20"/>
                <w:lang w:eastAsia="nl-BE"/>
              </w:rPr>
              <w:t xml:space="preserve">, van de vennootschap of van een daarmee verbonden vennootschap of persoon, noch een dergelijke positie hebben uitgeoefend </w:t>
            </w:r>
            <w:r w:rsidRPr="006026FB">
              <w:rPr>
                <w:rFonts w:ascii="Arial" w:eastAsia="Times New Roman" w:hAnsi="Arial" w:cs="Arial"/>
                <w:color w:val="000000"/>
                <w:sz w:val="20"/>
                <w:szCs w:val="20"/>
                <w:highlight w:val="yellow"/>
                <w:lang w:eastAsia="nl-BE"/>
              </w:rPr>
              <w:t>gedurende een tijdvak van drie jaar voorafgaand aan de benoeming</w:t>
            </w:r>
            <w:r w:rsidRPr="000B466A">
              <w:rPr>
                <w:rFonts w:ascii="Arial" w:eastAsia="Times New Roman" w:hAnsi="Arial" w:cs="Arial"/>
                <w:color w:val="000000"/>
                <w:sz w:val="20"/>
                <w:szCs w:val="20"/>
                <w:lang w:eastAsia="nl-BE"/>
              </w:rPr>
              <w:t>. Of niet langer genieten van aandelenopties van de vennootschap met betrekking tot deze positie;</w:t>
            </w:r>
          </w:p>
          <w:p w14:paraId="6203F372"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4C9F3FFE" w14:textId="77777777" w:rsidR="00F23881" w:rsidRPr="000B466A" w:rsidRDefault="00F23881" w:rsidP="006E11CC">
            <w:pPr>
              <w:numPr>
                <w:ilvl w:val="0"/>
                <w:numId w:val="11"/>
              </w:num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noch tijdens zijn mandaat, noch gedurende een tijdvak van drie jaar voorafgaand aan de benoeming, enige betekenisvolle vergoeding of ander belangrijk voordeel van vermogensrechtelijke aard ontvangen of hebben ontvangen van de vennootschap of van een daarmee verbonden vennootschap of persoon, buiten de vergoeding die zij ontvangen of hebben ontvangen als niet-uitvoerend bestuurder;</w:t>
            </w:r>
          </w:p>
          <w:p w14:paraId="1466DC7A"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4924E8B2" w14:textId="77777777" w:rsidR="00F23881" w:rsidRPr="000B466A" w:rsidRDefault="00F23881" w:rsidP="006E11CC">
            <w:pPr>
              <w:numPr>
                <w:ilvl w:val="0"/>
                <w:numId w:val="12"/>
              </w:num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a. geen aandelen bezitten, noch rechtstreeks of onrechtstreeks, noch individueel of in onderling overleg, die globaal een tiende of meer vertegenwoordigen van het kapitaal van de vennootschap of een tiende of meer van de stemrechten in de vennootschap ten tijde van de benoeming;</w:t>
            </w:r>
          </w:p>
          <w:p w14:paraId="27FFCD3B"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b. in geen geval zijn voorgedragen door een aandeelhouder die voldoet aan de voorwaarden omschreven onder punt (a);</w:t>
            </w:r>
          </w:p>
          <w:p w14:paraId="1B711EBC"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5DB4E504" w14:textId="77777777" w:rsidR="00F23881" w:rsidRPr="000B466A" w:rsidRDefault="00F23881" w:rsidP="006E11CC">
            <w:pPr>
              <w:numPr>
                <w:ilvl w:val="0"/>
                <w:numId w:val="13"/>
              </w:numPr>
              <w:shd w:val="clear" w:color="auto" w:fill="FFFFFF"/>
              <w:spacing w:line="285" w:lineRule="atLeast"/>
              <w:rPr>
                <w:rFonts w:ascii="Arial" w:eastAsia="Times New Roman" w:hAnsi="Arial" w:cs="Arial"/>
                <w:color w:val="000000"/>
                <w:sz w:val="20"/>
                <w:szCs w:val="20"/>
                <w:lang w:eastAsia="nl-BE"/>
              </w:rPr>
            </w:pPr>
            <w:r w:rsidRPr="004455B9">
              <w:rPr>
                <w:rFonts w:ascii="Arial" w:eastAsia="Times New Roman" w:hAnsi="Arial" w:cs="Arial"/>
                <w:color w:val="000000"/>
                <w:sz w:val="20"/>
                <w:szCs w:val="20"/>
                <w:highlight w:val="yellow"/>
                <w:lang w:eastAsia="nl-BE"/>
              </w:rPr>
              <w:t>geen betekenisvolle </w:t>
            </w:r>
            <w:hyperlink r:id="rId11" w:history="1">
              <w:r w:rsidRPr="004455B9">
                <w:rPr>
                  <w:rFonts w:ascii="Arial" w:eastAsia="Times New Roman" w:hAnsi="Arial" w:cs="Arial"/>
                  <w:sz w:val="20"/>
                  <w:szCs w:val="20"/>
                  <w:highlight w:val="yellow"/>
                  <w:lang w:eastAsia="nl-BE"/>
                </w:rPr>
                <w:t>zakelijke relatie</w:t>
              </w:r>
            </w:hyperlink>
            <w:r w:rsidRPr="004455B9">
              <w:rPr>
                <w:rFonts w:ascii="Arial" w:eastAsia="Times New Roman" w:hAnsi="Arial" w:cs="Arial"/>
                <w:color w:val="000000"/>
                <w:sz w:val="20"/>
                <w:szCs w:val="20"/>
                <w:highlight w:val="yellow"/>
                <w:lang w:eastAsia="nl-BE"/>
              </w:rPr>
              <w:t> hebben of in het jaar voorafgaand aan de benoeming hebben gehad</w:t>
            </w:r>
            <w:r w:rsidRPr="000B466A">
              <w:rPr>
                <w:rFonts w:ascii="Arial" w:eastAsia="Times New Roman" w:hAnsi="Arial" w:cs="Arial"/>
                <w:color w:val="000000"/>
                <w:sz w:val="20"/>
                <w:szCs w:val="20"/>
                <w:lang w:eastAsia="nl-BE"/>
              </w:rPr>
              <w:t xml:space="preserve"> met de vennootschap of met een daarmee verbonden vennootschap of persoon, noch rechtstreeks, noch als vennoot, aandeelhouder, lid van de raad of lid van het leidinggevend personeel van een vennootschap of persoon die een dergelijke relatie onderhoudt;</w:t>
            </w:r>
          </w:p>
          <w:p w14:paraId="7FC2B8AB"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6C337FBD" w14:textId="77777777" w:rsidR="00F23881" w:rsidRPr="000B466A" w:rsidRDefault="00F23881" w:rsidP="006E11CC">
            <w:pPr>
              <w:numPr>
                <w:ilvl w:val="0"/>
                <w:numId w:val="14"/>
              </w:numPr>
              <w:shd w:val="clear" w:color="auto" w:fill="FFFFFF"/>
              <w:spacing w:line="285" w:lineRule="atLeast"/>
              <w:rPr>
                <w:rFonts w:ascii="Arial" w:eastAsia="Times New Roman" w:hAnsi="Arial" w:cs="Arial"/>
                <w:color w:val="000000"/>
                <w:sz w:val="20"/>
                <w:szCs w:val="20"/>
                <w:lang w:eastAsia="nl-BE"/>
              </w:rPr>
            </w:pPr>
            <w:r w:rsidRPr="00EE2603">
              <w:rPr>
                <w:rFonts w:ascii="Arial" w:eastAsia="Times New Roman" w:hAnsi="Arial" w:cs="Arial"/>
                <w:color w:val="000000"/>
                <w:sz w:val="20"/>
                <w:szCs w:val="20"/>
                <w:highlight w:val="yellow"/>
                <w:lang w:eastAsia="nl-BE"/>
              </w:rPr>
              <w:t>in de drie jaar voorafgaand aan de benoeming geen partner of lid zijn of zijn geweest van het audit-team van de vennootschap</w:t>
            </w:r>
            <w:r w:rsidRPr="000B466A">
              <w:rPr>
                <w:rFonts w:ascii="Arial" w:eastAsia="Times New Roman" w:hAnsi="Arial" w:cs="Arial"/>
                <w:color w:val="000000"/>
                <w:sz w:val="20"/>
                <w:szCs w:val="20"/>
                <w:lang w:eastAsia="nl-BE"/>
              </w:rPr>
              <w:t xml:space="preserve"> of de persoon die de externe auditor van de </w:t>
            </w:r>
            <w:r w:rsidRPr="000B466A">
              <w:rPr>
                <w:rFonts w:ascii="Arial" w:eastAsia="Times New Roman" w:hAnsi="Arial" w:cs="Arial"/>
                <w:color w:val="000000"/>
                <w:sz w:val="20"/>
                <w:szCs w:val="20"/>
                <w:lang w:eastAsia="nl-BE"/>
              </w:rPr>
              <w:lastRenderedPageBreak/>
              <w:t>vennootschap of een daarmee verbonden vennootschap of persoon is, of was gedurende de laatste drie jaar voor de benoeming;</w:t>
            </w:r>
          </w:p>
          <w:p w14:paraId="0EB86D2D"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54410008" w14:textId="77777777" w:rsidR="00F23881" w:rsidRPr="000B466A" w:rsidRDefault="00F23881" w:rsidP="006E11CC">
            <w:pPr>
              <w:numPr>
                <w:ilvl w:val="0"/>
                <w:numId w:val="15"/>
              </w:numPr>
              <w:shd w:val="clear" w:color="auto" w:fill="FFFFFF"/>
              <w:spacing w:line="285" w:lineRule="atLeast"/>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geen lid zijn van het uitvoerend management van een andere vennootschap waarin een lid van het uitvoerend management van de vennootschap zetelt in de hoedanigheid van een niet-uitvoerend bestuurder, en geen andere belangrijke banden hebben met uitvoerende bestuurders van de vennootschap uit hoofde van functies bij andere vennootschappen of organen;</w:t>
            </w:r>
          </w:p>
          <w:p w14:paraId="5CAB24F2" w14:textId="77777777" w:rsidR="00F23881" w:rsidRPr="000B466A" w:rsidRDefault="00F23881" w:rsidP="006E11CC">
            <w:pPr>
              <w:shd w:val="clear" w:color="auto" w:fill="FFFFFF"/>
              <w:spacing w:line="285" w:lineRule="atLeast"/>
              <w:ind w:left="720"/>
              <w:rPr>
                <w:rFonts w:ascii="Arial" w:eastAsia="Times New Roman" w:hAnsi="Arial" w:cs="Arial"/>
                <w:color w:val="000000"/>
                <w:sz w:val="20"/>
                <w:szCs w:val="20"/>
                <w:lang w:eastAsia="nl-BE"/>
              </w:rPr>
            </w:pPr>
            <w:r w:rsidRPr="000B466A">
              <w:rPr>
                <w:rFonts w:ascii="Arial" w:eastAsia="Times New Roman" w:hAnsi="Arial" w:cs="Arial"/>
                <w:color w:val="000000"/>
                <w:sz w:val="20"/>
                <w:szCs w:val="20"/>
                <w:lang w:eastAsia="nl-BE"/>
              </w:rPr>
              <w:t> </w:t>
            </w:r>
          </w:p>
          <w:p w14:paraId="2CB5434A" w14:textId="77777777" w:rsidR="00F23881" w:rsidRPr="000B466A" w:rsidRDefault="00F23881" w:rsidP="006E11CC">
            <w:pPr>
              <w:numPr>
                <w:ilvl w:val="0"/>
                <w:numId w:val="16"/>
              </w:numPr>
              <w:shd w:val="clear" w:color="auto" w:fill="FFFFFF"/>
              <w:spacing w:line="285" w:lineRule="atLeast"/>
              <w:rPr>
                <w:rFonts w:ascii="Arial" w:eastAsia="Times New Roman" w:hAnsi="Arial" w:cs="Arial"/>
                <w:color w:val="000000"/>
                <w:sz w:val="20"/>
                <w:szCs w:val="20"/>
                <w:lang w:eastAsia="nl-BE"/>
              </w:rPr>
            </w:pPr>
            <w:r w:rsidRPr="00F1206D">
              <w:rPr>
                <w:rFonts w:ascii="Arial" w:eastAsia="Times New Roman" w:hAnsi="Arial" w:cs="Arial"/>
                <w:color w:val="000000"/>
                <w:sz w:val="20"/>
                <w:szCs w:val="20"/>
                <w:highlight w:val="yellow"/>
                <w:lang w:eastAsia="nl-BE"/>
              </w:rPr>
              <w:t>geen </w:t>
            </w:r>
            <w:hyperlink r:id="rId12" w:history="1">
              <w:r w:rsidRPr="00F1206D">
                <w:rPr>
                  <w:rFonts w:ascii="Arial" w:eastAsia="Times New Roman" w:hAnsi="Arial" w:cs="Arial"/>
                  <w:sz w:val="20"/>
                  <w:szCs w:val="20"/>
                  <w:highlight w:val="yellow"/>
                  <w:lang w:eastAsia="nl-BE"/>
                </w:rPr>
                <w:t>echtgenoot, wettelijk samenwonende partner of bloed- of aanverwanten</w:t>
              </w:r>
            </w:hyperlink>
            <w:r w:rsidRPr="00F1206D">
              <w:rPr>
                <w:rFonts w:ascii="Arial" w:eastAsia="Times New Roman" w:hAnsi="Arial" w:cs="Arial"/>
                <w:color w:val="000000"/>
                <w:sz w:val="20"/>
                <w:szCs w:val="20"/>
                <w:highlight w:val="yellow"/>
                <w:lang w:eastAsia="nl-BE"/>
              </w:rPr>
              <w:t> tot de tweede graad hebben</w:t>
            </w:r>
            <w:r w:rsidRPr="000B466A">
              <w:rPr>
                <w:rFonts w:ascii="Arial" w:eastAsia="Times New Roman" w:hAnsi="Arial" w:cs="Arial"/>
                <w:color w:val="000000"/>
                <w:sz w:val="20"/>
                <w:szCs w:val="20"/>
                <w:lang w:eastAsia="nl-BE"/>
              </w:rPr>
              <w:t xml:space="preserve"> die in de vennootschap of in een daarmee verbonden vennootschap of persoon, een mandaat van bestuurder of lid van het uitvoerend management of persoon belast met het dagelijks bestuur of lid van het leidinggevend personeel uitoefenen, of die behoren tot de andere gevallen, beschreven in de punten 1 tot 8, en </w:t>
            </w:r>
            <w:r w:rsidRPr="00A2485C">
              <w:rPr>
                <w:rFonts w:ascii="Arial" w:eastAsia="Times New Roman" w:hAnsi="Arial" w:cs="Arial"/>
                <w:color w:val="000000"/>
                <w:sz w:val="20"/>
                <w:szCs w:val="20"/>
                <w:lang w:eastAsia="nl-BE"/>
              </w:rPr>
              <w:t>met betrekking tot punt 2, tot drie jaar nadat het betreffende familielid zijn laatste mandaat beëindigde.</w:t>
            </w:r>
          </w:p>
          <w:p w14:paraId="40E32C86" w14:textId="77777777" w:rsidR="00F23881" w:rsidRPr="003B4BF9" w:rsidRDefault="00F23881" w:rsidP="006E11CC">
            <w:pPr>
              <w:rPr>
                <w:rFonts w:ascii="Arial" w:eastAsia="Calibri" w:hAnsi="Arial" w:cs="Arial"/>
                <w:sz w:val="20"/>
                <w:szCs w:val="20"/>
              </w:rPr>
            </w:pPr>
          </w:p>
          <w:p w14:paraId="662FE4D2" w14:textId="77777777" w:rsidR="00F23881" w:rsidRPr="00F92E61" w:rsidRDefault="00F23881" w:rsidP="006E11CC">
            <w:pPr>
              <w:rPr>
                <w:rFonts w:ascii="Arial" w:eastAsia="Calibri" w:hAnsi="Arial" w:cs="Arial"/>
                <w:sz w:val="20"/>
                <w:szCs w:val="20"/>
              </w:rPr>
            </w:pPr>
          </w:p>
        </w:tc>
      </w:tr>
    </w:tbl>
    <w:p w14:paraId="46EB709C" w14:textId="77777777" w:rsidR="00F23881" w:rsidRDefault="00F23881" w:rsidP="00F23881"/>
    <w:p w14:paraId="17BC46DD" w14:textId="77777777" w:rsidR="00861022" w:rsidRDefault="00861022" w:rsidP="00E8220E"/>
    <w:sectPr w:rsidR="00861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E0"/>
    <w:multiLevelType w:val="hybridMultilevel"/>
    <w:tmpl w:val="A04AA3A2"/>
    <w:lvl w:ilvl="0" w:tplc="F10ABE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61571"/>
    <w:multiLevelType w:val="hybridMultilevel"/>
    <w:tmpl w:val="6A4ECDFA"/>
    <w:lvl w:ilvl="0" w:tplc="F10ABE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4D7064"/>
    <w:multiLevelType w:val="multilevel"/>
    <w:tmpl w:val="011A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D4EB6"/>
    <w:multiLevelType w:val="hybridMultilevel"/>
    <w:tmpl w:val="E8DC0352"/>
    <w:lvl w:ilvl="0" w:tplc="825A3C3E">
      <w:start w:val="1"/>
      <w:numFmt w:val="decimal"/>
      <w:lvlText w:val="%1."/>
      <w:lvlJc w:val="left"/>
      <w:pPr>
        <w:ind w:left="4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CB6B98"/>
    <w:multiLevelType w:val="hybridMultilevel"/>
    <w:tmpl w:val="E8FE01C6"/>
    <w:lvl w:ilvl="0" w:tplc="C4E6480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1C72F2"/>
    <w:multiLevelType w:val="hybridMultilevel"/>
    <w:tmpl w:val="D97C0AF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F637100"/>
    <w:multiLevelType w:val="hybridMultilevel"/>
    <w:tmpl w:val="9342C96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1B61E85"/>
    <w:multiLevelType w:val="hybridMultilevel"/>
    <w:tmpl w:val="5BA64D44"/>
    <w:lvl w:ilvl="0" w:tplc="825A3C3E">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8" w15:restartNumberingAfterBreak="0">
    <w:nsid w:val="7CF04E67"/>
    <w:multiLevelType w:val="hybridMultilevel"/>
    <w:tmpl w:val="56F8E95C"/>
    <w:lvl w:ilvl="0" w:tplc="F10ABE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56984290">
    <w:abstractNumId w:val="6"/>
  </w:num>
  <w:num w:numId="2" w16cid:durableId="161046534">
    <w:abstractNumId w:val="8"/>
  </w:num>
  <w:num w:numId="3" w16cid:durableId="1620182418">
    <w:abstractNumId w:val="1"/>
  </w:num>
  <w:num w:numId="4" w16cid:durableId="1298217553">
    <w:abstractNumId w:val="0"/>
  </w:num>
  <w:num w:numId="5" w16cid:durableId="1422531746">
    <w:abstractNumId w:val="4"/>
  </w:num>
  <w:num w:numId="6" w16cid:durableId="1212500683">
    <w:abstractNumId w:val="7"/>
  </w:num>
  <w:num w:numId="7" w16cid:durableId="1434981171">
    <w:abstractNumId w:val="3"/>
  </w:num>
  <w:num w:numId="8" w16cid:durableId="659574712">
    <w:abstractNumId w:val="2"/>
    <w:lvlOverride w:ilvl="0">
      <w:startOverride w:val="1"/>
    </w:lvlOverride>
  </w:num>
  <w:num w:numId="9" w16cid:durableId="610823437">
    <w:abstractNumId w:val="2"/>
    <w:lvlOverride w:ilvl="0">
      <w:startOverride w:val="2"/>
    </w:lvlOverride>
  </w:num>
  <w:num w:numId="10" w16cid:durableId="753209283">
    <w:abstractNumId w:val="2"/>
    <w:lvlOverride w:ilvl="0">
      <w:startOverride w:val="3"/>
    </w:lvlOverride>
  </w:num>
  <w:num w:numId="11" w16cid:durableId="208228368">
    <w:abstractNumId w:val="2"/>
    <w:lvlOverride w:ilvl="0">
      <w:startOverride w:val="4"/>
    </w:lvlOverride>
  </w:num>
  <w:num w:numId="12" w16cid:durableId="1605071209">
    <w:abstractNumId w:val="2"/>
    <w:lvlOverride w:ilvl="0">
      <w:startOverride w:val="5"/>
    </w:lvlOverride>
  </w:num>
  <w:num w:numId="13" w16cid:durableId="1060401526">
    <w:abstractNumId w:val="2"/>
    <w:lvlOverride w:ilvl="0">
      <w:startOverride w:val="6"/>
    </w:lvlOverride>
  </w:num>
  <w:num w:numId="14" w16cid:durableId="1981112338">
    <w:abstractNumId w:val="2"/>
    <w:lvlOverride w:ilvl="0">
      <w:startOverride w:val="7"/>
    </w:lvlOverride>
  </w:num>
  <w:num w:numId="15" w16cid:durableId="1588149969">
    <w:abstractNumId w:val="2"/>
    <w:lvlOverride w:ilvl="0">
      <w:startOverride w:val="8"/>
    </w:lvlOverride>
  </w:num>
  <w:num w:numId="16" w16cid:durableId="1666858513">
    <w:abstractNumId w:val="2"/>
    <w:lvlOverride w:ilvl="0">
      <w:startOverride w:val="9"/>
    </w:lvlOverride>
  </w:num>
  <w:num w:numId="17" w16cid:durableId="7948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43"/>
    <w:rsid w:val="00010EDD"/>
    <w:rsid w:val="00024CCE"/>
    <w:rsid w:val="0003341C"/>
    <w:rsid w:val="000369DF"/>
    <w:rsid w:val="000A111B"/>
    <w:rsid w:val="000C03FE"/>
    <w:rsid w:val="000F4DEB"/>
    <w:rsid w:val="00115576"/>
    <w:rsid w:val="001566F0"/>
    <w:rsid w:val="0016142B"/>
    <w:rsid w:val="001727BA"/>
    <w:rsid w:val="00176A0F"/>
    <w:rsid w:val="001F460A"/>
    <w:rsid w:val="00247A63"/>
    <w:rsid w:val="00251DD0"/>
    <w:rsid w:val="00281BF5"/>
    <w:rsid w:val="0029371E"/>
    <w:rsid w:val="002B0497"/>
    <w:rsid w:val="002F70D9"/>
    <w:rsid w:val="00306804"/>
    <w:rsid w:val="00326D04"/>
    <w:rsid w:val="0034365B"/>
    <w:rsid w:val="00362D9E"/>
    <w:rsid w:val="00370643"/>
    <w:rsid w:val="003924DE"/>
    <w:rsid w:val="00397F40"/>
    <w:rsid w:val="003B04DF"/>
    <w:rsid w:val="003B4919"/>
    <w:rsid w:val="003B4BF9"/>
    <w:rsid w:val="003B7648"/>
    <w:rsid w:val="003F37E5"/>
    <w:rsid w:val="003F6987"/>
    <w:rsid w:val="004327A5"/>
    <w:rsid w:val="004418C8"/>
    <w:rsid w:val="004455B9"/>
    <w:rsid w:val="004658E9"/>
    <w:rsid w:val="004925A1"/>
    <w:rsid w:val="004C5293"/>
    <w:rsid w:val="004C7D4A"/>
    <w:rsid w:val="0054471F"/>
    <w:rsid w:val="00567028"/>
    <w:rsid w:val="00591A4D"/>
    <w:rsid w:val="005A6619"/>
    <w:rsid w:val="006026FB"/>
    <w:rsid w:val="0062025B"/>
    <w:rsid w:val="00685D8A"/>
    <w:rsid w:val="0069533F"/>
    <w:rsid w:val="006B110D"/>
    <w:rsid w:val="006B2A60"/>
    <w:rsid w:val="006B74DE"/>
    <w:rsid w:val="006C588A"/>
    <w:rsid w:val="006D6132"/>
    <w:rsid w:val="006D71ED"/>
    <w:rsid w:val="006E7021"/>
    <w:rsid w:val="00711A14"/>
    <w:rsid w:val="00715DE5"/>
    <w:rsid w:val="00726B3D"/>
    <w:rsid w:val="00754089"/>
    <w:rsid w:val="007563E9"/>
    <w:rsid w:val="00796619"/>
    <w:rsid w:val="007A1A50"/>
    <w:rsid w:val="007B534F"/>
    <w:rsid w:val="007C368B"/>
    <w:rsid w:val="007D3CC7"/>
    <w:rsid w:val="007D662F"/>
    <w:rsid w:val="008078F9"/>
    <w:rsid w:val="00810FD2"/>
    <w:rsid w:val="00830115"/>
    <w:rsid w:val="00854A0B"/>
    <w:rsid w:val="00861022"/>
    <w:rsid w:val="00893D9E"/>
    <w:rsid w:val="00895D61"/>
    <w:rsid w:val="008A32EF"/>
    <w:rsid w:val="008A431C"/>
    <w:rsid w:val="008D19B9"/>
    <w:rsid w:val="008F0FFA"/>
    <w:rsid w:val="00924B61"/>
    <w:rsid w:val="00940E58"/>
    <w:rsid w:val="00980CB9"/>
    <w:rsid w:val="00985AC4"/>
    <w:rsid w:val="00987DD1"/>
    <w:rsid w:val="0099603B"/>
    <w:rsid w:val="009C0584"/>
    <w:rsid w:val="009C41A0"/>
    <w:rsid w:val="009D5E08"/>
    <w:rsid w:val="00A2485C"/>
    <w:rsid w:val="00A374DB"/>
    <w:rsid w:val="00A53998"/>
    <w:rsid w:val="00A90FEC"/>
    <w:rsid w:val="00A96CB3"/>
    <w:rsid w:val="00AA0479"/>
    <w:rsid w:val="00AD3F7A"/>
    <w:rsid w:val="00AE4EDF"/>
    <w:rsid w:val="00B00602"/>
    <w:rsid w:val="00B17F38"/>
    <w:rsid w:val="00B23ABE"/>
    <w:rsid w:val="00B2697C"/>
    <w:rsid w:val="00B5446C"/>
    <w:rsid w:val="00B7509D"/>
    <w:rsid w:val="00B75FC8"/>
    <w:rsid w:val="00B802EC"/>
    <w:rsid w:val="00B84D00"/>
    <w:rsid w:val="00B94665"/>
    <w:rsid w:val="00BB2CF4"/>
    <w:rsid w:val="00BC4B9F"/>
    <w:rsid w:val="00BE118F"/>
    <w:rsid w:val="00BF695A"/>
    <w:rsid w:val="00BF7205"/>
    <w:rsid w:val="00C170E7"/>
    <w:rsid w:val="00C31CA4"/>
    <w:rsid w:val="00C35EE4"/>
    <w:rsid w:val="00C86134"/>
    <w:rsid w:val="00CA02B3"/>
    <w:rsid w:val="00CA4D0C"/>
    <w:rsid w:val="00CC3578"/>
    <w:rsid w:val="00CC56C7"/>
    <w:rsid w:val="00CD1DE5"/>
    <w:rsid w:val="00CE18C4"/>
    <w:rsid w:val="00D31F43"/>
    <w:rsid w:val="00D53A4D"/>
    <w:rsid w:val="00D75B8B"/>
    <w:rsid w:val="00D75CE4"/>
    <w:rsid w:val="00D864DA"/>
    <w:rsid w:val="00DB672D"/>
    <w:rsid w:val="00DC03FC"/>
    <w:rsid w:val="00DC2201"/>
    <w:rsid w:val="00DE7BA0"/>
    <w:rsid w:val="00E02C02"/>
    <w:rsid w:val="00E05374"/>
    <w:rsid w:val="00E1615F"/>
    <w:rsid w:val="00E17625"/>
    <w:rsid w:val="00E25ED8"/>
    <w:rsid w:val="00E66682"/>
    <w:rsid w:val="00E751C3"/>
    <w:rsid w:val="00E8220E"/>
    <w:rsid w:val="00E979FA"/>
    <w:rsid w:val="00EB6593"/>
    <w:rsid w:val="00ED2C9C"/>
    <w:rsid w:val="00EF6BA4"/>
    <w:rsid w:val="00F1206D"/>
    <w:rsid w:val="00F21996"/>
    <w:rsid w:val="00F23881"/>
    <w:rsid w:val="00F5676A"/>
    <w:rsid w:val="00F86070"/>
    <w:rsid w:val="00F92682"/>
    <w:rsid w:val="00F92E61"/>
    <w:rsid w:val="00FB1B9B"/>
    <w:rsid w:val="00FD26E2"/>
    <w:rsid w:val="00FD32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CEE0"/>
  <w15:chartTrackingRefBased/>
  <w15:docId w15:val="{4B9C9CDE-AF77-4A73-B794-F89023B8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3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aiboekwoonmaatschappijen.vmsw.be/Content/Woonmaatschappijen/Nieuw%20opgerichte/Bestuursorgaa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aaiboekwoonmaatschappijen.vmsw.be/Content/Woonmaatschappijen/Nieuw%20opgerichte/Bestuursorgaan.htm" TargetMode="External"/><Relationship Id="rId12" Type="http://schemas.openxmlformats.org/officeDocument/2006/relationships/hyperlink" Target="https://draaiboekwoonmaatschappijen.vmsw.be/Content/Woonmaatschappijen/Nieuw%20opgerichte/Bestuursorga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aaiboekwoonmaatschappijen.vmsw.be/Content/Woonmaatschappijen/Nieuw%20opgerichte/Bestuursorgaan.htm" TargetMode="External"/><Relationship Id="rId11" Type="http://schemas.openxmlformats.org/officeDocument/2006/relationships/hyperlink" Target="https://draaiboekwoonmaatschappijen.vmsw.be/Content/Woonmaatschappijen/Nieuw%20opgerichte/Bestuursorgaan.htm" TargetMode="External"/><Relationship Id="rId5" Type="http://schemas.openxmlformats.org/officeDocument/2006/relationships/hyperlink" Target="https://draaiboekwoonmaatschappijen.vmsw.be/Content/Woonmaatschappijen/Nieuw%20opgerichte/Bestuursorgaan.htm" TargetMode="External"/><Relationship Id="rId10" Type="http://schemas.openxmlformats.org/officeDocument/2006/relationships/hyperlink" Target="https://draaiboekwoonmaatschappijen.vmsw.be/Content/Woonmaatschappijen/Nieuw%20opgerichte/Bestuursorgaan.htm" TargetMode="External"/><Relationship Id="rId4" Type="http://schemas.openxmlformats.org/officeDocument/2006/relationships/webSettings" Target="webSettings.xml"/><Relationship Id="rId9" Type="http://schemas.openxmlformats.org/officeDocument/2006/relationships/hyperlink" Target="https://draaiboekwoonmaatschappijen.vmsw.be/Content/Woonmaatschappijen/Nieuw%20opgerichte/Bestuursorgaan.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12579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2023-05-04T08:50:00Z</dcterms:created>
  <dcterms:modified xsi:type="dcterms:W3CDTF">2023-05-04T08:50:00Z</dcterms:modified>
</cp:coreProperties>
</file>