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075" w:type="dxa"/>
        <w:tblLook w:val="04A0" w:firstRow="1" w:lastRow="0" w:firstColumn="1" w:lastColumn="0" w:noHBand="0" w:noVBand="1"/>
      </w:tblPr>
      <w:tblGrid>
        <w:gridCol w:w="9075"/>
      </w:tblGrid>
      <w:tr w:rsidR="00E6008E" w:rsidRPr="00497C17" w14:paraId="507AAE69" w14:textId="77777777" w:rsidTr="006F43CA">
        <w:tc>
          <w:tcPr>
            <w:tcW w:w="9075" w:type="dxa"/>
          </w:tcPr>
          <w:p w14:paraId="1F8F1DE5" w14:textId="195114D3" w:rsidR="00E6008E" w:rsidRPr="00497C17" w:rsidRDefault="00497C17" w:rsidP="00E6008E">
            <w:pPr>
              <w:jc w:val="center"/>
              <w:rPr>
                <w:rFonts w:ascii="Arial" w:eastAsia="Calibri" w:hAnsi="Arial" w:cs="Arial"/>
                <w:b/>
                <w:sz w:val="32"/>
                <w:szCs w:val="32"/>
              </w:rPr>
            </w:pPr>
            <w:r w:rsidRPr="00497C17">
              <w:rPr>
                <w:rFonts w:ascii="Arial" w:eastAsia="Calibri" w:hAnsi="Arial" w:cs="Arial"/>
                <w:b/>
                <w:sz w:val="32"/>
                <w:szCs w:val="32"/>
              </w:rPr>
              <w:t xml:space="preserve">WM : </w:t>
            </w:r>
            <w:proofErr w:type="spellStart"/>
            <w:r w:rsidRPr="00497C17">
              <w:rPr>
                <w:rFonts w:ascii="Arial" w:eastAsia="Calibri" w:hAnsi="Arial" w:cs="Arial"/>
                <w:b/>
                <w:sz w:val="32"/>
                <w:szCs w:val="32"/>
              </w:rPr>
              <w:t>g</w:t>
            </w:r>
            <w:r w:rsidR="00E6008E" w:rsidRPr="00497C17">
              <w:rPr>
                <w:rFonts w:ascii="Arial" w:eastAsia="Calibri" w:hAnsi="Arial" w:cs="Arial"/>
                <w:b/>
                <w:sz w:val="32"/>
                <w:szCs w:val="32"/>
              </w:rPr>
              <w:t>ood</w:t>
            </w:r>
            <w:proofErr w:type="spellEnd"/>
            <w:r w:rsidR="00E6008E" w:rsidRPr="00497C17">
              <w:rPr>
                <w:rFonts w:ascii="Arial" w:eastAsia="Calibri" w:hAnsi="Arial" w:cs="Arial"/>
                <w:b/>
                <w:sz w:val="32"/>
                <w:szCs w:val="32"/>
              </w:rPr>
              <w:t xml:space="preserve"> </w:t>
            </w:r>
            <w:proofErr w:type="spellStart"/>
            <w:r w:rsidR="00E6008E" w:rsidRPr="00497C17">
              <w:rPr>
                <w:rFonts w:ascii="Arial" w:eastAsia="Calibri" w:hAnsi="Arial" w:cs="Arial"/>
                <w:b/>
                <w:sz w:val="32"/>
                <w:szCs w:val="32"/>
              </w:rPr>
              <w:t>practices</w:t>
            </w:r>
            <w:proofErr w:type="spellEnd"/>
            <w:r w:rsidR="00E6008E" w:rsidRPr="00497C17">
              <w:rPr>
                <w:rFonts w:ascii="Arial" w:eastAsia="Calibri" w:hAnsi="Arial" w:cs="Arial"/>
                <w:b/>
                <w:sz w:val="32"/>
                <w:szCs w:val="32"/>
              </w:rPr>
              <w:t xml:space="preserve"> </w:t>
            </w:r>
            <w:r w:rsidRPr="00497C17">
              <w:rPr>
                <w:rFonts w:ascii="Arial" w:eastAsia="Calibri" w:hAnsi="Arial" w:cs="Arial"/>
                <w:b/>
                <w:sz w:val="32"/>
                <w:szCs w:val="32"/>
              </w:rPr>
              <w:t xml:space="preserve">beveiliging </w:t>
            </w:r>
            <w:r w:rsidR="00D24417">
              <w:rPr>
                <w:rFonts w:ascii="Arial" w:eastAsia="Calibri" w:hAnsi="Arial" w:cs="Arial"/>
                <w:b/>
                <w:sz w:val="32"/>
                <w:szCs w:val="32"/>
              </w:rPr>
              <w:t xml:space="preserve">activa en </w:t>
            </w:r>
            <w:r w:rsidR="000E6A6E">
              <w:rPr>
                <w:rFonts w:ascii="Arial" w:eastAsia="Calibri" w:hAnsi="Arial" w:cs="Arial"/>
                <w:b/>
                <w:sz w:val="32"/>
                <w:szCs w:val="32"/>
              </w:rPr>
              <w:t>d</w:t>
            </w:r>
            <w:r w:rsidR="00730410">
              <w:rPr>
                <w:rFonts w:ascii="Arial" w:eastAsia="Calibri" w:hAnsi="Arial" w:cs="Arial"/>
                <w:b/>
                <w:sz w:val="32"/>
                <w:szCs w:val="32"/>
              </w:rPr>
              <w:t>ata</w:t>
            </w:r>
            <w:r>
              <w:rPr>
                <w:rFonts w:ascii="Arial" w:eastAsia="Calibri" w:hAnsi="Arial" w:cs="Arial"/>
                <w:b/>
                <w:sz w:val="32"/>
                <w:szCs w:val="32"/>
              </w:rPr>
              <w:t xml:space="preserve"> </w:t>
            </w:r>
          </w:p>
        </w:tc>
      </w:tr>
      <w:tr w:rsidR="00E6008E" w:rsidRPr="00E6008E" w14:paraId="486CC95B" w14:textId="77777777" w:rsidTr="006F43CA">
        <w:tc>
          <w:tcPr>
            <w:tcW w:w="9075" w:type="dxa"/>
          </w:tcPr>
          <w:p w14:paraId="0D81D248" w14:textId="03546004" w:rsidR="00E6008E" w:rsidRPr="00E6008E" w:rsidRDefault="00E6008E" w:rsidP="00E6008E">
            <w:pPr>
              <w:rPr>
                <w:rFonts w:ascii="Arial" w:eastAsia="Calibri" w:hAnsi="Arial" w:cs="Arial"/>
                <w:sz w:val="20"/>
                <w:szCs w:val="20"/>
              </w:rPr>
            </w:pPr>
            <w:r w:rsidRPr="00E6008E">
              <w:rPr>
                <w:rFonts w:ascii="Arial" w:eastAsia="Calibri" w:hAnsi="Arial" w:cs="Arial"/>
                <w:sz w:val="20"/>
                <w:szCs w:val="20"/>
              </w:rPr>
              <w:t xml:space="preserve">Versie: </w:t>
            </w:r>
            <w:r w:rsidR="00D849B6">
              <w:rPr>
                <w:rFonts w:ascii="Arial" w:eastAsia="Calibri" w:hAnsi="Arial" w:cs="Arial"/>
                <w:sz w:val="20"/>
                <w:szCs w:val="20"/>
              </w:rPr>
              <w:t xml:space="preserve">januari </w:t>
            </w:r>
            <w:r w:rsidR="00497C17">
              <w:rPr>
                <w:rFonts w:ascii="Arial" w:eastAsia="Calibri" w:hAnsi="Arial" w:cs="Arial"/>
                <w:sz w:val="20"/>
                <w:szCs w:val="20"/>
              </w:rPr>
              <w:t>202</w:t>
            </w:r>
            <w:r w:rsidR="00D849B6">
              <w:rPr>
                <w:rFonts w:ascii="Arial" w:eastAsia="Calibri" w:hAnsi="Arial" w:cs="Arial"/>
                <w:sz w:val="20"/>
                <w:szCs w:val="20"/>
              </w:rPr>
              <w:t>3</w:t>
            </w:r>
          </w:p>
        </w:tc>
      </w:tr>
      <w:tr w:rsidR="00E6008E" w:rsidRPr="00E6008E" w14:paraId="06D1688F" w14:textId="77777777" w:rsidTr="006F43CA">
        <w:tc>
          <w:tcPr>
            <w:tcW w:w="9075" w:type="dxa"/>
          </w:tcPr>
          <w:p w14:paraId="1075808D" w14:textId="607E4D89" w:rsidR="00E6008E" w:rsidRPr="00E6008E" w:rsidRDefault="00E6008E" w:rsidP="00E6008E">
            <w:pPr>
              <w:rPr>
                <w:rFonts w:ascii="Arial" w:eastAsia="Calibri" w:hAnsi="Arial" w:cs="Arial"/>
                <w:sz w:val="20"/>
                <w:szCs w:val="20"/>
              </w:rPr>
            </w:pPr>
            <w:r w:rsidRPr="00E6008E">
              <w:rPr>
                <w:rFonts w:ascii="Arial" w:eastAsia="Calibri" w:hAnsi="Arial" w:cs="Arial"/>
                <w:sz w:val="20"/>
                <w:szCs w:val="20"/>
              </w:rPr>
              <w:t xml:space="preserve">Update: </w:t>
            </w:r>
          </w:p>
        </w:tc>
      </w:tr>
    </w:tbl>
    <w:p w14:paraId="79502AC2" w14:textId="667CFA9D" w:rsidR="00D3711D" w:rsidRDefault="00D3711D"/>
    <w:tbl>
      <w:tblPr>
        <w:tblStyle w:val="Tabelraster"/>
        <w:tblW w:w="9067" w:type="dxa"/>
        <w:tblLook w:val="04A0" w:firstRow="1" w:lastRow="0" w:firstColumn="1" w:lastColumn="0" w:noHBand="0" w:noVBand="1"/>
      </w:tblPr>
      <w:tblGrid>
        <w:gridCol w:w="9067"/>
      </w:tblGrid>
      <w:tr w:rsidR="000013AF" w:rsidRPr="000013AF" w14:paraId="3ED8954C" w14:textId="77777777" w:rsidTr="00C00F06">
        <w:tc>
          <w:tcPr>
            <w:tcW w:w="9067" w:type="dxa"/>
          </w:tcPr>
          <w:p w14:paraId="32873642" w14:textId="2E0F233A" w:rsidR="000013AF" w:rsidRDefault="000013AF" w:rsidP="000013AF">
            <w:pPr>
              <w:jc w:val="both"/>
              <w:rPr>
                <w:rFonts w:ascii="Arial" w:eastAsia="Calibri" w:hAnsi="Arial" w:cs="Arial"/>
                <w:sz w:val="20"/>
                <w:szCs w:val="20"/>
              </w:rPr>
            </w:pPr>
            <w:r w:rsidRPr="008F40C4">
              <w:rPr>
                <w:rFonts w:ascii="Arial" w:eastAsia="Calibri" w:hAnsi="Arial" w:cs="Arial"/>
                <w:sz w:val="20"/>
                <w:szCs w:val="20"/>
              </w:rPr>
              <w:t xml:space="preserve">Het is </w:t>
            </w:r>
            <w:r w:rsidR="00B50822">
              <w:rPr>
                <w:rFonts w:ascii="Arial" w:eastAsia="Calibri" w:hAnsi="Arial" w:cs="Arial"/>
                <w:sz w:val="20"/>
                <w:szCs w:val="20"/>
              </w:rPr>
              <w:t>noodzakelijk</w:t>
            </w:r>
            <w:r w:rsidRPr="008F40C4">
              <w:rPr>
                <w:rFonts w:ascii="Arial" w:eastAsia="Calibri" w:hAnsi="Arial" w:cs="Arial"/>
                <w:sz w:val="20"/>
                <w:szCs w:val="20"/>
              </w:rPr>
              <w:t xml:space="preserve"> om maatregelen te treffen om de toegang tot kantoren, magazijnen</w:t>
            </w:r>
            <w:r w:rsidR="004E2D1C">
              <w:rPr>
                <w:rFonts w:ascii="Arial" w:eastAsia="Calibri" w:hAnsi="Arial" w:cs="Arial"/>
                <w:sz w:val="20"/>
                <w:szCs w:val="20"/>
              </w:rPr>
              <w:t xml:space="preserve">, </w:t>
            </w:r>
            <w:r w:rsidRPr="008F40C4">
              <w:rPr>
                <w:rFonts w:ascii="Arial" w:eastAsia="Calibri" w:hAnsi="Arial" w:cs="Arial"/>
                <w:sz w:val="20"/>
                <w:szCs w:val="20"/>
              </w:rPr>
              <w:t>het kasgeld</w:t>
            </w:r>
            <w:r w:rsidR="004E2D1C">
              <w:rPr>
                <w:rFonts w:ascii="Arial" w:eastAsia="Calibri" w:hAnsi="Arial" w:cs="Arial"/>
                <w:sz w:val="20"/>
                <w:szCs w:val="20"/>
              </w:rPr>
              <w:t>, digitale informatie</w:t>
            </w:r>
            <w:r w:rsidR="00DB6418">
              <w:rPr>
                <w:rFonts w:ascii="Arial" w:eastAsia="Calibri" w:hAnsi="Arial" w:cs="Arial"/>
                <w:sz w:val="20"/>
                <w:szCs w:val="20"/>
              </w:rPr>
              <w:t>,…</w:t>
            </w:r>
            <w:r w:rsidRPr="008F40C4">
              <w:rPr>
                <w:rFonts w:ascii="Arial" w:eastAsia="Calibri" w:hAnsi="Arial" w:cs="Arial"/>
                <w:sz w:val="20"/>
                <w:szCs w:val="20"/>
              </w:rPr>
              <w:t xml:space="preserve"> voor onbevoegden te verhinderen.</w:t>
            </w:r>
          </w:p>
          <w:p w14:paraId="581A128E" w14:textId="77777777" w:rsidR="00577A36" w:rsidRPr="008F40C4" w:rsidRDefault="00577A36" w:rsidP="000013AF">
            <w:pPr>
              <w:jc w:val="both"/>
              <w:rPr>
                <w:rFonts w:ascii="Arial" w:eastAsia="Calibri" w:hAnsi="Arial" w:cs="Arial"/>
                <w:sz w:val="20"/>
                <w:szCs w:val="20"/>
              </w:rPr>
            </w:pPr>
          </w:p>
          <w:p w14:paraId="1A2B591F" w14:textId="7E25DA08" w:rsidR="000013AF" w:rsidRPr="008F40C4" w:rsidRDefault="000013AF" w:rsidP="000013AF">
            <w:pPr>
              <w:autoSpaceDE w:val="0"/>
              <w:autoSpaceDN w:val="0"/>
              <w:adjustRightInd w:val="0"/>
              <w:jc w:val="both"/>
              <w:rPr>
                <w:rFonts w:ascii="Arial" w:eastAsia="Calibri" w:hAnsi="Arial" w:cs="Arial"/>
                <w:sz w:val="20"/>
                <w:szCs w:val="20"/>
              </w:rPr>
            </w:pPr>
            <w:r w:rsidRPr="008F40C4">
              <w:rPr>
                <w:rFonts w:ascii="Arial" w:eastAsia="Calibri" w:hAnsi="Arial" w:cs="Arial"/>
                <w:sz w:val="20"/>
                <w:szCs w:val="20"/>
              </w:rPr>
              <w:t xml:space="preserve">Hierna volgen een aantal items die als leidraad kunnen dienen om </w:t>
            </w:r>
            <w:r w:rsidR="008402E1">
              <w:rPr>
                <w:rFonts w:ascii="Arial" w:eastAsia="Calibri" w:hAnsi="Arial" w:cs="Arial"/>
                <w:sz w:val="20"/>
                <w:szCs w:val="20"/>
              </w:rPr>
              <w:t xml:space="preserve">hieromtrent een aantal </w:t>
            </w:r>
            <w:r w:rsidRPr="008F40C4">
              <w:rPr>
                <w:rFonts w:ascii="Arial" w:eastAsia="Calibri" w:hAnsi="Arial" w:cs="Arial"/>
                <w:sz w:val="20"/>
                <w:szCs w:val="20"/>
              </w:rPr>
              <w:t>procedure</w:t>
            </w:r>
            <w:r w:rsidR="00905F13">
              <w:rPr>
                <w:rFonts w:ascii="Arial" w:eastAsia="Calibri" w:hAnsi="Arial" w:cs="Arial"/>
                <w:sz w:val="20"/>
                <w:szCs w:val="20"/>
              </w:rPr>
              <w:t>s</w:t>
            </w:r>
            <w:r w:rsidRPr="008F40C4">
              <w:rPr>
                <w:rFonts w:ascii="Arial" w:eastAsia="Calibri" w:hAnsi="Arial" w:cs="Arial"/>
                <w:sz w:val="20"/>
                <w:szCs w:val="20"/>
              </w:rPr>
              <w:t xml:space="preserve"> op te stellen</w:t>
            </w:r>
            <w:r w:rsidR="005F37A1">
              <w:rPr>
                <w:rFonts w:ascii="Arial" w:eastAsia="Calibri" w:hAnsi="Arial" w:cs="Arial"/>
                <w:sz w:val="20"/>
                <w:szCs w:val="20"/>
              </w:rPr>
              <w:t>.</w:t>
            </w:r>
            <w:r w:rsidRPr="008F40C4">
              <w:rPr>
                <w:rFonts w:ascii="Arial" w:eastAsia="Calibri" w:hAnsi="Arial" w:cs="Arial"/>
                <w:sz w:val="20"/>
                <w:szCs w:val="20"/>
              </w:rPr>
              <w:t xml:space="preserve"> </w:t>
            </w:r>
            <w:r w:rsidR="005F37A1">
              <w:rPr>
                <w:rFonts w:ascii="Arial" w:eastAsia="Calibri" w:hAnsi="Arial" w:cs="Arial"/>
                <w:sz w:val="20"/>
                <w:szCs w:val="20"/>
              </w:rPr>
              <w:t>U</w:t>
            </w:r>
            <w:r w:rsidRPr="008F40C4">
              <w:rPr>
                <w:rFonts w:ascii="Arial" w:eastAsia="Calibri" w:hAnsi="Arial" w:cs="Arial"/>
                <w:sz w:val="20"/>
                <w:szCs w:val="20"/>
              </w:rPr>
              <w:t xml:space="preserve">itbreidingen/expliciteringen op bepaalde punten of opname van </w:t>
            </w:r>
            <w:r w:rsidR="005E3A35" w:rsidRPr="008F40C4">
              <w:rPr>
                <w:rFonts w:ascii="Arial" w:eastAsia="Calibri" w:hAnsi="Arial" w:cs="Arial"/>
                <w:sz w:val="20"/>
                <w:szCs w:val="20"/>
              </w:rPr>
              <w:t xml:space="preserve">een aantal </w:t>
            </w:r>
            <w:r w:rsidRPr="008F40C4">
              <w:rPr>
                <w:rFonts w:ascii="Arial" w:eastAsia="Calibri" w:hAnsi="Arial" w:cs="Arial"/>
                <w:sz w:val="20"/>
                <w:szCs w:val="20"/>
              </w:rPr>
              <w:t xml:space="preserve">particuliere gevallen zijn natuurlijk sterk aan te bevelen. Indien specifieke items opgenomen werden in het arbeidsreglement, </w:t>
            </w:r>
            <w:r w:rsidR="00234539" w:rsidRPr="008F40C4">
              <w:rPr>
                <w:rFonts w:ascii="Arial" w:eastAsia="Calibri" w:hAnsi="Arial" w:cs="Arial"/>
                <w:sz w:val="20"/>
                <w:szCs w:val="20"/>
              </w:rPr>
              <w:t>kan hiernaar worden verwezen.</w:t>
            </w:r>
          </w:p>
          <w:p w14:paraId="7AF5B2C8" w14:textId="77777777" w:rsidR="000013AF" w:rsidRPr="000013AF" w:rsidRDefault="000013AF" w:rsidP="000013AF">
            <w:pPr>
              <w:rPr>
                <w:rFonts w:ascii="Calibri" w:eastAsia="Calibri" w:hAnsi="Calibri" w:cs="Times New Roman"/>
              </w:rPr>
            </w:pPr>
          </w:p>
        </w:tc>
      </w:tr>
      <w:tr w:rsidR="000013AF" w:rsidRPr="000013AF" w14:paraId="1D363F8F" w14:textId="77777777" w:rsidTr="00C00F06">
        <w:trPr>
          <w:trHeight w:val="269"/>
        </w:trPr>
        <w:tc>
          <w:tcPr>
            <w:tcW w:w="9067" w:type="dxa"/>
            <w:vMerge w:val="restart"/>
          </w:tcPr>
          <w:p w14:paraId="15E45B28" w14:textId="77777777" w:rsidR="000013AF" w:rsidRPr="00153199" w:rsidRDefault="000013AF" w:rsidP="000013AF">
            <w:pPr>
              <w:numPr>
                <w:ilvl w:val="0"/>
                <w:numId w:val="2"/>
              </w:numPr>
              <w:autoSpaceDE w:val="0"/>
              <w:autoSpaceDN w:val="0"/>
              <w:adjustRightInd w:val="0"/>
              <w:ind w:left="313"/>
              <w:contextualSpacing/>
              <w:rPr>
                <w:rFonts w:ascii="Arial" w:eastAsia="Calibri" w:hAnsi="Arial" w:cs="Arial"/>
                <w:b/>
                <w:sz w:val="20"/>
                <w:szCs w:val="20"/>
                <w:highlight w:val="yellow"/>
              </w:rPr>
            </w:pPr>
            <w:r w:rsidRPr="00153199">
              <w:rPr>
                <w:rFonts w:ascii="Arial" w:eastAsia="Calibri" w:hAnsi="Arial" w:cs="Arial"/>
                <w:b/>
                <w:sz w:val="20"/>
                <w:szCs w:val="20"/>
                <w:highlight w:val="yellow"/>
              </w:rPr>
              <w:t>Beveiliging van kantoren en magazijnen</w:t>
            </w:r>
          </w:p>
          <w:p w14:paraId="7489B923" w14:textId="77777777" w:rsidR="000013AF" w:rsidRPr="00B41FC3" w:rsidRDefault="000013AF" w:rsidP="000013AF">
            <w:pPr>
              <w:autoSpaceDE w:val="0"/>
              <w:autoSpaceDN w:val="0"/>
              <w:adjustRightInd w:val="0"/>
              <w:rPr>
                <w:rFonts w:ascii="Arial" w:eastAsia="Calibri" w:hAnsi="Arial" w:cs="Arial"/>
              </w:rPr>
            </w:pPr>
          </w:p>
          <w:p w14:paraId="629068FA" w14:textId="4B90662B" w:rsidR="000013AF" w:rsidRPr="00B41FC3" w:rsidRDefault="000013AF" w:rsidP="000013AF">
            <w:pPr>
              <w:autoSpaceDE w:val="0"/>
              <w:autoSpaceDN w:val="0"/>
              <w:adjustRightInd w:val="0"/>
              <w:jc w:val="both"/>
              <w:rPr>
                <w:rFonts w:ascii="Arial" w:eastAsia="Calibri" w:hAnsi="Arial" w:cs="Arial"/>
                <w:sz w:val="20"/>
                <w:szCs w:val="20"/>
              </w:rPr>
            </w:pPr>
            <w:r w:rsidRPr="00B41FC3">
              <w:rPr>
                <w:rFonts w:ascii="Arial" w:eastAsia="Calibri" w:hAnsi="Arial" w:cs="Arial"/>
                <w:sz w:val="20"/>
                <w:szCs w:val="20"/>
              </w:rPr>
              <w:t xml:space="preserve">Om de veiligheid van de werknemers en bezoekers beter te waarborgen, alsook om het risico op schade aan of diefstal van goederen van de </w:t>
            </w:r>
            <w:r w:rsidR="000B7010" w:rsidRPr="00B41FC3">
              <w:rPr>
                <w:rFonts w:ascii="Arial" w:eastAsia="Calibri" w:hAnsi="Arial" w:cs="Arial"/>
                <w:sz w:val="20"/>
                <w:szCs w:val="20"/>
              </w:rPr>
              <w:t>WM</w:t>
            </w:r>
            <w:r w:rsidRPr="00B41FC3">
              <w:rPr>
                <w:rFonts w:ascii="Arial" w:eastAsia="Calibri" w:hAnsi="Arial" w:cs="Arial"/>
                <w:sz w:val="20"/>
                <w:szCs w:val="20"/>
              </w:rPr>
              <w:t xml:space="preserve"> te verminderen kunnen onder meer hiernavolgende items worden vermeld</w:t>
            </w:r>
            <w:r w:rsidR="00B4716E">
              <w:rPr>
                <w:rFonts w:ascii="Arial" w:eastAsia="Calibri" w:hAnsi="Arial" w:cs="Arial"/>
                <w:sz w:val="20"/>
                <w:szCs w:val="20"/>
              </w:rPr>
              <w:t>:</w:t>
            </w:r>
          </w:p>
          <w:p w14:paraId="0E038B39" w14:textId="77777777" w:rsidR="000013AF" w:rsidRPr="00B41FC3" w:rsidRDefault="000013AF" w:rsidP="000013AF">
            <w:pPr>
              <w:numPr>
                <w:ilvl w:val="0"/>
                <w:numId w:val="1"/>
              </w:numPr>
              <w:autoSpaceDE w:val="0"/>
              <w:autoSpaceDN w:val="0"/>
              <w:adjustRightInd w:val="0"/>
              <w:contextualSpacing/>
              <w:jc w:val="both"/>
              <w:rPr>
                <w:rFonts w:ascii="Arial" w:eastAsia="Calibri" w:hAnsi="Arial" w:cs="Arial"/>
                <w:sz w:val="20"/>
                <w:szCs w:val="20"/>
              </w:rPr>
            </w:pPr>
            <w:r w:rsidRPr="00B41FC3">
              <w:rPr>
                <w:rFonts w:ascii="Arial" w:eastAsia="Calibri" w:hAnsi="Arial" w:cs="Arial"/>
                <w:sz w:val="20"/>
                <w:szCs w:val="20"/>
              </w:rPr>
              <w:t xml:space="preserve"> ligging (adres) van kantoren en magazijnen.</w:t>
            </w:r>
          </w:p>
          <w:p w14:paraId="3900C37A" w14:textId="77777777" w:rsidR="000013AF" w:rsidRPr="00B41FC3" w:rsidRDefault="000013AF" w:rsidP="000013AF">
            <w:pPr>
              <w:numPr>
                <w:ilvl w:val="0"/>
                <w:numId w:val="1"/>
              </w:numPr>
              <w:autoSpaceDE w:val="0"/>
              <w:autoSpaceDN w:val="0"/>
              <w:adjustRightInd w:val="0"/>
              <w:contextualSpacing/>
              <w:jc w:val="both"/>
              <w:rPr>
                <w:rFonts w:ascii="Arial" w:eastAsia="Calibri" w:hAnsi="Arial" w:cs="Arial"/>
                <w:sz w:val="20"/>
                <w:szCs w:val="20"/>
              </w:rPr>
            </w:pPr>
            <w:r w:rsidRPr="00B41FC3">
              <w:rPr>
                <w:rFonts w:ascii="Arial" w:eastAsia="Calibri" w:hAnsi="Arial" w:cs="Arial"/>
                <w:sz w:val="20"/>
                <w:szCs w:val="20"/>
              </w:rPr>
              <w:t xml:space="preserve"> vermelding van de openingsuren.</w:t>
            </w:r>
          </w:p>
          <w:p w14:paraId="6D57FAE1" w14:textId="77777777" w:rsidR="000013AF" w:rsidRPr="00B41FC3" w:rsidRDefault="000013AF" w:rsidP="000013AF">
            <w:pPr>
              <w:numPr>
                <w:ilvl w:val="0"/>
                <w:numId w:val="1"/>
              </w:numPr>
              <w:autoSpaceDE w:val="0"/>
              <w:autoSpaceDN w:val="0"/>
              <w:adjustRightInd w:val="0"/>
              <w:contextualSpacing/>
              <w:jc w:val="both"/>
              <w:rPr>
                <w:rFonts w:ascii="Arial" w:eastAsia="Calibri" w:hAnsi="Arial" w:cs="Arial"/>
                <w:sz w:val="20"/>
                <w:szCs w:val="20"/>
              </w:rPr>
            </w:pPr>
            <w:r w:rsidRPr="00B41FC3">
              <w:rPr>
                <w:rFonts w:ascii="Arial" w:eastAsia="Calibri" w:hAnsi="Arial" w:cs="Arial"/>
                <w:sz w:val="20"/>
                <w:szCs w:val="20"/>
              </w:rPr>
              <w:t xml:space="preserve"> wie heeft waar toegang tot welke ruimtes.</w:t>
            </w:r>
          </w:p>
          <w:p w14:paraId="63408897" w14:textId="77777777" w:rsidR="000013AF" w:rsidRPr="00B41FC3" w:rsidRDefault="000013AF" w:rsidP="000013AF">
            <w:pPr>
              <w:numPr>
                <w:ilvl w:val="0"/>
                <w:numId w:val="1"/>
              </w:numPr>
              <w:autoSpaceDE w:val="0"/>
              <w:autoSpaceDN w:val="0"/>
              <w:adjustRightInd w:val="0"/>
              <w:contextualSpacing/>
              <w:jc w:val="both"/>
              <w:rPr>
                <w:rFonts w:ascii="Arial" w:eastAsia="Calibri" w:hAnsi="Arial" w:cs="Arial"/>
                <w:sz w:val="20"/>
                <w:szCs w:val="20"/>
              </w:rPr>
            </w:pPr>
            <w:r w:rsidRPr="00B41FC3">
              <w:rPr>
                <w:rFonts w:ascii="Arial" w:eastAsia="Calibri" w:hAnsi="Arial" w:cs="Arial"/>
                <w:sz w:val="20"/>
                <w:szCs w:val="20"/>
              </w:rPr>
              <w:t xml:space="preserve"> is de toegang tot de gebouwen beveiligd met een alarminstallatie?</w:t>
            </w:r>
          </w:p>
          <w:p w14:paraId="3DC4F6A0" w14:textId="77777777" w:rsidR="000013AF" w:rsidRPr="00B41FC3" w:rsidRDefault="000013AF" w:rsidP="000013AF">
            <w:pPr>
              <w:autoSpaceDE w:val="0"/>
              <w:autoSpaceDN w:val="0"/>
              <w:adjustRightInd w:val="0"/>
              <w:jc w:val="both"/>
              <w:rPr>
                <w:rFonts w:ascii="Arial" w:eastAsia="Calibri" w:hAnsi="Arial" w:cs="Arial"/>
                <w:sz w:val="20"/>
                <w:szCs w:val="20"/>
              </w:rPr>
            </w:pPr>
          </w:p>
          <w:p w14:paraId="483635EF" w14:textId="77777777" w:rsidR="000013AF" w:rsidRPr="00B41FC3" w:rsidRDefault="000013AF" w:rsidP="000013AF">
            <w:pPr>
              <w:autoSpaceDE w:val="0"/>
              <w:autoSpaceDN w:val="0"/>
              <w:adjustRightInd w:val="0"/>
              <w:jc w:val="both"/>
              <w:rPr>
                <w:rFonts w:ascii="Arial" w:eastAsia="Calibri" w:hAnsi="Arial" w:cs="Arial"/>
                <w:sz w:val="20"/>
                <w:szCs w:val="20"/>
              </w:rPr>
            </w:pPr>
            <w:r w:rsidRPr="00B41FC3">
              <w:rPr>
                <w:rFonts w:ascii="Arial" w:eastAsia="Calibri" w:hAnsi="Arial" w:cs="Arial"/>
                <w:sz w:val="20"/>
                <w:szCs w:val="20"/>
              </w:rPr>
              <w:t xml:space="preserve">Wordt de toegang tot de kantoren en de arbeidsplaatsen via sleutels verzekerd of elektronisch gecontroleerd en/of worden er camera’s geïnstalleerd op de arbeidsplaatsen? </w:t>
            </w:r>
          </w:p>
          <w:p w14:paraId="62BFFB8C" w14:textId="26023D34" w:rsidR="000013AF" w:rsidRPr="00B41FC3" w:rsidRDefault="000013AF" w:rsidP="000013AF">
            <w:pPr>
              <w:autoSpaceDE w:val="0"/>
              <w:autoSpaceDN w:val="0"/>
              <w:adjustRightInd w:val="0"/>
              <w:jc w:val="both"/>
              <w:rPr>
                <w:rFonts w:ascii="Arial" w:eastAsia="Calibri" w:hAnsi="Arial" w:cs="Arial"/>
                <w:sz w:val="20"/>
                <w:szCs w:val="20"/>
              </w:rPr>
            </w:pPr>
            <w:r w:rsidRPr="00B41FC3">
              <w:rPr>
                <w:rFonts w:ascii="Arial" w:eastAsia="Calibri" w:hAnsi="Arial" w:cs="Arial"/>
                <w:sz w:val="20"/>
                <w:szCs w:val="20"/>
              </w:rPr>
              <w:t>Een elektronische toegangscontrole, alsook een camerabewaking wordt voorzien:</w:t>
            </w:r>
          </w:p>
          <w:p w14:paraId="7A220F02" w14:textId="77777777" w:rsidR="000013AF" w:rsidRPr="00B41FC3" w:rsidRDefault="000013AF" w:rsidP="00B4716E">
            <w:pPr>
              <w:numPr>
                <w:ilvl w:val="0"/>
                <w:numId w:val="7"/>
              </w:numPr>
              <w:autoSpaceDE w:val="0"/>
              <w:autoSpaceDN w:val="0"/>
              <w:adjustRightInd w:val="0"/>
              <w:contextualSpacing/>
              <w:jc w:val="both"/>
              <w:rPr>
                <w:rFonts w:ascii="Arial" w:eastAsia="Calibri" w:hAnsi="Arial" w:cs="Arial"/>
                <w:sz w:val="20"/>
                <w:szCs w:val="20"/>
              </w:rPr>
            </w:pPr>
            <w:r w:rsidRPr="00B41FC3">
              <w:rPr>
                <w:rFonts w:ascii="Arial" w:eastAsia="Calibri" w:hAnsi="Arial" w:cs="Arial"/>
                <w:sz w:val="20"/>
                <w:szCs w:val="20"/>
              </w:rPr>
              <w:t>ter bescherming en veiligheid van de werknemers en bezoekers van de arbeidsplaatsen/ kantoren.</w:t>
            </w:r>
          </w:p>
          <w:p w14:paraId="07A6C82D" w14:textId="1F44DE97" w:rsidR="000013AF" w:rsidRPr="00B41FC3" w:rsidRDefault="000013AF" w:rsidP="00B4716E">
            <w:pPr>
              <w:numPr>
                <w:ilvl w:val="0"/>
                <w:numId w:val="7"/>
              </w:numPr>
              <w:autoSpaceDE w:val="0"/>
              <w:autoSpaceDN w:val="0"/>
              <w:adjustRightInd w:val="0"/>
              <w:contextualSpacing/>
              <w:jc w:val="both"/>
              <w:rPr>
                <w:rFonts w:ascii="Arial" w:eastAsia="Calibri" w:hAnsi="Arial" w:cs="Arial"/>
                <w:sz w:val="20"/>
                <w:szCs w:val="20"/>
              </w:rPr>
            </w:pPr>
            <w:r w:rsidRPr="00B41FC3">
              <w:rPr>
                <w:rFonts w:ascii="Arial" w:eastAsia="Calibri" w:hAnsi="Arial" w:cs="Arial"/>
                <w:sz w:val="20"/>
                <w:szCs w:val="20"/>
              </w:rPr>
              <w:t xml:space="preserve">ter bescherming van de eigendommen en goederen van de </w:t>
            </w:r>
            <w:r w:rsidR="00581CC7" w:rsidRPr="00B41FC3">
              <w:rPr>
                <w:rFonts w:ascii="Arial" w:eastAsia="Calibri" w:hAnsi="Arial" w:cs="Arial"/>
                <w:sz w:val="20"/>
                <w:szCs w:val="20"/>
              </w:rPr>
              <w:t>WM</w:t>
            </w:r>
            <w:r w:rsidRPr="00B41FC3">
              <w:rPr>
                <w:rFonts w:ascii="Arial" w:eastAsia="Calibri" w:hAnsi="Arial" w:cs="Arial"/>
                <w:sz w:val="20"/>
                <w:szCs w:val="20"/>
              </w:rPr>
              <w:t>.</w:t>
            </w:r>
          </w:p>
          <w:p w14:paraId="245A10FC" w14:textId="77777777" w:rsidR="000013AF" w:rsidRPr="00B41FC3" w:rsidRDefault="000013AF" w:rsidP="000013AF">
            <w:pPr>
              <w:autoSpaceDE w:val="0"/>
              <w:autoSpaceDN w:val="0"/>
              <w:adjustRightInd w:val="0"/>
              <w:jc w:val="both"/>
              <w:rPr>
                <w:rFonts w:ascii="Arial" w:eastAsia="Calibri" w:hAnsi="Arial" w:cs="Arial"/>
                <w:sz w:val="20"/>
                <w:szCs w:val="20"/>
              </w:rPr>
            </w:pPr>
          </w:p>
          <w:p w14:paraId="2E4A5496" w14:textId="2A7B279F" w:rsidR="000013AF" w:rsidRPr="00B41FC3" w:rsidRDefault="000013AF" w:rsidP="000013AF">
            <w:pPr>
              <w:autoSpaceDE w:val="0"/>
              <w:autoSpaceDN w:val="0"/>
              <w:adjustRightInd w:val="0"/>
              <w:jc w:val="both"/>
              <w:rPr>
                <w:rFonts w:ascii="Arial" w:eastAsia="Calibri" w:hAnsi="Arial" w:cs="Arial"/>
                <w:sz w:val="20"/>
                <w:szCs w:val="20"/>
              </w:rPr>
            </w:pPr>
            <w:r w:rsidRPr="00B41FC3">
              <w:rPr>
                <w:rFonts w:ascii="Arial" w:eastAsia="Calibri" w:hAnsi="Arial" w:cs="Arial"/>
                <w:sz w:val="20"/>
                <w:szCs w:val="20"/>
              </w:rPr>
              <w:t xml:space="preserve">De ingevolge de elektronische toegangscontrole, alsook de camerabewaking bekomen gegevens kunnen enkel gebruikt worden in het kader van de beoogde doelstellingen, zijnde de bescherming en veiligheid van de werknemers en bezoekers van de arbeidsplaatsen en de bescherming van de eigendommen van de </w:t>
            </w:r>
            <w:r w:rsidR="00581CC7" w:rsidRPr="00B41FC3">
              <w:rPr>
                <w:rFonts w:ascii="Arial" w:eastAsia="Calibri" w:hAnsi="Arial" w:cs="Arial"/>
                <w:sz w:val="20"/>
                <w:szCs w:val="20"/>
              </w:rPr>
              <w:t>WM</w:t>
            </w:r>
            <w:r w:rsidRPr="00B41FC3">
              <w:rPr>
                <w:rFonts w:ascii="Arial" w:eastAsia="Calibri" w:hAnsi="Arial" w:cs="Arial"/>
                <w:sz w:val="20"/>
                <w:szCs w:val="20"/>
              </w:rPr>
              <w:t xml:space="preserve">. </w:t>
            </w:r>
          </w:p>
          <w:p w14:paraId="749BCB71" w14:textId="77777777" w:rsidR="000013AF" w:rsidRPr="00B41FC3" w:rsidRDefault="000013AF" w:rsidP="000013AF">
            <w:pPr>
              <w:autoSpaceDE w:val="0"/>
              <w:autoSpaceDN w:val="0"/>
              <w:adjustRightInd w:val="0"/>
              <w:jc w:val="both"/>
              <w:rPr>
                <w:rFonts w:ascii="Arial" w:eastAsia="Calibri" w:hAnsi="Arial" w:cs="Arial"/>
                <w:sz w:val="20"/>
                <w:szCs w:val="20"/>
              </w:rPr>
            </w:pPr>
          </w:p>
          <w:p w14:paraId="17D89CCC" w14:textId="7492F958" w:rsidR="000013AF" w:rsidRDefault="000013AF" w:rsidP="000013AF">
            <w:pPr>
              <w:autoSpaceDE w:val="0"/>
              <w:autoSpaceDN w:val="0"/>
              <w:adjustRightInd w:val="0"/>
              <w:jc w:val="both"/>
              <w:rPr>
                <w:rFonts w:ascii="Arial" w:eastAsia="Calibri" w:hAnsi="Arial" w:cs="Arial"/>
                <w:sz w:val="20"/>
                <w:szCs w:val="20"/>
              </w:rPr>
            </w:pPr>
            <w:r w:rsidRPr="00B41FC3">
              <w:rPr>
                <w:rFonts w:ascii="Arial" w:eastAsia="Calibri" w:hAnsi="Arial" w:cs="Arial"/>
                <w:sz w:val="20"/>
                <w:szCs w:val="20"/>
              </w:rPr>
              <w:t xml:space="preserve">Een beschrijving van de werking van de magneetkaarten en de hieraan gekoppelde software, alsook op welke wijze men omgaat met de verkregen data en beelden kan nader worden geëxpliciteerd. </w:t>
            </w:r>
          </w:p>
          <w:p w14:paraId="7109BA20" w14:textId="77777777" w:rsidR="000013AF" w:rsidRPr="00B41FC3" w:rsidRDefault="000013AF" w:rsidP="000013AF">
            <w:pPr>
              <w:rPr>
                <w:rFonts w:ascii="Arial" w:eastAsia="Calibri" w:hAnsi="Arial" w:cs="Arial"/>
              </w:rPr>
            </w:pPr>
          </w:p>
        </w:tc>
      </w:tr>
      <w:tr w:rsidR="000013AF" w:rsidRPr="000013AF" w14:paraId="06D98060" w14:textId="77777777" w:rsidTr="0083064F">
        <w:trPr>
          <w:trHeight w:val="269"/>
        </w:trPr>
        <w:tc>
          <w:tcPr>
            <w:tcW w:w="9067" w:type="dxa"/>
            <w:vMerge/>
            <w:tcBorders>
              <w:bottom w:val="single" w:sz="4" w:space="0" w:color="auto"/>
            </w:tcBorders>
          </w:tcPr>
          <w:p w14:paraId="45311403" w14:textId="77777777" w:rsidR="000013AF" w:rsidRPr="000013AF" w:rsidRDefault="000013AF" w:rsidP="000013AF">
            <w:pPr>
              <w:rPr>
                <w:rFonts w:ascii="Calibri" w:eastAsia="Calibri" w:hAnsi="Calibri" w:cs="Times New Roman"/>
              </w:rPr>
            </w:pPr>
          </w:p>
        </w:tc>
      </w:tr>
      <w:tr w:rsidR="000013AF" w:rsidRPr="000013AF" w14:paraId="594C4ADE" w14:textId="77777777" w:rsidTr="00C00F06">
        <w:trPr>
          <w:trHeight w:val="269"/>
        </w:trPr>
        <w:tc>
          <w:tcPr>
            <w:tcW w:w="9067" w:type="dxa"/>
            <w:vMerge w:val="restart"/>
          </w:tcPr>
          <w:p w14:paraId="611E88B6" w14:textId="77777777" w:rsidR="000013AF" w:rsidRPr="007669E9" w:rsidRDefault="000013AF" w:rsidP="000013AF">
            <w:pPr>
              <w:numPr>
                <w:ilvl w:val="0"/>
                <w:numId w:val="2"/>
              </w:numPr>
              <w:autoSpaceDE w:val="0"/>
              <w:autoSpaceDN w:val="0"/>
              <w:adjustRightInd w:val="0"/>
              <w:ind w:left="313"/>
              <w:contextualSpacing/>
              <w:rPr>
                <w:rFonts w:ascii="Arial" w:eastAsia="Calibri" w:hAnsi="Arial" w:cs="Arial"/>
                <w:b/>
                <w:sz w:val="20"/>
                <w:szCs w:val="20"/>
                <w:highlight w:val="yellow"/>
              </w:rPr>
            </w:pPr>
            <w:r w:rsidRPr="007669E9">
              <w:rPr>
                <w:rFonts w:ascii="Arial" w:eastAsia="Calibri" w:hAnsi="Arial" w:cs="Arial"/>
                <w:b/>
                <w:sz w:val="20"/>
                <w:szCs w:val="20"/>
                <w:highlight w:val="yellow"/>
              </w:rPr>
              <w:t>Beveiliging van het kasgeld/cheques</w:t>
            </w:r>
          </w:p>
          <w:p w14:paraId="6B6FA3E7" w14:textId="77777777" w:rsidR="000013AF" w:rsidRPr="007669E9" w:rsidRDefault="000013AF" w:rsidP="000013AF">
            <w:pPr>
              <w:autoSpaceDE w:val="0"/>
              <w:autoSpaceDN w:val="0"/>
              <w:adjustRightInd w:val="0"/>
              <w:rPr>
                <w:rFonts w:ascii="Arial" w:eastAsia="Calibri" w:hAnsi="Arial" w:cs="Arial"/>
                <w:sz w:val="20"/>
                <w:szCs w:val="20"/>
              </w:rPr>
            </w:pPr>
          </w:p>
          <w:p w14:paraId="6D297687" w14:textId="52B06F81" w:rsidR="000013AF" w:rsidRPr="007669E9" w:rsidRDefault="000013AF" w:rsidP="000013AF">
            <w:pPr>
              <w:autoSpaceDE w:val="0"/>
              <w:autoSpaceDN w:val="0"/>
              <w:adjustRightInd w:val="0"/>
              <w:rPr>
                <w:rFonts w:ascii="Arial" w:eastAsia="Calibri" w:hAnsi="Arial" w:cs="Arial"/>
                <w:sz w:val="20"/>
                <w:szCs w:val="20"/>
              </w:rPr>
            </w:pPr>
            <w:r w:rsidRPr="00F7426F">
              <w:rPr>
                <w:rFonts w:ascii="Arial" w:eastAsia="Calibri" w:hAnsi="Arial" w:cs="Arial"/>
                <w:sz w:val="20"/>
                <w:szCs w:val="20"/>
              </w:rPr>
              <w:t xml:space="preserve">Dit item kan </w:t>
            </w:r>
            <w:r w:rsidR="00A353AB" w:rsidRPr="00F7426F">
              <w:rPr>
                <w:rFonts w:ascii="Arial" w:eastAsia="Calibri" w:hAnsi="Arial" w:cs="Arial"/>
                <w:sz w:val="20"/>
                <w:szCs w:val="20"/>
              </w:rPr>
              <w:t xml:space="preserve">eventueel </w:t>
            </w:r>
            <w:r w:rsidRPr="00F7426F">
              <w:rPr>
                <w:rFonts w:ascii="Arial" w:eastAsia="Calibri" w:hAnsi="Arial" w:cs="Arial"/>
                <w:sz w:val="20"/>
                <w:szCs w:val="20"/>
              </w:rPr>
              <w:t>overlappen</w:t>
            </w:r>
            <w:r w:rsidR="001F36DF" w:rsidRPr="00F7426F">
              <w:rPr>
                <w:rFonts w:ascii="Arial" w:eastAsia="Calibri" w:hAnsi="Arial" w:cs="Arial"/>
                <w:sz w:val="20"/>
                <w:szCs w:val="20"/>
              </w:rPr>
              <w:t xml:space="preserve"> of </w:t>
            </w:r>
            <w:r w:rsidRPr="00F7426F">
              <w:rPr>
                <w:rFonts w:ascii="Arial" w:eastAsia="Calibri" w:hAnsi="Arial" w:cs="Arial"/>
                <w:sz w:val="20"/>
                <w:szCs w:val="20"/>
              </w:rPr>
              <w:t>deels opgenomen zijn in een andere  procedure (</w:t>
            </w:r>
            <w:r w:rsidR="00AA1823" w:rsidRPr="00F7426F">
              <w:rPr>
                <w:rFonts w:ascii="Arial" w:eastAsia="Calibri" w:hAnsi="Arial" w:cs="Arial"/>
                <w:sz w:val="20"/>
                <w:szCs w:val="20"/>
              </w:rPr>
              <w:t>namelijk</w:t>
            </w:r>
            <w:r w:rsidRPr="00F7426F">
              <w:rPr>
                <w:rFonts w:ascii="Arial" w:eastAsia="Calibri" w:hAnsi="Arial" w:cs="Arial"/>
                <w:sz w:val="20"/>
                <w:szCs w:val="20"/>
              </w:rPr>
              <w:t xml:space="preserve"> kas- en liquiditeitenbeheer)</w:t>
            </w:r>
            <w:r w:rsidR="00A56556" w:rsidRPr="00F7426F">
              <w:rPr>
                <w:rFonts w:ascii="Arial" w:eastAsia="Calibri" w:hAnsi="Arial" w:cs="Arial"/>
                <w:sz w:val="20"/>
                <w:szCs w:val="20"/>
              </w:rPr>
              <w:t>.</w:t>
            </w:r>
          </w:p>
          <w:p w14:paraId="3DD61765" w14:textId="21E6D954" w:rsidR="000013AF" w:rsidRPr="007669E9" w:rsidRDefault="000013AF" w:rsidP="00734D1D">
            <w:pPr>
              <w:autoSpaceDE w:val="0"/>
              <w:autoSpaceDN w:val="0"/>
              <w:adjustRightInd w:val="0"/>
              <w:rPr>
                <w:rFonts w:ascii="Arial" w:eastAsia="Calibri" w:hAnsi="Arial" w:cs="Arial"/>
                <w:sz w:val="20"/>
                <w:szCs w:val="20"/>
              </w:rPr>
            </w:pPr>
            <w:r w:rsidRPr="007669E9">
              <w:rPr>
                <w:rFonts w:ascii="Arial" w:eastAsia="Calibri" w:hAnsi="Arial" w:cs="Arial"/>
                <w:sz w:val="20"/>
                <w:szCs w:val="20"/>
              </w:rPr>
              <w:t xml:space="preserve"> </w:t>
            </w:r>
          </w:p>
        </w:tc>
      </w:tr>
      <w:tr w:rsidR="000013AF" w:rsidRPr="000013AF" w14:paraId="7960C721" w14:textId="77777777" w:rsidTr="00734D1D">
        <w:trPr>
          <w:trHeight w:val="269"/>
        </w:trPr>
        <w:tc>
          <w:tcPr>
            <w:tcW w:w="9067" w:type="dxa"/>
            <w:vMerge/>
            <w:tcBorders>
              <w:bottom w:val="nil"/>
            </w:tcBorders>
          </w:tcPr>
          <w:p w14:paraId="5EE103EF" w14:textId="77777777" w:rsidR="000013AF" w:rsidRPr="007669E9" w:rsidRDefault="000013AF" w:rsidP="000013AF">
            <w:pPr>
              <w:rPr>
                <w:rFonts w:ascii="Arial" w:eastAsia="Calibri" w:hAnsi="Arial" w:cs="Arial"/>
                <w:sz w:val="20"/>
                <w:szCs w:val="20"/>
              </w:rPr>
            </w:pPr>
          </w:p>
        </w:tc>
      </w:tr>
      <w:tr w:rsidR="000013AF" w:rsidRPr="000013AF" w14:paraId="698218A4" w14:textId="77777777" w:rsidTr="0083064F">
        <w:tc>
          <w:tcPr>
            <w:tcW w:w="9067" w:type="dxa"/>
            <w:tcBorders>
              <w:top w:val="nil"/>
            </w:tcBorders>
          </w:tcPr>
          <w:p w14:paraId="54419298" w14:textId="77777777" w:rsidR="000013AF" w:rsidRPr="007669E9" w:rsidRDefault="000013AF" w:rsidP="000013AF">
            <w:pPr>
              <w:numPr>
                <w:ilvl w:val="0"/>
                <w:numId w:val="5"/>
              </w:numPr>
              <w:autoSpaceDE w:val="0"/>
              <w:autoSpaceDN w:val="0"/>
              <w:adjustRightInd w:val="0"/>
              <w:contextualSpacing/>
              <w:jc w:val="both"/>
              <w:rPr>
                <w:rFonts w:ascii="Arial" w:eastAsia="Calibri" w:hAnsi="Arial" w:cs="Arial"/>
                <w:sz w:val="20"/>
                <w:szCs w:val="20"/>
              </w:rPr>
            </w:pPr>
            <w:r w:rsidRPr="007669E9">
              <w:rPr>
                <w:rFonts w:ascii="Arial" w:eastAsia="Calibri" w:hAnsi="Arial" w:cs="Arial"/>
                <w:sz w:val="20"/>
                <w:szCs w:val="20"/>
              </w:rPr>
              <w:t>De beveiliging van de kas houdt in dat de kas niet onbeheerd wordt achtergelaten en dat de bankbiljetten bijvoorbeeld in een brandkast worden gedeponeerd.</w:t>
            </w:r>
          </w:p>
          <w:p w14:paraId="72A1A450" w14:textId="75612E4B" w:rsidR="000013AF" w:rsidRDefault="000013AF" w:rsidP="000013AF">
            <w:pPr>
              <w:numPr>
                <w:ilvl w:val="0"/>
                <w:numId w:val="5"/>
              </w:numPr>
              <w:autoSpaceDE w:val="0"/>
              <w:autoSpaceDN w:val="0"/>
              <w:adjustRightInd w:val="0"/>
              <w:contextualSpacing/>
              <w:jc w:val="both"/>
              <w:rPr>
                <w:rFonts w:ascii="Arial" w:eastAsia="Calibri" w:hAnsi="Arial" w:cs="Arial"/>
                <w:sz w:val="20"/>
                <w:szCs w:val="20"/>
              </w:rPr>
            </w:pPr>
            <w:r w:rsidRPr="007669E9">
              <w:rPr>
                <w:rFonts w:ascii="Arial" w:eastAsia="Calibri" w:hAnsi="Arial" w:cs="Arial"/>
                <w:sz w:val="20"/>
                <w:szCs w:val="20"/>
              </w:rPr>
              <w:t>Beschrijving  van gebruik en beheer brandkast, koffers, kluizen (sleutels/codes, verantwoordelijken) en controle op gebruik en beheer ervan.</w:t>
            </w:r>
          </w:p>
          <w:p w14:paraId="587DB47E" w14:textId="77777777" w:rsidR="000013AF" w:rsidRPr="007669E9" w:rsidRDefault="000013AF" w:rsidP="009020AC">
            <w:pPr>
              <w:autoSpaceDE w:val="0"/>
              <w:autoSpaceDN w:val="0"/>
              <w:adjustRightInd w:val="0"/>
              <w:ind w:left="720"/>
              <w:contextualSpacing/>
              <w:jc w:val="both"/>
              <w:rPr>
                <w:rFonts w:ascii="Arial" w:eastAsia="Calibri" w:hAnsi="Arial" w:cs="Arial"/>
                <w:sz w:val="20"/>
                <w:szCs w:val="20"/>
              </w:rPr>
            </w:pPr>
          </w:p>
        </w:tc>
      </w:tr>
      <w:tr w:rsidR="000013AF" w:rsidRPr="000013AF" w14:paraId="3A62A2F7" w14:textId="77777777" w:rsidTr="00C00F06">
        <w:trPr>
          <w:trHeight w:val="269"/>
        </w:trPr>
        <w:tc>
          <w:tcPr>
            <w:tcW w:w="9067" w:type="dxa"/>
            <w:vMerge w:val="restart"/>
          </w:tcPr>
          <w:p w14:paraId="3EF847BC" w14:textId="77777777" w:rsidR="000013AF" w:rsidRPr="007669E9" w:rsidRDefault="000013AF" w:rsidP="000013AF">
            <w:pPr>
              <w:numPr>
                <w:ilvl w:val="0"/>
                <w:numId w:val="2"/>
              </w:numPr>
              <w:autoSpaceDE w:val="0"/>
              <w:autoSpaceDN w:val="0"/>
              <w:adjustRightInd w:val="0"/>
              <w:ind w:left="313"/>
              <w:contextualSpacing/>
              <w:rPr>
                <w:rFonts w:ascii="Arial" w:eastAsia="Calibri" w:hAnsi="Arial" w:cs="Arial"/>
                <w:b/>
                <w:sz w:val="20"/>
                <w:szCs w:val="20"/>
                <w:highlight w:val="yellow"/>
              </w:rPr>
            </w:pPr>
            <w:r w:rsidRPr="007669E9">
              <w:rPr>
                <w:rFonts w:ascii="Arial" w:eastAsia="Calibri" w:hAnsi="Arial" w:cs="Arial"/>
                <w:b/>
                <w:sz w:val="20"/>
                <w:szCs w:val="20"/>
                <w:highlight w:val="yellow"/>
              </w:rPr>
              <w:t>Beveiliging van digitale informatie</w:t>
            </w:r>
          </w:p>
          <w:p w14:paraId="55E4D050" w14:textId="77777777" w:rsidR="000013AF" w:rsidRPr="007669E9" w:rsidRDefault="000013AF" w:rsidP="000013AF">
            <w:pPr>
              <w:autoSpaceDE w:val="0"/>
              <w:autoSpaceDN w:val="0"/>
              <w:adjustRightInd w:val="0"/>
              <w:rPr>
                <w:rFonts w:ascii="Arial" w:eastAsia="Calibri" w:hAnsi="Arial" w:cs="Arial"/>
                <w:sz w:val="20"/>
                <w:szCs w:val="20"/>
              </w:rPr>
            </w:pPr>
          </w:p>
          <w:p w14:paraId="46185ECF" w14:textId="77777777" w:rsidR="000013AF" w:rsidRPr="007669E9" w:rsidRDefault="000013AF" w:rsidP="000013AF">
            <w:pPr>
              <w:numPr>
                <w:ilvl w:val="0"/>
                <w:numId w:val="4"/>
              </w:numPr>
              <w:autoSpaceDE w:val="0"/>
              <w:autoSpaceDN w:val="0"/>
              <w:adjustRightInd w:val="0"/>
              <w:contextualSpacing/>
              <w:jc w:val="both"/>
              <w:rPr>
                <w:rFonts w:ascii="Arial" w:eastAsia="Calibri" w:hAnsi="Arial" w:cs="Arial"/>
                <w:sz w:val="20"/>
                <w:szCs w:val="20"/>
              </w:rPr>
            </w:pPr>
            <w:r w:rsidRPr="007669E9">
              <w:rPr>
                <w:rFonts w:ascii="Arial" w:eastAsia="Calibri" w:hAnsi="Arial" w:cs="Arial"/>
                <w:sz w:val="20"/>
                <w:szCs w:val="20"/>
              </w:rPr>
              <w:t>Elke pc-gebruiker dient zich te identificeren aan de hand van zijn gebruikersnaam en zijn wachtwoord.</w:t>
            </w:r>
          </w:p>
          <w:p w14:paraId="2FFA0B8F" w14:textId="77777777" w:rsidR="000013AF" w:rsidRPr="007669E9" w:rsidRDefault="000013AF" w:rsidP="000013AF">
            <w:pPr>
              <w:numPr>
                <w:ilvl w:val="0"/>
                <w:numId w:val="4"/>
              </w:numPr>
              <w:autoSpaceDE w:val="0"/>
              <w:autoSpaceDN w:val="0"/>
              <w:adjustRightInd w:val="0"/>
              <w:contextualSpacing/>
              <w:jc w:val="both"/>
              <w:rPr>
                <w:rFonts w:ascii="Arial" w:eastAsia="Calibri" w:hAnsi="Arial" w:cs="Arial"/>
                <w:sz w:val="20"/>
                <w:szCs w:val="20"/>
              </w:rPr>
            </w:pPr>
            <w:r w:rsidRPr="007669E9">
              <w:rPr>
                <w:rFonts w:ascii="Arial" w:eastAsia="Calibri" w:hAnsi="Arial" w:cs="Arial"/>
                <w:sz w:val="20"/>
                <w:szCs w:val="20"/>
              </w:rPr>
              <w:t>Tips en regels aan elke pc-gebruiker inzake de beveiliging van het wachtwoord, het regelmatig veranderen van wachtwoord, toegang tot internet …</w:t>
            </w:r>
          </w:p>
          <w:p w14:paraId="269A370E" w14:textId="425AC145" w:rsidR="000013AF" w:rsidRDefault="000013AF" w:rsidP="000013AF">
            <w:pPr>
              <w:numPr>
                <w:ilvl w:val="0"/>
                <w:numId w:val="4"/>
              </w:numPr>
              <w:autoSpaceDE w:val="0"/>
              <w:autoSpaceDN w:val="0"/>
              <w:adjustRightInd w:val="0"/>
              <w:contextualSpacing/>
              <w:jc w:val="both"/>
              <w:rPr>
                <w:rFonts w:ascii="Arial" w:eastAsia="Calibri" w:hAnsi="Arial" w:cs="Arial"/>
                <w:sz w:val="20"/>
                <w:szCs w:val="20"/>
              </w:rPr>
            </w:pPr>
            <w:r w:rsidRPr="007669E9">
              <w:rPr>
                <w:rFonts w:ascii="Arial" w:eastAsia="Calibri" w:hAnsi="Arial" w:cs="Arial"/>
                <w:sz w:val="20"/>
                <w:szCs w:val="20"/>
              </w:rPr>
              <w:t>Reglement omtrent het gebruik van de digitale communicatiemiddelen.</w:t>
            </w:r>
          </w:p>
          <w:p w14:paraId="2EB55ADF" w14:textId="65C37F61" w:rsidR="00F85B9E" w:rsidRPr="007669E9" w:rsidRDefault="00F85B9E" w:rsidP="000013AF">
            <w:pPr>
              <w:numPr>
                <w:ilvl w:val="0"/>
                <w:numId w:val="4"/>
              </w:numPr>
              <w:autoSpaceDE w:val="0"/>
              <w:autoSpaceDN w:val="0"/>
              <w:adjustRightInd w:val="0"/>
              <w:contextualSpacing/>
              <w:jc w:val="both"/>
              <w:rPr>
                <w:rFonts w:ascii="Arial" w:eastAsia="Calibri" w:hAnsi="Arial" w:cs="Arial"/>
                <w:sz w:val="20"/>
                <w:szCs w:val="20"/>
              </w:rPr>
            </w:pPr>
            <w:r>
              <w:rPr>
                <w:rFonts w:ascii="Arial" w:eastAsia="Calibri" w:hAnsi="Arial" w:cs="Arial"/>
                <w:sz w:val="20"/>
                <w:szCs w:val="20"/>
              </w:rPr>
              <w:t>…</w:t>
            </w:r>
          </w:p>
          <w:p w14:paraId="5AC6F5EE" w14:textId="77777777" w:rsidR="000013AF" w:rsidRDefault="000013AF" w:rsidP="000013AF">
            <w:pPr>
              <w:rPr>
                <w:rFonts w:ascii="Calibri" w:eastAsia="Calibri" w:hAnsi="Calibri" w:cs="Times New Roman"/>
              </w:rPr>
            </w:pPr>
          </w:p>
          <w:p w14:paraId="582C666F" w14:textId="1DD6F6CE" w:rsidR="000311D4" w:rsidRPr="000013AF" w:rsidRDefault="000311D4" w:rsidP="000013AF">
            <w:pPr>
              <w:rPr>
                <w:rFonts w:ascii="Calibri" w:eastAsia="Calibri" w:hAnsi="Calibri" w:cs="Times New Roman"/>
              </w:rPr>
            </w:pPr>
          </w:p>
        </w:tc>
      </w:tr>
      <w:tr w:rsidR="000013AF" w:rsidRPr="000013AF" w14:paraId="6994F3A8" w14:textId="77777777" w:rsidTr="00C00F06">
        <w:trPr>
          <w:trHeight w:val="269"/>
        </w:trPr>
        <w:tc>
          <w:tcPr>
            <w:tcW w:w="9067" w:type="dxa"/>
            <w:vMerge/>
          </w:tcPr>
          <w:p w14:paraId="7512B41F" w14:textId="77777777" w:rsidR="000013AF" w:rsidRPr="000013AF" w:rsidRDefault="000013AF" w:rsidP="000013AF">
            <w:pPr>
              <w:rPr>
                <w:rFonts w:ascii="Calibri" w:eastAsia="Calibri" w:hAnsi="Calibri" w:cs="Times New Roman"/>
              </w:rPr>
            </w:pPr>
          </w:p>
        </w:tc>
      </w:tr>
      <w:tr w:rsidR="000013AF" w:rsidRPr="000013AF" w14:paraId="7003675F" w14:textId="77777777" w:rsidTr="00C00F06">
        <w:trPr>
          <w:trHeight w:val="269"/>
        </w:trPr>
        <w:tc>
          <w:tcPr>
            <w:tcW w:w="9067" w:type="dxa"/>
            <w:vMerge w:val="restart"/>
          </w:tcPr>
          <w:p w14:paraId="1254718A" w14:textId="77777777" w:rsidR="000013AF" w:rsidRPr="00185E73" w:rsidRDefault="000013AF" w:rsidP="000013AF">
            <w:pPr>
              <w:numPr>
                <w:ilvl w:val="0"/>
                <w:numId w:val="2"/>
              </w:numPr>
              <w:autoSpaceDE w:val="0"/>
              <w:autoSpaceDN w:val="0"/>
              <w:adjustRightInd w:val="0"/>
              <w:ind w:left="313"/>
              <w:contextualSpacing/>
              <w:rPr>
                <w:rFonts w:ascii="Arial" w:eastAsia="Calibri" w:hAnsi="Arial" w:cs="Arial"/>
                <w:b/>
                <w:sz w:val="20"/>
                <w:szCs w:val="20"/>
                <w:highlight w:val="yellow"/>
              </w:rPr>
            </w:pPr>
            <w:r w:rsidRPr="00185E73">
              <w:rPr>
                <w:rFonts w:ascii="Arial" w:eastAsia="Calibri" w:hAnsi="Arial" w:cs="Arial"/>
                <w:b/>
                <w:sz w:val="20"/>
                <w:szCs w:val="20"/>
                <w:highlight w:val="yellow"/>
              </w:rPr>
              <w:lastRenderedPageBreak/>
              <w:t>Veiligheidsbeleid en toegang tot de KSZ</w:t>
            </w:r>
          </w:p>
          <w:p w14:paraId="4C947820" w14:textId="77777777" w:rsidR="000013AF" w:rsidRPr="00FD1EA5" w:rsidRDefault="000013AF" w:rsidP="000013AF">
            <w:pPr>
              <w:autoSpaceDE w:val="0"/>
              <w:autoSpaceDN w:val="0"/>
              <w:adjustRightInd w:val="0"/>
              <w:rPr>
                <w:rFonts w:ascii="Arial" w:eastAsia="Calibri" w:hAnsi="Arial" w:cs="Arial"/>
                <w:sz w:val="20"/>
                <w:szCs w:val="20"/>
              </w:rPr>
            </w:pPr>
          </w:p>
          <w:p w14:paraId="76D137EB" w14:textId="77777777" w:rsidR="000013AF" w:rsidRPr="00FD1EA5" w:rsidRDefault="000013AF" w:rsidP="000013AF">
            <w:pPr>
              <w:autoSpaceDE w:val="0"/>
              <w:autoSpaceDN w:val="0"/>
              <w:adjustRightInd w:val="0"/>
              <w:jc w:val="both"/>
              <w:rPr>
                <w:rFonts w:ascii="Arial" w:eastAsia="Calibri" w:hAnsi="Arial" w:cs="Arial"/>
                <w:sz w:val="20"/>
                <w:szCs w:val="20"/>
              </w:rPr>
            </w:pPr>
            <w:r w:rsidRPr="00FD1EA5">
              <w:rPr>
                <w:rFonts w:ascii="Arial" w:eastAsia="Calibri" w:hAnsi="Arial" w:cs="Arial"/>
                <w:sz w:val="20"/>
                <w:szCs w:val="20"/>
              </w:rPr>
              <w:t>De KSZ legt minimale normen op voor de gegevensbeveiliging aan alle organisaties die gebruik maken van informatie via de KSZ. De oprichting van een  gegevensveiligheidsdienst die ervoor moet zorgen dat de gegevensveiligheid kan gewaarborgd en beheerd worden is één van de normen van de KSZ.</w:t>
            </w:r>
          </w:p>
          <w:p w14:paraId="535B1979" w14:textId="77777777" w:rsidR="000013AF" w:rsidRPr="00FD1EA5" w:rsidRDefault="000013AF" w:rsidP="000013AF">
            <w:pPr>
              <w:autoSpaceDE w:val="0"/>
              <w:autoSpaceDN w:val="0"/>
              <w:adjustRightInd w:val="0"/>
              <w:jc w:val="both"/>
              <w:rPr>
                <w:rFonts w:ascii="Arial" w:eastAsia="Calibri" w:hAnsi="Arial" w:cs="Arial"/>
                <w:sz w:val="20"/>
                <w:szCs w:val="20"/>
              </w:rPr>
            </w:pPr>
          </w:p>
          <w:p w14:paraId="68ED0E65" w14:textId="5449666E" w:rsidR="000013AF" w:rsidRPr="00FD1EA5" w:rsidRDefault="006A3062" w:rsidP="000013AF">
            <w:pPr>
              <w:autoSpaceDE w:val="0"/>
              <w:autoSpaceDN w:val="0"/>
              <w:adjustRightInd w:val="0"/>
              <w:jc w:val="both"/>
              <w:rPr>
                <w:rFonts w:ascii="Arial" w:eastAsia="Calibri" w:hAnsi="Arial" w:cs="Arial"/>
                <w:sz w:val="20"/>
                <w:szCs w:val="20"/>
              </w:rPr>
            </w:pPr>
            <w:r w:rsidRPr="00FD1EA5">
              <w:rPr>
                <w:rFonts w:ascii="Arial" w:eastAsia="Calibri" w:hAnsi="Arial" w:cs="Arial"/>
                <w:sz w:val="20"/>
                <w:szCs w:val="20"/>
              </w:rPr>
              <w:t>Wonen</w:t>
            </w:r>
            <w:r w:rsidR="00462D98" w:rsidRPr="00FD1EA5">
              <w:rPr>
                <w:rFonts w:ascii="Arial" w:eastAsia="Calibri" w:hAnsi="Arial" w:cs="Arial"/>
                <w:sz w:val="20"/>
                <w:szCs w:val="20"/>
              </w:rPr>
              <w:t xml:space="preserve"> in </w:t>
            </w:r>
            <w:r w:rsidRPr="00FD1EA5">
              <w:rPr>
                <w:rFonts w:ascii="Arial" w:eastAsia="Calibri" w:hAnsi="Arial" w:cs="Arial"/>
                <w:sz w:val="20"/>
                <w:szCs w:val="20"/>
              </w:rPr>
              <w:t>Vlaanderen</w:t>
            </w:r>
            <w:r w:rsidR="000013AF" w:rsidRPr="00FD1EA5">
              <w:rPr>
                <w:rFonts w:ascii="Arial" w:eastAsia="Calibri" w:hAnsi="Arial" w:cs="Arial"/>
                <w:sz w:val="20"/>
                <w:szCs w:val="20"/>
              </w:rPr>
              <w:t xml:space="preserve"> is het aanspreekpunt voor de KSZ voor alle veiligheidsaspecten in verband met het gebruik van de KSZ en zijn toepassingen.</w:t>
            </w:r>
          </w:p>
          <w:p w14:paraId="694E37EB" w14:textId="4DDB283B" w:rsidR="000013AF" w:rsidRPr="00FD1EA5" w:rsidRDefault="00462D98" w:rsidP="000013AF">
            <w:pPr>
              <w:autoSpaceDE w:val="0"/>
              <w:autoSpaceDN w:val="0"/>
              <w:adjustRightInd w:val="0"/>
              <w:jc w:val="both"/>
              <w:rPr>
                <w:rFonts w:ascii="Arial" w:eastAsia="Calibri" w:hAnsi="Arial" w:cs="Arial"/>
                <w:sz w:val="20"/>
                <w:szCs w:val="20"/>
              </w:rPr>
            </w:pPr>
            <w:r w:rsidRPr="00FD1EA5">
              <w:rPr>
                <w:rFonts w:ascii="Arial" w:eastAsia="Calibri" w:hAnsi="Arial" w:cs="Arial"/>
                <w:sz w:val="20"/>
                <w:szCs w:val="20"/>
              </w:rPr>
              <w:t xml:space="preserve">Wonen in Vlaanderen </w:t>
            </w:r>
            <w:r w:rsidR="000013AF" w:rsidRPr="00FD1EA5">
              <w:rPr>
                <w:rFonts w:ascii="Arial" w:eastAsia="Calibri" w:hAnsi="Arial" w:cs="Arial"/>
                <w:sz w:val="20"/>
                <w:szCs w:val="20"/>
              </w:rPr>
              <w:t xml:space="preserve">moet derhalve dezelfde richtlijnen toepassen op alle gebruikers, waaronder de </w:t>
            </w:r>
            <w:proofErr w:type="spellStart"/>
            <w:r w:rsidRPr="00FD1EA5">
              <w:rPr>
                <w:rFonts w:ascii="Arial" w:eastAsia="Calibri" w:hAnsi="Arial" w:cs="Arial"/>
                <w:sz w:val="20"/>
                <w:szCs w:val="20"/>
              </w:rPr>
              <w:t>WM’en</w:t>
            </w:r>
            <w:proofErr w:type="spellEnd"/>
            <w:r w:rsidR="000013AF" w:rsidRPr="00FD1EA5">
              <w:rPr>
                <w:rFonts w:ascii="Arial" w:eastAsia="Calibri" w:hAnsi="Arial" w:cs="Arial"/>
                <w:sz w:val="20"/>
                <w:szCs w:val="20"/>
              </w:rPr>
              <w:t>.</w:t>
            </w:r>
          </w:p>
          <w:p w14:paraId="78C41C8B" w14:textId="77777777" w:rsidR="000013AF" w:rsidRPr="00FD1EA5" w:rsidRDefault="000013AF" w:rsidP="000013AF">
            <w:pPr>
              <w:autoSpaceDE w:val="0"/>
              <w:autoSpaceDN w:val="0"/>
              <w:adjustRightInd w:val="0"/>
              <w:jc w:val="both"/>
              <w:rPr>
                <w:rFonts w:ascii="Arial" w:eastAsia="Calibri" w:hAnsi="Arial" w:cs="Arial"/>
                <w:sz w:val="20"/>
                <w:szCs w:val="20"/>
              </w:rPr>
            </w:pPr>
          </w:p>
          <w:p w14:paraId="1687E919" w14:textId="007F8BBA" w:rsidR="000013AF" w:rsidRPr="00FD1EA5" w:rsidRDefault="000013AF" w:rsidP="000013AF">
            <w:pPr>
              <w:autoSpaceDE w:val="0"/>
              <w:autoSpaceDN w:val="0"/>
              <w:adjustRightInd w:val="0"/>
              <w:jc w:val="both"/>
              <w:rPr>
                <w:rFonts w:ascii="Arial" w:eastAsia="Calibri" w:hAnsi="Arial" w:cs="Arial"/>
                <w:sz w:val="20"/>
                <w:szCs w:val="20"/>
              </w:rPr>
            </w:pPr>
            <w:r w:rsidRPr="00FD1EA5">
              <w:rPr>
                <w:rFonts w:ascii="Arial" w:eastAsia="Calibri" w:hAnsi="Arial" w:cs="Arial"/>
                <w:sz w:val="20"/>
                <w:szCs w:val="20"/>
              </w:rPr>
              <w:t>Elke</w:t>
            </w:r>
            <w:r w:rsidR="00EA01C7" w:rsidRPr="00FD1EA5">
              <w:rPr>
                <w:rFonts w:ascii="Arial" w:eastAsia="Calibri" w:hAnsi="Arial" w:cs="Arial"/>
                <w:sz w:val="20"/>
                <w:szCs w:val="20"/>
              </w:rPr>
              <w:t xml:space="preserve"> WM</w:t>
            </w:r>
            <w:r w:rsidRPr="00FD1EA5">
              <w:rPr>
                <w:rFonts w:ascii="Arial" w:eastAsia="Calibri" w:hAnsi="Arial" w:cs="Arial"/>
                <w:sz w:val="20"/>
                <w:szCs w:val="20"/>
              </w:rPr>
              <w:t xml:space="preserve"> moet daarom een informatieconsulent aanduiden, die onafhankelijk is van de ICT-verantwoordelijke en die rechtstreeks rapporteert aan de directeur. Een </w:t>
            </w:r>
            <w:r w:rsidR="00967631" w:rsidRPr="00FD1EA5">
              <w:rPr>
                <w:rFonts w:ascii="Arial" w:eastAsia="Calibri" w:hAnsi="Arial" w:cs="Arial"/>
                <w:sz w:val="20"/>
                <w:szCs w:val="20"/>
              </w:rPr>
              <w:t>WM</w:t>
            </w:r>
            <w:r w:rsidRPr="00FD1EA5">
              <w:rPr>
                <w:rFonts w:ascii="Arial" w:eastAsia="Calibri" w:hAnsi="Arial" w:cs="Arial"/>
                <w:sz w:val="20"/>
                <w:szCs w:val="20"/>
              </w:rPr>
              <w:t xml:space="preserve"> kan hiervoor beroep doen op een extern consultant, die jaarlijks een controle uitvoert inzake de gegevensbeveiliging.</w:t>
            </w:r>
          </w:p>
          <w:p w14:paraId="77062D6F" w14:textId="77777777" w:rsidR="000013AF" w:rsidRPr="000013AF" w:rsidRDefault="000013AF" w:rsidP="000013AF">
            <w:pPr>
              <w:autoSpaceDE w:val="0"/>
              <w:autoSpaceDN w:val="0"/>
              <w:adjustRightInd w:val="0"/>
              <w:jc w:val="both"/>
              <w:rPr>
                <w:rFonts w:ascii="Calibri" w:eastAsia="Calibri" w:hAnsi="Calibri" w:cs="Calibri"/>
              </w:rPr>
            </w:pPr>
          </w:p>
          <w:p w14:paraId="4309F4DC" w14:textId="77777777" w:rsidR="000013AF" w:rsidRPr="000013AF" w:rsidRDefault="000013AF" w:rsidP="000013AF">
            <w:pPr>
              <w:rPr>
                <w:rFonts w:ascii="Calibri" w:eastAsia="Calibri" w:hAnsi="Calibri" w:cs="Times New Roman"/>
              </w:rPr>
            </w:pPr>
          </w:p>
        </w:tc>
      </w:tr>
      <w:tr w:rsidR="000013AF" w:rsidRPr="000013AF" w14:paraId="4D2A8F1F" w14:textId="77777777" w:rsidTr="00C00F06">
        <w:trPr>
          <w:trHeight w:val="269"/>
        </w:trPr>
        <w:tc>
          <w:tcPr>
            <w:tcW w:w="9067" w:type="dxa"/>
            <w:vMerge/>
          </w:tcPr>
          <w:p w14:paraId="4DA1A457" w14:textId="77777777" w:rsidR="000013AF" w:rsidRPr="000013AF" w:rsidRDefault="000013AF" w:rsidP="000013AF">
            <w:pPr>
              <w:rPr>
                <w:rFonts w:ascii="Calibri" w:eastAsia="Calibri" w:hAnsi="Calibri" w:cs="Times New Roman"/>
              </w:rPr>
            </w:pPr>
          </w:p>
        </w:tc>
      </w:tr>
      <w:tr w:rsidR="000013AF" w:rsidRPr="000013AF" w14:paraId="759AE8FB" w14:textId="77777777" w:rsidTr="00C00F06">
        <w:trPr>
          <w:trHeight w:val="269"/>
        </w:trPr>
        <w:tc>
          <w:tcPr>
            <w:tcW w:w="9067" w:type="dxa"/>
            <w:vMerge w:val="restart"/>
          </w:tcPr>
          <w:p w14:paraId="74C17937" w14:textId="77777777" w:rsidR="000013AF" w:rsidRPr="00064E71" w:rsidRDefault="000013AF" w:rsidP="000013AF">
            <w:pPr>
              <w:numPr>
                <w:ilvl w:val="0"/>
                <w:numId w:val="2"/>
              </w:numPr>
              <w:autoSpaceDE w:val="0"/>
              <w:autoSpaceDN w:val="0"/>
              <w:adjustRightInd w:val="0"/>
              <w:ind w:left="313"/>
              <w:contextualSpacing/>
              <w:rPr>
                <w:rFonts w:ascii="Arial" w:eastAsia="Calibri" w:hAnsi="Arial" w:cs="Arial"/>
                <w:b/>
                <w:sz w:val="20"/>
                <w:szCs w:val="20"/>
                <w:highlight w:val="yellow"/>
              </w:rPr>
            </w:pPr>
            <w:r w:rsidRPr="00064E71">
              <w:rPr>
                <w:rFonts w:ascii="Arial" w:eastAsia="Calibri" w:hAnsi="Arial" w:cs="Arial"/>
                <w:b/>
                <w:sz w:val="20"/>
                <w:szCs w:val="20"/>
                <w:highlight w:val="yellow"/>
              </w:rPr>
              <w:t>Back-up van informatiesystemen</w:t>
            </w:r>
          </w:p>
          <w:p w14:paraId="3D5434D5" w14:textId="77777777" w:rsidR="000013AF" w:rsidRPr="00064E71" w:rsidRDefault="000013AF" w:rsidP="000013AF">
            <w:pPr>
              <w:autoSpaceDE w:val="0"/>
              <w:autoSpaceDN w:val="0"/>
              <w:adjustRightInd w:val="0"/>
              <w:rPr>
                <w:rFonts w:ascii="Arial" w:eastAsia="Calibri" w:hAnsi="Arial" w:cs="Arial"/>
                <w:sz w:val="20"/>
                <w:szCs w:val="20"/>
              </w:rPr>
            </w:pPr>
          </w:p>
          <w:p w14:paraId="627BA0F9" w14:textId="77777777" w:rsidR="000013AF" w:rsidRPr="00064E71" w:rsidRDefault="000013AF" w:rsidP="000013AF">
            <w:pPr>
              <w:numPr>
                <w:ilvl w:val="0"/>
                <w:numId w:val="4"/>
              </w:numPr>
              <w:autoSpaceDE w:val="0"/>
              <w:autoSpaceDN w:val="0"/>
              <w:adjustRightInd w:val="0"/>
              <w:contextualSpacing/>
              <w:jc w:val="both"/>
              <w:rPr>
                <w:rFonts w:ascii="Arial" w:eastAsia="Calibri" w:hAnsi="Arial" w:cs="Arial"/>
                <w:sz w:val="20"/>
                <w:szCs w:val="20"/>
              </w:rPr>
            </w:pPr>
            <w:r w:rsidRPr="00064E71">
              <w:rPr>
                <w:rFonts w:ascii="Arial" w:eastAsia="Calibri" w:hAnsi="Arial" w:cs="Arial"/>
                <w:sz w:val="20"/>
                <w:szCs w:val="20"/>
              </w:rPr>
              <w:t xml:space="preserve">Beschrijving van de frequentie en de wijze waarop </w:t>
            </w:r>
            <w:proofErr w:type="spellStart"/>
            <w:r w:rsidRPr="00064E71">
              <w:rPr>
                <w:rFonts w:ascii="Arial" w:eastAsia="Calibri" w:hAnsi="Arial" w:cs="Arial"/>
                <w:sz w:val="20"/>
                <w:szCs w:val="20"/>
              </w:rPr>
              <w:t>backups</w:t>
            </w:r>
            <w:proofErr w:type="spellEnd"/>
            <w:r w:rsidRPr="00064E71">
              <w:rPr>
                <w:rFonts w:ascii="Arial" w:eastAsia="Calibri" w:hAnsi="Arial" w:cs="Arial"/>
                <w:sz w:val="20"/>
                <w:szCs w:val="20"/>
              </w:rPr>
              <w:t xml:space="preserve"> worden genomen, bewaard en gecontroleerd op de kwaliteit.</w:t>
            </w:r>
          </w:p>
          <w:p w14:paraId="3BDB693E" w14:textId="77777777" w:rsidR="000013AF" w:rsidRPr="00064E71" w:rsidRDefault="000013AF" w:rsidP="000013AF">
            <w:pPr>
              <w:numPr>
                <w:ilvl w:val="0"/>
                <w:numId w:val="4"/>
              </w:numPr>
              <w:autoSpaceDE w:val="0"/>
              <w:autoSpaceDN w:val="0"/>
              <w:adjustRightInd w:val="0"/>
              <w:contextualSpacing/>
              <w:jc w:val="both"/>
              <w:rPr>
                <w:rFonts w:ascii="Arial" w:eastAsia="Calibri" w:hAnsi="Arial" w:cs="Arial"/>
                <w:sz w:val="20"/>
                <w:szCs w:val="20"/>
              </w:rPr>
            </w:pPr>
            <w:r w:rsidRPr="00064E71">
              <w:rPr>
                <w:rFonts w:ascii="Arial" w:eastAsia="Calibri" w:hAnsi="Arial" w:cs="Arial"/>
                <w:sz w:val="20"/>
                <w:szCs w:val="20"/>
              </w:rPr>
              <w:t xml:space="preserve">Een gedetailleerde lijst bijgehouden (door de systeemverantwoordelijke) wanneer een back-up is genomen, identificatie van de media, aanduiden wat het resultaat was (OK, gedeeltelijk OK - met een uitleg, mislukt). Hierin worden ook elke </w:t>
            </w:r>
            <w:proofErr w:type="spellStart"/>
            <w:r w:rsidRPr="00064E71">
              <w:rPr>
                <w:rFonts w:ascii="Arial" w:eastAsia="Calibri" w:hAnsi="Arial" w:cs="Arial"/>
                <w:sz w:val="20"/>
                <w:szCs w:val="20"/>
              </w:rPr>
              <w:t>restore</w:t>
            </w:r>
            <w:proofErr w:type="spellEnd"/>
            <w:r w:rsidRPr="00064E71">
              <w:rPr>
                <w:rFonts w:ascii="Arial" w:eastAsia="Calibri" w:hAnsi="Arial" w:cs="Arial"/>
                <w:sz w:val="20"/>
                <w:szCs w:val="20"/>
              </w:rPr>
              <w:t xml:space="preserve"> operatie en alle testen genoteerd, met inbegrip van het resultaat.</w:t>
            </w:r>
          </w:p>
          <w:p w14:paraId="6B6141DE" w14:textId="25F580DB" w:rsidR="000013AF" w:rsidRPr="00064E71" w:rsidRDefault="000013AF" w:rsidP="000013AF">
            <w:pPr>
              <w:numPr>
                <w:ilvl w:val="0"/>
                <w:numId w:val="4"/>
              </w:numPr>
              <w:autoSpaceDE w:val="0"/>
              <w:autoSpaceDN w:val="0"/>
              <w:adjustRightInd w:val="0"/>
              <w:contextualSpacing/>
              <w:jc w:val="both"/>
              <w:rPr>
                <w:rFonts w:ascii="Arial" w:eastAsia="Calibri" w:hAnsi="Arial" w:cs="Arial"/>
                <w:sz w:val="20"/>
                <w:szCs w:val="20"/>
              </w:rPr>
            </w:pPr>
            <w:r w:rsidRPr="00064E71">
              <w:rPr>
                <w:rFonts w:ascii="Arial" w:eastAsia="Calibri" w:hAnsi="Arial" w:cs="Arial"/>
                <w:sz w:val="20"/>
                <w:szCs w:val="20"/>
              </w:rPr>
              <w:t>De ICT</w:t>
            </w:r>
            <w:r w:rsidR="0013446D" w:rsidRPr="00064E71">
              <w:rPr>
                <w:rFonts w:ascii="Arial" w:eastAsia="Calibri" w:hAnsi="Arial" w:cs="Arial"/>
                <w:sz w:val="20"/>
                <w:szCs w:val="20"/>
              </w:rPr>
              <w:t>-</w:t>
            </w:r>
            <w:r w:rsidRPr="00064E71">
              <w:rPr>
                <w:rFonts w:ascii="Arial" w:eastAsia="Calibri" w:hAnsi="Arial" w:cs="Arial"/>
                <w:sz w:val="20"/>
                <w:szCs w:val="20"/>
              </w:rPr>
              <w:t>systeemverantwoordelijke zal dagelijks de logfiles nazien en maatregelen nemen indien blijkt dat de kwaliteit van het back-up proces te wensen over laat.</w:t>
            </w:r>
          </w:p>
          <w:p w14:paraId="0D28D365" w14:textId="77777777" w:rsidR="000013AF" w:rsidRPr="00064E71" w:rsidRDefault="000013AF" w:rsidP="000013AF">
            <w:pPr>
              <w:numPr>
                <w:ilvl w:val="0"/>
                <w:numId w:val="4"/>
              </w:numPr>
              <w:autoSpaceDE w:val="0"/>
              <w:autoSpaceDN w:val="0"/>
              <w:adjustRightInd w:val="0"/>
              <w:contextualSpacing/>
              <w:jc w:val="both"/>
              <w:rPr>
                <w:rFonts w:ascii="Arial" w:eastAsia="Calibri" w:hAnsi="Arial" w:cs="Arial"/>
                <w:sz w:val="20"/>
                <w:szCs w:val="20"/>
              </w:rPr>
            </w:pPr>
            <w:r w:rsidRPr="00064E71">
              <w:rPr>
                <w:rFonts w:ascii="Arial" w:eastAsia="Calibri" w:hAnsi="Arial" w:cs="Arial"/>
                <w:sz w:val="20"/>
                <w:szCs w:val="20"/>
              </w:rPr>
              <w:t>Reglement omtrent de toegang  tot de servers en de beveiliging ervan.</w:t>
            </w:r>
          </w:p>
          <w:p w14:paraId="724272F9" w14:textId="77777777" w:rsidR="000013AF" w:rsidRPr="000013AF" w:rsidRDefault="000013AF" w:rsidP="000013AF">
            <w:pPr>
              <w:autoSpaceDE w:val="0"/>
              <w:autoSpaceDN w:val="0"/>
              <w:adjustRightInd w:val="0"/>
              <w:jc w:val="both"/>
              <w:rPr>
                <w:rFonts w:ascii="Calibri" w:eastAsia="Calibri" w:hAnsi="Calibri" w:cs="Calibri"/>
              </w:rPr>
            </w:pPr>
          </w:p>
          <w:p w14:paraId="42F61546" w14:textId="77777777" w:rsidR="000013AF" w:rsidRPr="000013AF" w:rsidRDefault="000013AF" w:rsidP="000013AF">
            <w:pPr>
              <w:rPr>
                <w:rFonts w:ascii="Calibri" w:eastAsia="Calibri" w:hAnsi="Calibri" w:cs="Times New Roman"/>
              </w:rPr>
            </w:pPr>
          </w:p>
        </w:tc>
      </w:tr>
      <w:tr w:rsidR="000013AF" w:rsidRPr="000013AF" w14:paraId="4A2B0A81" w14:textId="77777777" w:rsidTr="00C00F06">
        <w:trPr>
          <w:trHeight w:val="269"/>
        </w:trPr>
        <w:tc>
          <w:tcPr>
            <w:tcW w:w="9067" w:type="dxa"/>
            <w:vMerge/>
          </w:tcPr>
          <w:p w14:paraId="52E8DB1F" w14:textId="77777777" w:rsidR="000013AF" w:rsidRPr="000013AF" w:rsidRDefault="000013AF" w:rsidP="000013AF">
            <w:pPr>
              <w:rPr>
                <w:rFonts w:ascii="Calibri" w:eastAsia="Calibri" w:hAnsi="Calibri" w:cs="Times New Roman"/>
              </w:rPr>
            </w:pPr>
          </w:p>
        </w:tc>
      </w:tr>
      <w:tr w:rsidR="00C00F06" w14:paraId="69D7B0A4" w14:textId="77777777" w:rsidTr="00C00F06">
        <w:tc>
          <w:tcPr>
            <w:tcW w:w="9067" w:type="dxa"/>
          </w:tcPr>
          <w:p w14:paraId="77A6499A" w14:textId="27AF974D" w:rsidR="00FC076B" w:rsidRPr="00527956" w:rsidRDefault="00FC076B" w:rsidP="00FC076B">
            <w:pPr>
              <w:numPr>
                <w:ilvl w:val="0"/>
                <w:numId w:val="2"/>
              </w:numPr>
              <w:spacing w:after="160" w:line="259" w:lineRule="auto"/>
              <w:ind w:left="313"/>
              <w:contextualSpacing/>
              <w:rPr>
                <w:rFonts w:ascii="Arial" w:eastAsia="Calibri" w:hAnsi="Arial" w:cs="Arial"/>
                <w:b/>
                <w:bCs/>
                <w:sz w:val="20"/>
                <w:szCs w:val="20"/>
              </w:rPr>
            </w:pPr>
            <w:r w:rsidRPr="00527956">
              <w:rPr>
                <w:rFonts w:ascii="Arial" w:eastAsia="Calibri" w:hAnsi="Arial" w:cs="Arial"/>
                <w:b/>
                <w:bCs/>
                <w:sz w:val="20"/>
                <w:szCs w:val="20"/>
              </w:rPr>
              <w:t xml:space="preserve">Schematische voorstelling </w:t>
            </w:r>
            <w:r w:rsidR="00527956">
              <w:rPr>
                <w:rFonts w:ascii="Arial" w:eastAsia="Calibri" w:hAnsi="Arial" w:cs="Arial"/>
                <w:b/>
                <w:bCs/>
                <w:sz w:val="20"/>
                <w:szCs w:val="20"/>
              </w:rPr>
              <w:t xml:space="preserve">van de </w:t>
            </w:r>
            <w:r w:rsidRPr="00527956">
              <w:rPr>
                <w:rFonts w:ascii="Arial" w:eastAsia="Calibri" w:hAnsi="Arial" w:cs="Arial"/>
                <w:b/>
                <w:bCs/>
                <w:sz w:val="20"/>
                <w:szCs w:val="20"/>
              </w:rPr>
              <w:t>verantwoordelijkheden m.b.t. de procedure</w:t>
            </w:r>
            <w:r w:rsidR="000C7021" w:rsidRPr="00527956">
              <w:rPr>
                <w:rFonts w:ascii="Arial" w:eastAsia="Calibri" w:hAnsi="Arial" w:cs="Arial"/>
                <w:b/>
                <w:bCs/>
                <w:sz w:val="20"/>
                <w:szCs w:val="20"/>
              </w:rPr>
              <w:t xml:space="preserve"> beveili</w:t>
            </w:r>
            <w:r w:rsidR="00F403EA" w:rsidRPr="00527956">
              <w:rPr>
                <w:rFonts w:ascii="Arial" w:eastAsia="Calibri" w:hAnsi="Arial" w:cs="Arial"/>
                <w:b/>
                <w:bCs/>
                <w:sz w:val="20"/>
                <w:szCs w:val="20"/>
              </w:rPr>
              <w:t>ging gegevens en activa</w:t>
            </w:r>
          </w:p>
          <w:p w14:paraId="4162819F" w14:textId="77777777" w:rsidR="00FC076B" w:rsidRPr="00FC076B" w:rsidRDefault="00FC076B" w:rsidP="00FC076B">
            <w:pPr>
              <w:spacing w:after="160" w:line="259" w:lineRule="auto"/>
              <w:ind w:left="313"/>
              <w:contextualSpacing/>
              <w:rPr>
                <w:rFonts w:ascii="Calibri" w:eastAsia="Calibri" w:hAnsi="Calibri" w:cs="Calibri"/>
                <w:b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4190"/>
              <w:gridCol w:w="1517"/>
              <w:gridCol w:w="652"/>
              <w:gridCol w:w="664"/>
              <w:gridCol w:w="633"/>
            </w:tblGrid>
            <w:tr w:rsidR="00FC076B" w:rsidRPr="00FC076B" w14:paraId="37241DD3" w14:textId="77777777" w:rsidTr="00C533E8">
              <w:trPr>
                <w:trHeight w:val="307"/>
              </w:trPr>
              <w:tc>
                <w:tcPr>
                  <w:tcW w:w="408" w:type="dxa"/>
                  <w:tcBorders>
                    <w:top w:val="single" w:sz="4" w:space="0" w:color="auto"/>
                    <w:left w:val="single" w:sz="4" w:space="0" w:color="auto"/>
                    <w:bottom w:val="single" w:sz="4" w:space="0" w:color="auto"/>
                    <w:right w:val="single" w:sz="4" w:space="0" w:color="auto"/>
                  </w:tcBorders>
                  <w:shd w:val="clear" w:color="auto" w:fill="C0C0C0"/>
                </w:tcPr>
                <w:p w14:paraId="7B138128" w14:textId="77777777" w:rsidR="00FC076B" w:rsidRPr="00FC076B" w:rsidRDefault="00FC076B" w:rsidP="00FC076B">
                  <w:pPr>
                    <w:rPr>
                      <w:rFonts w:ascii="Calibri" w:eastAsia="Calibri" w:hAnsi="Calibri" w:cs="Calibri"/>
                      <w:b/>
                      <w:bCs/>
                    </w:rPr>
                  </w:pPr>
                </w:p>
              </w:tc>
              <w:tc>
                <w:tcPr>
                  <w:tcW w:w="4190" w:type="dxa"/>
                  <w:tcBorders>
                    <w:top w:val="single" w:sz="4" w:space="0" w:color="auto"/>
                    <w:left w:val="nil"/>
                    <w:bottom w:val="single" w:sz="4" w:space="0" w:color="auto"/>
                    <w:right w:val="single" w:sz="4" w:space="0" w:color="auto"/>
                  </w:tcBorders>
                  <w:shd w:val="clear" w:color="auto" w:fill="C0C0C0"/>
                </w:tcPr>
                <w:p w14:paraId="364ED7EA" w14:textId="77777777" w:rsidR="00FC076B" w:rsidRPr="00527956" w:rsidRDefault="00FC076B" w:rsidP="00FC076B">
                  <w:pPr>
                    <w:rPr>
                      <w:rFonts w:ascii="Arial" w:eastAsia="Calibri" w:hAnsi="Arial" w:cs="Arial"/>
                      <w:b/>
                      <w:bCs/>
                      <w:sz w:val="20"/>
                      <w:szCs w:val="20"/>
                    </w:rPr>
                  </w:pPr>
                  <w:r w:rsidRPr="00527956">
                    <w:rPr>
                      <w:rFonts w:ascii="Arial" w:eastAsia="Calibri" w:hAnsi="Arial" w:cs="Arial"/>
                      <w:b/>
                      <w:bCs/>
                      <w:sz w:val="20"/>
                      <w:szCs w:val="20"/>
                    </w:rPr>
                    <w:t>Fase</w:t>
                  </w:r>
                </w:p>
              </w:tc>
              <w:tc>
                <w:tcPr>
                  <w:tcW w:w="1517" w:type="dxa"/>
                  <w:tcBorders>
                    <w:left w:val="single" w:sz="4" w:space="0" w:color="auto"/>
                  </w:tcBorders>
                  <w:shd w:val="clear" w:color="auto" w:fill="C0C0C0"/>
                </w:tcPr>
                <w:p w14:paraId="09BDF391" w14:textId="4A2E1499" w:rsidR="00FC076B" w:rsidRPr="00527956" w:rsidRDefault="00FC076B" w:rsidP="00FC076B">
                  <w:pPr>
                    <w:keepNext/>
                    <w:spacing w:after="0" w:line="240" w:lineRule="auto"/>
                    <w:jc w:val="center"/>
                    <w:outlineLvl w:val="2"/>
                    <w:rPr>
                      <w:rFonts w:ascii="Arial" w:eastAsia="Times New Roman" w:hAnsi="Arial" w:cs="Arial"/>
                      <w:b/>
                      <w:bCs/>
                      <w:sz w:val="20"/>
                      <w:szCs w:val="20"/>
                      <w:lang w:eastAsia="fr-FR"/>
                    </w:rPr>
                  </w:pPr>
                  <w:r w:rsidRPr="00527956">
                    <w:rPr>
                      <w:rFonts w:ascii="Arial" w:eastAsia="Times New Roman" w:hAnsi="Arial" w:cs="Arial"/>
                      <w:b/>
                      <w:bCs/>
                      <w:sz w:val="20"/>
                      <w:szCs w:val="20"/>
                      <w:lang w:eastAsia="fr-FR"/>
                    </w:rPr>
                    <w:t>Pers</w:t>
                  </w:r>
                  <w:r w:rsidR="00BB3BBA">
                    <w:rPr>
                      <w:rFonts w:ascii="Arial" w:eastAsia="Times New Roman" w:hAnsi="Arial" w:cs="Arial"/>
                      <w:b/>
                      <w:bCs/>
                      <w:sz w:val="20"/>
                      <w:szCs w:val="20"/>
                      <w:lang w:eastAsia="fr-FR"/>
                    </w:rPr>
                    <w:t>o</w:t>
                  </w:r>
                  <w:r w:rsidR="00575146">
                    <w:rPr>
                      <w:rFonts w:ascii="Arial" w:eastAsia="Times New Roman" w:hAnsi="Arial" w:cs="Arial"/>
                      <w:b/>
                      <w:bCs/>
                      <w:sz w:val="20"/>
                      <w:szCs w:val="20"/>
                      <w:lang w:eastAsia="fr-FR"/>
                    </w:rPr>
                    <w:t>neelslid</w:t>
                  </w:r>
                </w:p>
              </w:tc>
              <w:tc>
                <w:tcPr>
                  <w:tcW w:w="652" w:type="dxa"/>
                  <w:shd w:val="clear" w:color="auto" w:fill="C0C0C0"/>
                </w:tcPr>
                <w:p w14:paraId="5735C70F" w14:textId="77777777" w:rsidR="00FC076B" w:rsidRPr="00527956" w:rsidRDefault="00FC076B" w:rsidP="00FC076B">
                  <w:pPr>
                    <w:keepNext/>
                    <w:spacing w:after="0" w:line="240" w:lineRule="auto"/>
                    <w:jc w:val="center"/>
                    <w:outlineLvl w:val="2"/>
                    <w:rPr>
                      <w:rFonts w:ascii="Arial" w:eastAsia="Times New Roman" w:hAnsi="Arial" w:cs="Arial"/>
                      <w:b/>
                      <w:bCs/>
                      <w:sz w:val="20"/>
                      <w:szCs w:val="20"/>
                      <w:lang w:eastAsia="fr-FR"/>
                    </w:rPr>
                  </w:pPr>
                  <w:r w:rsidRPr="00527956">
                    <w:rPr>
                      <w:rFonts w:ascii="Arial" w:eastAsia="Times New Roman" w:hAnsi="Arial" w:cs="Arial"/>
                      <w:b/>
                      <w:bCs/>
                      <w:sz w:val="20"/>
                      <w:szCs w:val="20"/>
                      <w:lang w:eastAsia="fr-FR"/>
                    </w:rPr>
                    <w:t>Dir</w:t>
                  </w:r>
                </w:p>
              </w:tc>
              <w:tc>
                <w:tcPr>
                  <w:tcW w:w="664" w:type="dxa"/>
                  <w:shd w:val="clear" w:color="auto" w:fill="C0C0C0"/>
                </w:tcPr>
                <w:p w14:paraId="45226BEE" w14:textId="77777777" w:rsidR="00FC076B" w:rsidRPr="00527956" w:rsidRDefault="00FC076B" w:rsidP="00FC076B">
                  <w:pPr>
                    <w:keepNext/>
                    <w:spacing w:after="0" w:line="240" w:lineRule="auto"/>
                    <w:jc w:val="center"/>
                    <w:outlineLvl w:val="2"/>
                    <w:rPr>
                      <w:rFonts w:ascii="Arial" w:eastAsia="Times New Roman" w:hAnsi="Arial" w:cs="Arial"/>
                      <w:b/>
                      <w:bCs/>
                      <w:sz w:val="20"/>
                      <w:szCs w:val="20"/>
                      <w:lang w:eastAsia="fr-FR"/>
                    </w:rPr>
                  </w:pPr>
                  <w:proofErr w:type="spellStart"/>
                  <w:r w:rsidRPr="00527956">
                    <w:rPr>
                      <w:rFonts w:ascii="Arial" w:eastAsia="Times New Roman" w:hAnsi="Arial" w:cs="Arial"/>
                      <w:b/>
                      <w:bCs/>
                      <w:sz w:val="20"/>
                      <w:szCs w:val="20"/>
                      <w:lang w:eastAsia="fr-FR"/>
                    </w:rPr>
                    <w:t>Vz</w:t>
                  </w:r>
                  <w:proofErr w:type="spellEnd"/>
                </w:p>
              </w:tc>
              <w:tc>
                <w:tcPr>
                  <w:tcW w:w="633" w:type="dxa"/>
                  <w:shd w:val="clear" w:color="auto" w:fill="C0C0C0"/>
                </w:tcPr>
                <w:p w14:paraId="54936F5D" w14:textId="77777777" w:rsidR="00FC076B" w:rsidRPr="00527956" w:rsidRDefault="00FC076B" w:rsidP="00FC076B">
                  <w:pPr>
                    <w:rPr>
                      <w:rFonts w:ascii="Arial" w:eastAsia="Calibri" w:hAnsi="Arial" w:cs="Arial"/>
                      <w:b/>
                      <w:bCs/>
                      <w:sz w:val="20"/>
                      <w:szCs w:val="20"/>
                    </w:rPr>
                  </w:pPr>
                  <w:r w:rsidRPr="00527956">
                    <w:rPr>
                      <w:rFonts w:ascii="Arial" w:eastAsia="Calibri" w:hAnsi="Arial" w:cs="Arial"/>
                      <w:b/>
                      <w:sz w:val="20"/>
                      <w:szCs w:val="20"/>
                    </w:rPr>
                    <w:t>RvB</w:t>
                  </w:r>
                </w:p>
              </w:tc>
            </w:tr>
            <w:tr w:rsidR="00FC076B" w:rsidRPr="00FC076B" w14:paraId="2C5A6C9E" w14:textId="77777777" w:rsidTr="00C533E8">
              <w:tc>
                <w:tcPr>
                  <w:tcW w:w="408" w:type="dxa"/>
                  <w:tcBorders>
                    <w:top w:val="single" w:sz="4" w:space="0" w:color="auto"/>
                  </w:tcBorders>
                </w:tcPr>
                <w:p w14:paraId="7F98F5B9" w14:textId="77777777" w:rsidR="00FC076B" w:rsidRPr="00FC076B" w:rsidRDefault="00FC076B" w:rsidP="00FC076B">
                  <w:pPr>
                    <w:rPr>
                      <w:rFonts w:ascii="Calibri" w:eastAsia="Calibri" w:hAnsi="Calibri" w:cs="Calibri"/>
                    </w:rPr>
                  </w:pPr>
                  <w:r w:rsidRPr="00FC076B">
                    <w:rPr>
                      <w:rFonts w:ascii="Calibri" w:eastAsia="Calibri" w:hAnsi="Calibri" w:cs="Calibri"/>
                    </w:rPr>
                    <w:t>1</w:t>
                  </w:r>
                </w:p>
              </w:tc>
              <w:tc>
                <w:tcPr>
                  <w:tcW w:w="4190" w:type="dxa"/>
                  <w:tcBorders>
                    <w:top w:val="single" w:sz="4" w:space="0" w:color="auto"/>
                  </w:tcBorders>
                </w:tcPr>
                <w:p w14:paraId="2A17C4C0" w14:textId="77777777" w:rsidR="00FC076B" w:rsidRPr="00527956" w:rsidRDefault="00FC076B" w:rsidP="00FC076B">
                  <w:pPr>
                    <w:rPr>
                      <w:rFonts w:ascii="Arial" w:eastAsia="Calibri" w:hAnsi="Arial" w:cs="Arial"/>
                      <w:sz w:val="20"/>
                      <w:szCs w:val="20"/>
                    </w:rPr>
                  </w:pPr>
                  <w:r w:rsidRPr="00527956">
                    <w:rPr>
                      <w:rFonts w:ascii="Arial" w:eastAsia="Calibri" w:hAnsi="Arial" w:cs="Arial"/>
                      <w:sz w:val="20"/>
                      <w:szCs w:val="20"/>
                    </w:rPr>
                    <w:t>Ontvangst sleutel en toegangscode gebouw (kantoor, magazijn, …)</w:t>
                  </w:r>
                </w:p>
              </w:tc>
              <w:tc>
                <w:tcPr>
                  <w:tcW w:w="1517" w:type="dxa"/>
                </w:tcPr>
                <w:p w14:paraId="6CE3CE0B" w14:textId="77777777" w:rsidR="00FC076B" w:rsidRPr="00527956" w:rsidRDefault="00FC076B" w:rsidP="00FC076B">
                  <w:pPr>
                    <w:jc w:val="center"/>
                    <w:rPr>
                      <w:rFonts w:ascii="Arial" w:eastAsia="Calibri" w:hAnsi="Arial" w:cs="Arial"/>
                      <w:sz w:val="20"/>
                      <w:szCs w:val="20"/>
                    </w:rPr>
                  </w:pPr>
                </w:p>
              </w:tc>
              <w:tc>
                <w:tcPr>
                  <w:tcW w:w="652" w:type="dxa"/>
                </w:tcPr>
                <w:p w14:paraId="7A646318" w14:textId="77777777" w:rsidR="00FC076B" w:rsidRPr="00527956" w:rsidRDefault="00FC076B" w:rsidP="00FC076B">
                  <w:pPr>
                    <w:jc w:val="center"/>
                    <w:rPr>
                      <w:rFonts w:ascii="Arial" w:eastAsia="Calibri" w:hAnsi="Arial" w:cs="Arial"/>
                      <w:sz w:val="20"/>
                      <w:szCs w:val="20"/>
                    </w:rPr>
                  </w:pPr>
                </w:p>
              </w:tc>
              <w:tc>
                <w:tcPr>
                  <w:tcW w:w="664" w:type="dxa"/>
                </w:tcPr>
                <w:p w14:paraId="783A8D85" w14:textId="77777777" w:rsidR="00FC076B" w:rsidRPr="00527956" w:rsidRDefault="00FC076B" w:rsidP="00FC076B">
                  <w:pPr>
                    <w:jc w:val="center"/>
                    <w:rPr>
                      <w:rFonts w:ascii="Arial" w:eastAsia="Calibri" w:hAnsi="Arial" w:cs="Arial"/>
                      <w:sz w:val="20"/>
                      <w:szCs w:val="20"/>
                    </w:rPr>
                  </w:pPr>
                </w:p>
              </w:tc>
              <w:tc>
                <w:tcPr>
                  <w:tcW w:w="633" w:type="dxa"/>
                </w:tcPr>
                <w:p w14:paraId="7954269E" w14:textId="77777777" w:rsidR="00FC076B" w:rsidRPr="00527956" w:rsidRDefault="00FC076B" w:rsidP="00FC076B">
                  <w:pPr>
                    <w:jc w:val="center"/>
                    <w:rPr>
                      <w:rFonts w:ascii="Arial" w:eastAsia="Calibri" w:hAnsi="Arial" w:cs="Arial"/>
                      <w:sz w:val="20"/>
                      <w:szCs w:val="20"/>
                    </w:rPr>
                  </w:pPr>
                </w:p>
              </w:tc>
            </w:tr>
            <w:tr w:rsidR="00FC076B" w:rsidRPr="00FC076B" w14:paraId="37567EB9" w14:textId="77777777" w:rsidTr="00C533E8">
              <w:tc>
                <w:tcPr>
                  <w:tcW w:w="408" w:type="dxa"/>
                </w:tcPr>
                <w:p w14:paraId="2405AE8F" w14:textId="77777777" w:rsidR="00FC076B" w:rsidRPr="00FC076B" w:rsidRDefault="00FC076B" w:rsidP="00FC076B">
                  <w:pPr>
                    <w:rPr>
                      <w:rFonts w:ascii="Calibri" w:eastAsia="Calibri" w:hAnsi="Calibri" w:cs="Calibri"/>
                    </w:rPr>
                  </w:pPr>
                  <w:r w:rsidRPr="00FC076B">
                    <w:rPr>
                      <w:rFonts w:ascii="Calibri" w:eastAsia="Calibri" w:hAnsi="Calibri" w:cs="Calibri"/>
                    </w:rPr>
                    <w:t>2</w:t>
                  </w:r>
                </w:p>
              </w:tc>
              <w:tc>
                <w:tcPr>
                  <w:tcW w:w="4190" w:type="dxa"/>
                </w:tcPr>
                <w:p w14:paraId="09067088" w14:textId="77777777" w:rsidR="00FC076B" w:rsidRPr="00527956" w:rsidRDefault="00FC076B" w:rsidP="00FC076B">
                  <w:pPr>
                    <w:rPr>
                      <w:rFonts w:ascii="Arial" w:eastAsia="Calibri" w:hAnsi="Arial" w:cs="Arial"/>
                      <w:sz w:val="20"/>
                      <w:szCs w:val="20"/>
                    </w:rPr>
                  </w:pPr>
                  <w:r w:rsidRPr="00527956">
                    <w:rPr>
                      <w:rFonts w:ascii="Arial" w:eastAsia="Calibri" w:hAnsi="Arial" w:cs="Arial"/>
                      <w:sz w:val="20"/>
                      <w:szCs w:val="20"/>
                    </w:rPr>
                    <w:t>Afsluiten gebouw (kantoor, magazijn, …) en activeren alarmsysteem</w:t>
                  </w:r>
                </w:p>
              </w:tc>
              <w:tc>
                <w:tcPr>
                  <w:tcW w:w="1517" w:type="dxa"/>
                </w:tcPr>
                <w:p w14:paraId="5717B6F2" w14:textId="77777777" w:rsidR="00FC076B" w:rsidRPr="00527956" w:rsidRDefault="00FC076B" w:rsidP="00FC076B">
                  <w:pPr>
                    <w:jc w:val="center"/>
                    <w:rPr>
                      <w:rFonts w:ascii="Arial" w:eastAsia="Calibri" w:hAnsi="Arial" w:cs="Arial"/>
                      <w:sz w:val="20"/>
                      <w:szCs w:val="20"/>
                    </w:rPr>
                  </w:pPr>
                </w:p>
              </w:tc>
              <w:tc>
                <w:tcPr>
                  <w:tcW w:w="652" w:type="dxa"/>
                </w:tcPr>
                <w:p w14:paraId="43D23BD4" w14:textId="77777777" w:rsidR="00FC076B" w:rsidRPr="00527956" w:rsidRDefault="00FC076B" w:rsidP="00FC076B">
                  <w:pPr>
                    <w:jc w:val="center"/>
                    <w:rPr>
                      <w:rFonts w:ascii="Arial" w:eastAsia="Calibri" w:hAnsi="Arial" w:cs="Arial"/>
                      <w:sz w:val="20"/>
                      <w:szCs w:val="20"/>
                    </w:rPr>
                  </w:pPr>
                </w:p>
              </w:tc>
              <w:tc>
                <w:tcPr>
                  <w:tcW w:w="664" w:type="dxa"/>
                </w:tcPr>
                <w:p w14:paraId="734E0CA7" w14:textId="77777777" w:rsidR="00FC076B" w:rsidRPr="00527956" w:rsidRDefault="00FC076B" w:rsidP="00FC076B">
                  <w:pPr>
                    <w:jc w:val="center"/>
                    <w:rPr>
                      <w:rFonts w:ascii="Arial" w:eastAsia="Calibri" w:hAnsi="Arial" w:cs="Arial"/>
                      <w:sz w:val="20"/>
                      <w:szCs w:val="20"/>
                    </w:rPr>
                  </w:pPr>
                </w:p>
              </w:tc>
              <w:tc>
                <w:tcPr>
                  <w:tcW w:w="633" w:type="dxa"/>
                </w:tcPr>
                <w:p w14:paraId="14485E4D" w14:textId="77777777" w:rsidR="00FC076B" w:rsidRPr="00527956" w:rsidRDefault="00FC076B" w:rsidP="00FC076B">
                  <w:pPr>
                    <w:jc w:val="center"/>
                    <w:rPr>
                      <w:rFonts w:ascii="Arial" w:eastAsia="Calibri" w:hAnsi="Arial" w:cs="Arial"/>
                      <w:sz w:val="20"/>
                      <w:szCs w:val="20"/>
                    </w:rPr>
                  </w:pPr>
                </w:p>
              </w:tc>
            </w:tr>
            <w:tr w:rsidR="00FC076B" w:rsidRPr="00FC076B" w14:paraId="59C9FC9C" w14:textId="77777777" w:rsidTr="00C533E8">
              <w:tc>
                <w:tcPr>
                  <w:tcW w:w="408" w:type="dxa"/>
                </w:tcPr>
                <w:p w14:paraId="0C485561" w14:textId="77777777" w:rsidR="00FC076B" w:rsidRPr="00FC076B" w:rsidRDefault="00FC076B" w:rsidP="00FC076B">
                  <w:pPr>
                    <w:rPr>
                      <w:rFonts w:ascii="Calibri" w:eastAsia="Calibri" w:hAnsi="Calibri" w:cs="Calibri"/>
                    </w:rPr>
                  </w:pPr>
                  <w:r w:rsidRPr="00FC076B">
                    <w:rPr>
                      <w:rFonts w:ascii="Calibri" w:eastAsia="Calibri" w:hAnsi="Calibri" w:cs="Calibri"/>
                    </w:rPr>
                    <w:t>3</w:t>
                  </w:r>
                </w:p>
              </w:tc>
              <w:tc>
                <w:tcPr>
                  <w:tcW w:w="4190" w:type="dxa"/>
                </w:tcPr>
                <w:p w14:paraId="4E00195E" w14:textId="50746B6C" w:rsidR="00FC076B" w:rsidRPr="00527956" w:rsidRDefault="00FC076B" w:rsidP="00FC076B">
                  <w:pPr>
                    <w:spacing w:after="0" w:line="240" w:lineRule="auto"/>
                    <w:rPr>
                      <w:rFonts w:ascii="Arial" w:eastAsia="Times New Roman" w:hAnsi="Arial" w:cs="Arial"/>
                      <w:sz w:val="20"/>
                      <w:szCs w:val="20"/>
                      <w:lang w:eastAsia="fr-FR"/>
                    </w:rPr>
                  </w:pPr>
                  <w:r w:rsidRPr="00527956">
                    <w:rPr>
                      <w:rFonts w:ascii="Arial" w:eastAsia="Times New Roman" w:hAnsi="Arial" w:cs="Arial"/>
                      <w:sz w:val="20"/>
                      <w:szCs w:val="20"/>
                      <w:lang w:eastAsia="fr-FR"/>
                    </w:rPr>
                    <w:t xml:space="preserve">Teruggave </w:t>
                  </w:r>
                  <w:r w:rsidR="00E65010" w:rsidRPr="00527956">
                    <w:rPr>
                      <w:rFonts w:ascii="Arial" w:eastAsia="Times New Roman" w:hAnsi="Arial" w:cs="Arial"/>
                      <w:sz w:val="20"/>
                      <w:szCs w:val="20"/>
                      <w:lang w:eastAsia="fr-FR"/>
                    </w:rPr>
                    <w:t xml:space="preserve">van de </w:t>
                  </w:r>
                  <w:r w:rsidRPr="00527956">
                    <w:rPr>
                      <w:rFonts w:ascii="Arial" w:eastAsia="Times New Roman" w:hAnsi="Arial" w:cs="Arial"/>
                      <w:sz w:val="20"/>
                      <w:szCs w:val="20"/>
                      <w:lang w:eastAsia="fr-FR"/>
                    </w:rPr>
                    <w:t xml:space="preserve">sleutel en </w:t>
                  </w:r>
                  <w:proofErr w:type="spellStart"/>
                  <w:r w:rsidRPr="00527956">
                    <w:rPr>
                      <w:rFonts w:ascii="Arial" w:eastAsia="Times New Roman" w:hAnsi="Arial" w:cs="Arial"/>
                      <w:sz w:val="20"/>
                      <w:szCs w:val="20"/>
                      <w:lang w:eastAsia="fr-FR"/>
                    </w:rPr>
                    <w:t>desactiveren</w:t>
                  </w:r>
                  <w:proofErr w:type="spellEnd"/>
                  <w:r w:rsidRPr="00527956">
                    <w:rPr>
                      <w:rFonts w:ascii="Arial" w:eastAsia="Times New Roman" w:hAnsi="Arial" w:cs="Arial"/>
                      <w:sz w:val="20"/>
                      <w:szCs w:val="20"/>
                      <w:lang w:eastAsia="fr-FR"/>
                    </w:rPr>
                    <w:t xml:space="preserve"> toegangscode</w:t>
                  </w:r>
                </w:p>
              </w:tc>
              <w:tc>
                <w:tcPr>
                  <w:tcW w:w="1517" w:type="dxa"/>
                </w:tcPr>
                <w:p w14:paraId="74DA0EA6" w14:textId="77777777" w:rsidR="00FC076B" w:rsidRPr="00527956" w:rsidRDefault="00FC076B" w:rsidP="00FC076B">
                  <w:pPr>
                    <w:jc w:val="center"/>
                    <w:rPr>
                      <w:rFonts w:ascii="Arial" w:eastAsia="Calibri" w:hAnsi="Arial" w:cs="Arial"/>
                      <w:sz w:val="20"/>
                      <w:szCs w:val="20"/>
                    </w:rPr>
                  </w:pPr>
                </w:p>
              </w:tc>
              <w:tc>
                <w:tcPr>
                  <w:tcW w:w="652" w:type="dxa"/>
                </w:tcPr>
                <w:p w14:paraId="6C70FEE6" w14:textId="77777777" w:rsidR="00FC076B" w:rsidRPr="00527956" w:rsidRDefault="00FC076B" w:rsidP="00FC076B">
                  <w:pPr>
                    <w:jc w:val="center"/>
                    <w:rPr>
                      <w:rFonts w:ascii="Arial" w:eastAsia="Calibri" w:hAnsi="Arial" w:cs="Arial"/>
                      <w:sz w:val="20"/>
                      <w:szCs w:val="20"/>
                    </w:rPr>
                  </w:pPr>
                </w:p>
              </w:tc>
              <w:tc>
                <w:tcPr>
                  <w:tcW w:w="664" w:type="dxa"/>
                </w:tcPr>
                <w:p w14:paraId="45EF9C7D" w14:textId="77777777" w:rsidR="00FC076B" w:rsidRPr="00527956" w:rsidRDefault="00FC076B" w:rsidP="00FC076B">
                  <w:pPr>
                    <w:jc w:val="center"/>
                    <w:rPr>
                      <w:rFonts w:ascii="Arial" w:eastAsia="Calibri" w:hAnsi="Arial" w:cs="Arial"/>
                      <w:sz w:val="20"/>
                      <w:szCs w:val="20"/>
                    </w:rPr>
                  </w:pPr>
                </w:p>
              </w:tc>
              <w:tc>
                <w:tcPr>
                  <w:tcW w:w="633" w:type="dxa"/>
                </w:tcPr>
                <w:p w14:paraId="145346A6" w14:textId="77777777" w:rsidR="00FC076B" w:rsidRPr="00527956" w:rsidRDefault="00FC076B" w:rsidP="00FC076B">
                  <w:pPr>
                    <w:jc w:val="center"/>
                    <w:rPr>
                      <w:rFonts w:ascii="Arial" w:eastAsia="Calibri" w:hAnsi="Arial" w:cs="Arial"/>
                      <w:sz w:val="20"/>
                      <w:szCs w:val="20"/>
                    </w:rPr>
                  </w:pPr>
                </w:p>
              </w:tc>
            </w:tr>
            <w:tr w:rsidR="00FC076B" w:rsidRPr="00FC076B" w14:paraId="4221BF52" w14:textId="77777777" w:rsidTr="00C533E8">
              <w:tc>
                <w:tcPr>
                  <w:tcW w:w="408" w:type="dxa"/>
                </w:tcPr>
                <w:p w14:paraId="34ECD041" w14:textId="77777777" w:rsidR="00FC076B" w:rsidRPr="00FC076B" w:rsidRDefault="00FC076B" w:rsidP="00FC076B">
                  <w:pPr>
                    <w:rPr>
                      <w:rFonts w:ascii="Calibri" w:eastAsia="Calibri" w:hAnsi="Calibri" w:cs="Calibri"/>
                    </w:rPr>
                  </w:pPr>
                  <w:r w:rsidRPr="00FC076B">
                    <w:rPr>
                      <w:rFonts w:ascii="Calibri" w:eastAsia="Calibri" w:hAnsi="Calibri" w:cs="Calibri"/>
                    </w:rPr>
                    <w:t>4</w:t>
                  </w:r>
                </w:p>
              </w:tc>
              <w:tc>
                <w:tcPr>
                  <w:tcW w:w="4190" w:type="dxa"/>
                </w:tcPr>
                <w:p w14:paraId="7BFE1072" w14:textId="77777777" w:rsidR="00FC076B" w:rsidRPr="00527956" w:rsidRDefault="00FC076B" w:rsidP="00FC076B">
                  <w:pPr>
                    <w:spacing w:after="0" w:line="240" w:lineRule="auto"/>
                    <w:rPr>
                      <w:rFonts w:ascii="Arial" w:eastAsia="Times New Roman" w:hAnsi="Arial" w:cs="Arial"/>
                      <w:sz w:val="20"/>
                      <w:szCs w:val="20"/>
                      <w:lang w:eastAsia="fr-FR"/>
                    </w:rPr>
                  </w:pPr>
                  <w:r w:rsidRPr="00527956">
                    <w:rPr>
                      <w:rFonts w:ascii="Arial" w:eastAsia="Times New Roman" w:hAnsi="Arial" w:cs="Arial"/>
                      <w:sz w:val="20"/>
                      <w:szCs w:val="20"/>
                      <w:lang w:eastAsia="fr-FR"/>
                    </w:rPr>
                    <w:t>Opmaak gebruikersnaam en paswoord pc</w:t>
                  </w:r>
                </w:p>
              </w:tc>
              <w:tc>
                <w:tcPr>
                  <w:tcW w:w="1517" w:type="dxa"/>
                </w:tcPr>
                <w:p w14:paraId="5CC9E684" w14:textId="77777777" w:rsidR="00FC076B" w:rsidRPr="00527956" w:rsidRDefault="00FC076B" w:rsidP="00FC076B">
                  <w:pPr>
                    <w:jc w:val="center"/>
                    <w:rPr>
                      <w:rFonts w:ascii="Arial" w:eastAsia="Calibri" w:hAnsi="Arial" w:cs="Arial"/>
                      <w:sz w:val="20"/>
                      <w:szCs w:val="20"/>
                    </w:rPr>
                  </w:pPr>
                </w:p>
              </w:tc>
              <w:tc>
                <w:tcPr>
                  <w:tcW w:w="652" w:type="dxa"/>
                </w:tcPr>
                <w:p w14:paraId="489D2E98" w14:textId="77777777" w:rsidR="00FC076B" w:rsidRPr="00527956" w:rsidRDefault="00FC076B" w:rsidP="00FC076B">
                  <w:pPr>
                    <w:jc w:val="center"/>
                    <w:rPr>
                      <w:rFonts w:ascii="Arial" w:eastAsia="Calibri" w:hAnsi="Arial" w:cs="Arial"/>
                      <w:sz w:val="20"/>
                      <w:szCs w:val="20"/>
                    </w:rPr>
                  </w:pPr>
                </w:p>
              </w:tc>
              <w:tc>
                <w:tcPr>
                  <w:tcW w:w="664" w:type="dxa"/>
                </w:tcPr>
                <w:p w14:paraId="5111527D" w14:textId="77777777" w:rsidR="00FC076B" w:rsidRPr="00527956" w:rsidRDefault="00FC076B" w:rsidP="00FC076B">
                  <w:pPr>
                    <w:jc w:val="center"/>
                    <w:rPr>
                      <w:rFonts w:ascii="Arial" w:eastAsia="Calibri" w:hAnsi="Arial" w:cs="Arial"/>
                      <w:sz w:val="20"/>
                      <w:szCs w:val="20"/>
                    </w:rPr>
                  </w:pPr>
                </w:p>
              </w:tc>
              <w:tc>
                <w:tcPr>
                  <w:tcW w:w="633" w:type="dxa"/>
                </w:tcPr>
                <w:p w14:paraId="20965403" w14:textId="77777777" w:rsidR="00FC076B" w:rsidRPr="00527956" w:rsidRDefault="00FC076B" w:rsidP="00FC076B">
                  <w:pPr>
                    <w:jc w:val="center"/>
                    <w:rPr>
                      <w:rFonts w:ascii="Arial" w:eastAsia="Calibri" w:hAnsi="Arial" w:cs="Arial"/>
                      <w:sz w:val="20"/>
                      <w:szCs w:val="20"/>
                    </w:rPr>
                  </w:pPr>
                  <w:r w:rsidRPr="00527956">
                    <w:rPr>
                      <w:rFonts w:ascii="Arial" w:eastAsia="Calibri" w:hAnsi="Arial" w:cs="Arial"/>
                      <w:sz w:val="20"/>
                      <w:szCs w:val="20"/>
                    </w:rPr>
                    <w:t xml:space="preserve"> </w:t>
                  </w:r>
                </w:p>
              </w:tc>
            </w:tr>
            <w:tr w:rsidR="00FC076B" w:rsidRPr="00FC076B" w14:paraId="63CC0600" w14:textId="77777777" w:rsidTr="00C533E8">
              <w:tc>
                <w:tcPr>
                  <w:tcW w:w="408" w:type="dxa"/>
                </w:tcPr>
                <w:p w14:paraId="23B58A87" w14:textId="77777777" w:rsidR="00FC076B" w:rsidRPr="00FC076B" w:rsidRDefault="00FC076B" w:rsidP="00FC076B">
                  <w:pPr>
                    <w:rPr>
                      <w:rFonts w:ascii="Calibri" w:eastAsia="Calibri" w:hAnsi="Calibri" w:cs="Calibri"/>
                    </w:rPr>
                  </w:pPr>
                  <w:r w:rsidRPr="00FC076B">
                    <w:rPr>
                      <w:rFonts w:ascii="Calibri" w:eastAsia="Calibri" w:hAnsi="Calibri" w:cs="Calibri"/>
                    </w:rPr>
                    <w:t>5</w:t>
                  </w:r>
                </w:p>
              </w:tc>
              <w:tc>
                <w:tcPr>
                  <w:tcW w:w="4190" w:type="dxa"/>
                </w:tcPr>
                <w:p w14:paraId="06901970" w14:textId="77777777" w:rsidR="00FC076B" w:rsidRPr="00527956" w:rsidRDefault="00FC076B" w:rsidP="00FC076B">
                  <w:pPr>
                    <w:spacing w:after="0" w:line="240" w:lineRule="auto"/>
                    <w:rPr>
                      <w:rFonts w:ascii="Arial" w:eastAsia="Times New Roman" w:hAnsi="Arial" w:cs="Arial"/>
                      <w:sz w:val="20"/>
                      <w:szCs w:val="20"/>
                      <w:lang w:eastAsia="fr-FR"/>
                    </w:rPr>
                  </w:pPr>
                  <w:r w:rsidRPr="00527956">
                    <w:rPr>
                      <w:rFonts w:ascii="Arial" w:eastAsia="Times New Roman" w:hAnsi="Arial" w:cs="Arial"/>
                      <w:sz w:val="20"/>
                      <w:szCs w:val="20"/>
                      <w:lang w:eastAsia="fr-FR"/>
                    </w:rPr>
                    <w:t>Login voor specifieke toepassingen</w:t>
                  </w:r>
                </w:p>
              </w:tc>
              <w:tc>
                <w:tcPr>
                  <w:tcW w:w="1517" w:type="dxa"/>
                </w:tcPr>
                <w:p w14:paraId="612CA099" w14:textId="77777777" w:rsidR="00FC076B" w:rsidRPr="00527956" w:rsidRDefault="00FC076B" w:rsidP="00FC076B">
                  <w:pPr>
                    <w:jc w:val="center"/>
                    <w:rPr>
                      <w:rFonts w:ascii="Arial" w:eastAsia="Calibri" w:hAnsi="Arial" w:cs="Arial"/>
                      <w:sz w:val="20"/>
                      <w:szCs w:val="20"/>
                    </w:rPr>
                  </w:pPr>
                </w:p>
              </w:tc>
              <w:tc>
                <w:tcPr>
                  <w:tcW w:w="652" w:type="dxa"/>
                </w:tcPr>
                <w:p w14:paraId="0819EF4B" w14:textId="77777777" w:rsidR="00FC076B" w:rsidRPr="00527956" w:rsidRDefault="00FC076B" w:rsidP="00FC076B">
                  <w:pPr>
                    <w:jc w:val="center"/>
                    <w:rPr>
                      <w:rFonts w:ascii="Arial" w:eastAsia="Calibri" w:hAnsi="Arial" w:cs="Arial"/>
                      <w:sz w:val="20"/>
                      <w:szCs w:val="20"/>
                    </w:rPr>
                  </w:pPr>
                </w:p>
              </w:tc>
              <w:tc>
                <w:tcPr>
                  <w:tcW w:w="664" w:type="dxa"/>
                </w:tcPr>
                <w:p w14:paraId="65FDBE53" w14:textId="77777777" w:rsidR="00FC076B" w:rsidRPr="00527956" w:rsidRDefault="00FC076B" w:rsidP="00FC076B">
                  <w:pPr>
                    <w:jc w:val="center"/>
                    <w:rPr>
                      <w:rFonts w:ascii="Arial" w:eastAsia="Calibri" w:hAnsi="Arial" w:cs="Arial"/>
                      <w:sz w:val="20"/>
                      <w:szCs w:val="20"/>
                    </w:rPr>
                  </w:pPr>
                </w:p>
              </w:tc>
              <w:tc>
                <w:tcPr>
                  <w:tcW w:w="633" w:type="dxa"/>
                </w:tcPr>
                <w:p w14:paraId="527B6B31" w14:textId="77777777" w:rsidR="00FC076B" w:rsidRPr="00527956" w:rsidRDefault="00FC076B" w:rsidP="00FC076B">
                  <w:pPr>
                    <w:jc w:val="center"/>
                    <w:rPr>
                      <w:rFonts w:ascii="Arial" w:eastAsia="Calibri" w:hAnsi="Arial" w:cs="Arial"/>
                      <w:sz w:val="20"/>
                      <w:szCs w:val="20"/>
                    </w:rPr>
                  </w:pPr>
                </w:p>
              </w:tc>
            </w:tr>
            <w:tr w:rsidR="00FC076B" w:rsidRPr="00FC076B" w14:paraId="761E3BC6" w14:textId="77777777" w:rsidTr="00C533E8">
              <w:tc>
                <w:tcPr>
                  <w:tcW w:w="408" w:type="dxa"/>
                </w:tcPr>
                <w:p w14:paraId="250F079E" w14:textId="77777777" w:rsidR="00FC076B" w:rsidRPr="00FC076B" w:rsidRDefault="00FC076B" w:rsidP="00FC076B">
                  <w:pPr>
                    <w:rPr>
                      <w:rFonts w:ascii="Calibri" w:eastAsia="Calibri" w:hAnsi="Calibri" w:cs="Calibri"/>
                    </w:rPr>
                  </w:pPr>
                  <w:r w:rsidRPr="00FC076B">
                    <w:rPr>
                      <w:rFonts w:ascii="Calibri" w:eastAsia="Calibri" w:hAnsi="Calibri" w:cs="Calibri"/>
                    </w:rPr>
                    <w:t>6</w:t>
                  </w:r>
                </w:p>
              </w:tc>
              <w:tc>
                <w:tcPr>
                  <w:tcW w:w="4190" w:type="dxa"/>
                </w:tcPr>
                <w:p w14:paraId="4CA3F52A" w14:textId="723BC417" w:rsidR="00FC076B" w:rsidRPr="00527956" w:rsidRDefault="00FC076B" w:rsidP="00FC076B">
                  <w:pPr>
                    <w:spacing w:after="0" w:line="240" w:lineRule="auto"/>
                    <w:rPr>
                      <w:rFonts w:ascii="Arial" w:eastAsia="Times New Roman" w:hAnsi="Arial" w:cs="Arial"/>
                      <w:sz w:val="20"/>
                      <w:szCs w:val="20"/>
                      <w:lang w:eastAsia="fr-FR"/>
                    </w:rPr>
                  </w:pPr>
                  <w:r w:rsidRPr="00527956">
                    <w:rPr>
                      <w:rFonts w:ascii="Arial" w:eastAsia="Times New Roman" w:hAnsi="Arial" w:cs="Arial"/>
                      <w:sz w:val="20"/>
                      <w:szCs w:val="20"/>
                      <w:lang w:eastAsia="fr-FR"/>
                    </w:rPr>
                    <w:t xml:space="preserve">Aanpassen </w:t>
                  </w:r>
                  <w:r w:rsidR="00082679" w:rsidRPr="00527956">
                    <w:rPr>
                      <w:rFonts w:ascii="Arial" w:eastAsia="Times New Roman" w:hAnsi="Arial" w:cs="Arial"/>
                      <w:sz w:val="20"/>
                      <w:szCs w:val="20"/>
                      <w:lang w:eastAsia="fr-FR"/>
                    </w:rPr>
                    <w:t xml:space="preserve">van </w:t>
                  </w:r>
                  <w:r w:rsidR="00BC1C64">
                    <w:rPr>
                      <w:rFonts w:ascii="Arial" w:eastAsia="Times New Roman" w:hAnsi="Arial" w:cs="Arial"/>
                      <w:sz w:val="20"/>
                      <w:szCs w:val="20"/>
                      <w:lang w:eastAsia="fr-FR"/>
                    </w:rPr>
                    <w:t xml:space="preserve">een </w:t>
                  </w:r>
                  <w:r w:rsidRPr="00527956">
                    <w:rPr>
                      <w:rFonts w:ascii="Arial" w:eastAsia="Times New Roman" w:hAnsi="Arial" w:cs="Arial"/>
                      <w:sz w:val="20"/>
                      <w:szCs w:val="20"/>
                      <w:lang w:eastAsia="fr-FR"/>
                    </w:rPr>
                    <w:t xml:space="preserve">procedure </w:t>
                  </w:r>
                </w:p>
              </w:tc>
              <w:tc>
                <w:tcPr>
                  <w:tcW w:w="1517" w:type="dxa"/>
                </w:tcPr>
                <w:p w14:paraId="49013203" w14:textId="77777777" w:rsidR="00FC076B" w:rsidRPr="00527956" w:rsidRDefault="00FC076B" w:rsidP="00FC076B">
                  <w:pPr>
                    <w:jc w:val="center"/>
                    <w:rPr>
                      <w:rFonts w:ascii="Arial" w:eastAsia="Calibri" w:hAnsi="Arial" w:cs="Arial"/>
                      <w:sz w:val="20"/>
                      <w:szCs w:val="20"/>
                    </w:rPr>
                  </w:pPr>
                </w:p>
              </w:tc>
              <w:tc>
                <w:tcPr>
                  <w:tcW w:w="652" w:type="dxa"/>
                </w:tcPr>
                <w:p w14:paraId="4DE86A31" w14:textId="77777777" w:rsidR="00FC076B" w:rsidRPr="00527956" w:rsidRDefault="00FC076B" w:rsidP="00FC076B">
                  <w:pPr>
                    <w:jc w:val="center"/>
                    <w:rPr>
                      <w:rFonts w:ascii="Arial" w:eastAsia="Calibri" w:hAnsi="Arial" w:cs="Arial"/>
                      <w:sz w:val="20"/>
                      <w:szCs w:val="20"/>
                    </w:rPr>
                  </w:pPr>
                </w:p>
              </w:tc>
              <w:tc>
                <w:tcPr>
                  <w:tcW w:w="664" w:type="dxa"/>
                </w:tcPr>
                <w:p w14:paraId="683EB01E" w14:textId="77777777" w:rsidR="00FC076B" w:rsidRPr="00527956" w:rsidRDefault="00FC076B" w:rsidP="00FC076B">
                  <w:pPr>
                    <w:jc w:val="center"/>
                    <w:rPr>
                      <w:rFonts w:ascii="Arial" w:eastAsia="Calibri" w:hAnsi="Arial" w:cs="Arial"/>
                      <w:sz w:val="20"/>
                      <w:szCs w:val="20"/>
                    </w:rPr>
                  </w:pPr>
                </w:p>
              </w:tc>
              <w:tc>
                <w:tcPr>
                  <w:tcW w:w="633" w:type="dxa"/>
                </w:tcPr>
                <w:p w14:paraId="47F75254" w14:textId="77777777" w:rsidR="00FC076B" w:rsidRPr="00527956" w:rsidRDefault="00FC076B" w:rsidP="00FC076B">
                  <w:pPr>
                    <w:jc w:val="center"/>
                    <w:rPr>
                      <w:rFonts w:ascii="Arial" w:eastAsia="Calibri" w:hAnsi="Arial" w:cs="Arial"/>
                      <w:sz w:val="20"/>
                      <w:szCs w:val="20"/>
                    </w:rPr>
                  </w:pPr>
                </w:p>
              </w:tc>
            </w:tr>
            <w:tr w:rsidR="00FC076B" w:rsidRPr="00FC076B" w14:paraId="72191356" w14:textId="77777777" w:rsidTr="00C533E8">
              <w:trPr>
                <w:trHeight w:val="517"/>
              </w:trPr>
              <w:tc>
                <w:tcPr>
                  <w:tcW w:w="408" w:type="dxa"/>
                </w:tcPr>
                <w:p w14:paraId="00E82447" w14:textId="77777777" w:rsidR="00FC076B" w:rsidRPr="00FC076B" w:rsidRDefault="00FC076B" w:rsidP="00FC076B">
                  <w:pPr>
                    <w:rPr>
                      <w:rFonts w:ascii="Calibri" w:eastAsia="Calibri" w:hAnsi="Calibri" w:cs="Calibri"/>
                    </w:rPr>
                  </w:pPr>
                </w:p>
              </w:tc>
              <w:tc>
                <w:tcPr>
                  <w:tcW w:w="4190" w:type="dxa"/>
                </w:tcPr>
                <w:p w14:paraId="64C46952" w14:textId="77777777" w:rsidR="00FC076B" w:rsidRPr="00527956" w:rsidRDefault="00FC076B" w:rsidP="00FC076B">
                  <w:pPr>
                    <w:spacing w:after="0" w:line="240" w:lineRule="auto"/>
                    <w:rPr>
                      <w:rFonts w:ascii="Arial" w:eastAsia="Times New Roman" w:hAnsi="Arial" w:cs="Arial"/>
                      <w:sz w:val="20"/>
                      <w:szCs w:val="20"/>
                      <w:lang w:eastAsia="fr-FR"/>
                    </w:rPr>
                  </w:pPr>
                  <w:r w:rsidRPr="00527956">
                    <w:rPr>
                      <w:rFonts w:ascii="Arial" w:eastAsia="Times New Roman" w:hAnsi="Arial" w:cs="Arial"/>
                      <w:sz w:val="20"/>
                      <w:szCs w:val="20"/>
                      <w:lang w:eastAsia="fr-FR"/>
                    </w:rPr>
                    <w:t>…</w:t>
                  </w:r>
                </w:p>
              </w:tc>
              <w:tc>
                <w:tcPr>
                  <w:tcW w:w="1517" w:type="dxa"/>
                </w:tcPr>
                <w:p w14:paraId="5E094B1A" w14:textId="77777777" w:rsidR="00FC076B" w:rsidRPr="00527956" w:rsidRDefault="00FC076B" w:rsidP="00FC076B">
                  <w:pPr>
                    <w:jc w:val="center"/>
                    <w:rPr>
                      <w:rFonts w:ascii="Arial" w:eastAsia="Calibri" w:hAnsi="Arial" w:cs="Arial"/>
                      <w:sz w:val="20"/>
                      <w:szCs w:val="20"/>
                    </w:rPr>
                  </w:pPr>
                </w:p>
              </w:tc>
              <w:tc>
                <w:tcPr>
                  <w:tcW w:w="652" w:type="dxa"/>
                </w:tcPr>
                <w:p w14:paraId="2593015C" w14:textId="77777777" w:rsidR="00FC076B" w:rsidRPr="00527956" w:rsidRDefault="00FC076B" w:rsidP="00FC076B">
                  <w:pPr>
                    <w:jc w:val="center"/>
                    <w:rPr>
                      <w:rFonts w:ascii="Arial" w:eastAsia="Calibri" w:hAnsi="Arial" w:cs="Arial"/>
                      <w:sz w:val="20"/>
                      <w:szCs w:val="20"/>
                    </w:rPr>
                  </w:pPr>
                </w:p>
              </w:tc>
              <w:tc>
                <w:tcPr>
                  <w:tcW w:w="664" w:type="dxa"/>
                </w:tcPr>
                <w:p w14:paraId="13A7E2E4" w14:textId="77777777" w:rsidR="00FC076B" w:rsidRPr="00527956" w:rsidRDefault="00FC076B" w:rsidP="00FC076B">
                  <w:pPr>
                    <w:jc w:val="center"/>
                    <w:rPr>
                      <w:rFonts w:ascii="Arial" w:eastAsia="Calibri" w:hAnsi="Arial" w:cs="Arial"/>
                      <w:sz w:val="20"/>
                      <w:szCs w:val="20"/>
                    </w:rPr>
                  </w:pPr>
                </w:p>
              </w:tc>
              <w:tc>
                <w:tcPr>
                  <w:tcW w:w="633" w:type="dxa"/>
                </w:tcPr>
                <w:p w14:paraId="2AB80EB6" w14:textId="77777777" w:rsidR="00FC076B" w:rsidRPr="00527956" w:rsidRDefault="00FC076B" w:rsidP="00FC076B">
                  <w:pPr>
                    <w:jc w:val="center"/>
                    <w:rPr>
                      <w:rFonts w:ascii="Arial" w:eastAsia="Calibri" w:hAnsi="Arial" w:cs="Arial"/>
                      <w:sz w:val="20"/>
                      <w:szCs w:val="20"/>
                    </w:rPr>
                  </w:pPr>
                </w:p>
              </w:tc>
            </w:tr>
          </w:tbl>
          <w:p w14:paraId="50724E4D" w14:textId="77777777" w:rsidR="00C00F06" w:rsidRDefault="00C00F06"/>
          <w:p w14:paraId="25A29916" w14:textId="48BB31CD" w:rsidR="002015AA" w:rsidRDefault="002015AA"/>
        </w:tc>
      </w:tr>
    </w:tbl>
    <w:p w14:paraId="63A7412F" w14:textId="77777777" w:rsidR="004B621B" w:rsidRDefault="004B621B"/>
    <w:p w14:paraId="3E59985E" w14:textId="77777777" w:rsidR="004B621B" w:rsidRDefault="004B621B"/>
    <w:sectPr w:rsidR="004B6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6920"/>
    <w:multiLevelType w:val="hybridMultilevel"/>
    <w:tmpl w:val="AFB0A538"/>
    <w:lvl w:ilvl="0" w:tplc="B58C4FD2">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02300C"/>
    <w:multiLevelType w:val="hybridMultilevel"/>
    <w:tmpl w:val="D74E84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1D34AB7"/>
    <w:multiLevelType w:val="hybridMultilevel"/>
    <w:tmpl w:val="22A690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8FD1C70"/>
    <w:multiLevelType w:val="hybridMultilevel"/>
    <w:tmpl w:val="AE30030E"/>
    <w:lvl w:ilvl="0" w:tplc="F58C93EE">
      <w:numFmt w:val="bullet"/>
      <w:lvlText w:val=""/>
      <w:lvlJc w:val="left"/>
      <w:pPr>
        <w:ind w:left="720" w:hanging="360"/>
      </w:pPr>
      <w:rPr>
        <w:rFonts w:ascii="Symbol" w:eastAsiaTheme="minorHAnsi"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C87578C"/>
    <w:multiLevelType w:val="hybridMultilevel"/>
    <w:tmpl w:val="FF3C3682"/>
    <w:lvl w:ilvl="0" w:tplc="7E9470DA">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9141266"/>
    <w:multiLevelType w:val="hybridMultilevel"/>
    <w:tmpl w:val="EDFC7FE4"/>
    <w:lvl w:ilvl="0" w:tplc="B58C4FD2">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91312156">
    <w:abstractNumId w:val="3"/>
  </w:num>
  <w:num w:numId="2" w16cid:durableId="71005274">
    <w:abstractNumId w:val="1"/>
  </w:num>
  <w:num w:numId="3" w16cid:durableId="1841433949">
    <w:abstractNumId w:val="0"/>
  </w:num>
  <w:num w:numId="4" w16cid:durableId="2048984202">
    <w:abstractNumId w:val="4"/>
  </w:num>
  <w:num w:numId="5" w16cid:durableId="963776477">
    <w:abstractNumId w:val="5"/>
  </w:num>
  <w:num w:numId="6" w16cid:durableId="261303382">
    <w:abstractNumId w:val="1"/>
  </w:num>
  <w:num w:numId="7" w16cid:durableId="2746051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8E"/>
    <w:rsid w:val="000013AF"/>
    <w:rsid w:val="00005FA5"/>
    <w:rsid w:val="000311D4"/>
    <w:rsid w:val="000646E2"/>
    <w:rsid w:val="00064E71"/>
    <w:rsid w:val="00082679"/>
    <w:rsid w:val="000B2A21"/>
    <w:rsid w:val="000B7010"/>
    <w:rsid w:val="000C7021"/>
    <w:rsid w:val="000E6A6E"/>
    <w:rsid w:val="00133E88"/>
    <w:rsid w:val="0013446D"/>
    <w:rsid w:val="00153199"/>
    <w:rsid w:val="00185E73"/>
    <w:rsid w:val="001F2BFE"/>
    <w:rsid w:val="001F36DF"/>
    <w:rsid w:val="002015AA"/>
    <w:rsid w:val="00234539"/>
    <w:rsid w:val="00270241"/>
    <w:rsid w:val="00313196"/>
    <w:rsid w:val="003C1458"/>
    <w:rsid w:val="00462D98"/>
    <w:rsid w:val="00497C17"/>
    <w:rsid w:val="004B621B"/>
    <w:rsid w:val="004E2D1C"/>
    <w:rsid w:val="005052A6"/>
    <w:rsid w:val="00527956"/>
    <w:rsid w:val="00575146"/>
    <w:rsid w:val="00577A36"/>
    <w:rsid w:val="00581CC7"/>
    <w:rsid w:val="00585525"/>
    <w:rsid w:val="005E0D4D"/>
    <w:rsid w:val="005E3A35"/>
    <w:rsid w:val="005F37A1"/>
    <w:rsid w:val="006A3062"/>
    <w:rsid w:val="006D1FF3"/>
    <w:rsid w:val="007205F9"/>
    <w:rsid w:val="00730410"/>
    <w:rsid w:val="00734D1D"/>
    <w:rsid w:val="007669E9"/>
    <w:rsid w:val="007B115C"/>
    <w:rsid w:val="0083064F"/>
    <w:rsid w:val="008402E1"/>
    <w:rsid w:val="008F40C4"/>
    <w:rsid w:val="009020AC"/>
    <w:rsid w:val="00905F13"/>
    <w:rsid w:val="00967631"/>
    <w:rsid w:val="00A353AB"/>
    <w:rsid w:val="00A56556"/>
    <w:rsid w:val="00A82287"/>
    <w:rsid w:val="00AA1823"/>
    <w:rsid w:val="00AF702D"/>
    <w:rsid w:val="00B41FC3"/>
    <w:rsid w:val="00B4716E"/>
    <w:rsid w:val="00B50822"/>
    <w:rsid w:val="00B9144B"/>
    <w:rsid w:val="00BB3BBA"/>
    <w:rsid w:val="00BC1C64"/>
    <w:rsid w:val="00BF7F4C"/>
    <w:rsid w:val="00C00F06"/>
    <w:rsid w:val="00C533E8"/>
    <w:rsid w:val="00CB7D78"/>
    <w:rsid w:val="00CC6EAE"/>
    <w:rsid w:val="00D24417"/>
    <w:rsid w:val="00D3711D"/>
    <w:rsid w:val="00D849B6"/>
    <w:rsid w:val="00DB6418"/>
    <w:rsid w:val="00E6008E"/>
    <w:rsid w:val="00E65010"/>
    <w:rsid w:val="00E819C4"/>
    <w:rsid w:val="00EA01C7"/>
    <w:rsid w:val="00ED7AE6"/>
    <w:rsid w:val="00F403EA"/>
    <w:rsid w:val="00F7426F"/>
    <w:rsid w:val="00F85B9E"/>
    <w:rsid w:val="00FC076B"/>
    <w:rsid w:val="00FD1EA5"/>
    <w:rsid w:val="00FD51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1037F"/>
  <w15:chartTrackingRefBased/>
  <w15:docId w15:val="{2236F55F-CF43-48A8-B72B-5BD6C618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semiHidden/>
    <w:unhideWhenUsed/>
    <w:qFormat/>
    <w:rsid w:val="00C00F06"/>
    <w:pPr>
      <w:keepNext/>
      <w:spacing w:after="0" w:line="240" w:lineRule="auto"/>
      <w:jc w:val="center"/>
      <w:outlineLvl w:val="2"/>
    </w:pPr>
    <w:rPr>
      <w:rFonts w:ascii="Times New Roman" w:eastAsia="Times New Roman" w:hAnsi="Times New Roman" w:cs="Times New Roman"/>
      <w:b/>
      <w:bCs/>
      <w:sz w:val="20"/>
      <w:szCs w:val="20"/>
      <w:lang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60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semiHidden/>
    <w:rsid w:val="00C00F06"/>
    <w:rPr>
      <w:rFonts w:ascii="Times New Roman" w:eastAsia="Times New Roman" w:hAnsi="Times New Roman" w:cs="Times New Roman"/>
      <w:b/>
      <w:bCs/>
      <w:sz w:val="20"/>
      <w:szCs w:val="20"/>
      <w:lang w:eastAsia="fr-FR"/>
    </w:rPr>
  </w:style>
  <w:style w:type="paragraph" w:styleId="Koptekst">
    <w:name w:val="header"/>
    <w:basedOn w:val="Standaard"/>
    <w:link w:val="KoptekstChar"/>
    <w:semiHidden/>
    <w:unhideWhenUsed/>
    <w:rsid w:val="00C00F06"/>
    <w:pPr>
      <w:tabs>
        <w:tab w:val="center" w:pos="4320"/>
        <w:tab w:val="right" w:pos="8640"/>
      </w:tabs>
      <w:spacing w:after="0" w:line="240" w:lineRule="auto"/>
    </w:pPr>
    <w:rPr>
      <w:rFonts w:ascii="Times New Roman" w:eastAsia="Times New Roman" w:hAnsi="Times New Roman" w:cs="Times New Roman"/>
      <w:sz w:val="20"/>
      <w:szCs w:val="20"/>
      <w:lang w:val="fr-BE" w:eastAsia="fr-FR"/>
    </w:rPr>
  </w:style>
  <w:style w:type="character" w:customStyle="1" w:styleId="KoptekstChar">
    <w:name w:val="Koptekst Char"/>
    <w:basedOn w:val="Standaardalinea-lettertype"/>
    <w:link w:val="Koptekst"/>
    <w:semiHidden/>
    <w:rsid w:val="00C00F06"/>
    <w:rPr>
      <w:rFonts w:ascii="Times New Roman" w:eastAsia="Times New Roman" w:hAnsi="Times New Roman" w:cs="Times New Roman"/>
      <w:sz w:val="20"/>
      <w:szCs w:val="20"/>
      <w:lang w:val="fr-BE" w:eastAsia="fr-FR"/>
    </w:rPr>
  </w:style>
  <w:style w:type="paragraph" w:styleId="Lijstalinea">
    <w:name w:val="List Paragraph"/>
    <w:basedOn w:val="Standaard"/>
    <w:uiPriority w:val="34"/>
    <w:qFormat/>
    <w:rsid w:val="00C00F06"/>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8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4048</Characters>
  <Application>Microsoft Office Word</Application>
  <DocSecurity>0</DocSecurity>
  <Lines>33</Lines>
  <Paragraphs>9</Paragraphs>
  <ScaleCrop>false</ScaleCrop>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GILLARD Piet</dc:creator>
  <cp:keywords/>
  <dc:description/>
  <cp:lastModifiedBy>GILLARD Piet</cp:lastModifiedBy>
  <cp:revision>2</cp:revision>
  <dcterms:created xsi:type="dcterms:W3CDTF">2023-04-16T10:14:00Z</dcterms:created>
  <dcterms:modified xsi:type="dcterms:W3CDTF">2023-04-16T10:14:00Z</dcterms:modified>
</cp:coreProperties>
</file>