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b w:val="0"/>
          <w:caps w:val="0"/>
          <w:sz w:val="22"/>
          <w:szCs w:val="24"/>
        </w:rPr>
        <w:id w:val="9720568"/>
        <w:docPartObj>
          <w:docPartGallery w:val="Cover Pages"/>
          <w:docPartUnique/>
        </w:docPartObj>
      </w:sdtPr>
      <w:sdtEndPr>
        <w:rPr>
          <w:lang w:val="en-GB"/>
        </w:rPr>
      </w:sdtEndPr>
      <w:sdtContent>
        <w:p w:rsidR="00AE6273" w:rsidRPr="005B4206" w:rsidRDefault="00AE6273" w:rsidP="00D119A0">
          <w:pPr>
            <w:pStyle w:val="COVER-Titel"/>
          </w:pPr>
          <w:r>
            <w:rPr>
              <w:noProof/>
              <w:lang w:eastAsia="nl-BE"/>
            </w:rPr>
            <w:drawing>
              <wp:anchor distT="0" distB="0" distL="114300" distR="114300" simplePos="0" relativeHeight="251661312" behindDoc="0" locked="0" layoutInCell="1" allowOverlap="1" wp14:anchorId="20418CF9" wp14:editId="0DC9E1E2">
                <wp:simplePos x="0" y="0"/>
                <wp:positionH relativeFrom="page">
                  <wp:posOffset>791845</wp:posOffset>
                </wp:positionH>
                <wp:positionV relativeFrom="page">
                  <wp:posOffset>360045</wp:posOffset>
                </wp:positionV>
                <wp:extent cx="2146518" cy="1349526"/>
                <wp:effectExtent l="19050" t="0" r="6132" b="0"/>
                <wp:wrapNone/>
                <wp:docPr id="16" name="Picture 3" descr="Wonen_3deG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en_3deG_test.jpg"/>
                        <pic:cNvPicPr/>
                      </pic:nvPicPr>
                      <pic:blipFill>
                        <a:blip r:embed="rId9" cstate="print"/>
                        <a:stretch>
                          <a:fillRect/>
                        </a:stretch>
                      </pic:blipFill>
                      <pic:spPr>
                        <a:xfrm>
                          <a:off x="0" y="0"/>
                          <a:ext cx="2146518" cy="1349526"/>
                        </a:xfrm>
                        <a:prstGeom prst="rect">
                          <a:avLst/>
                        </a:prstGeom>
                      </pic:spPr>
                    </pic:pic>
                  </a:graphicData>
                </a:graphic>
              </wp:anchor>
            </w:drawing>
          </w:r>
          <w:r w:rsidR="0008544A">
            <w:t>DE Huurschatter</w:t>
          </w:r>
        </w:p>
        <w:p w:rsidR="00AE6273" w:rsidRPr="006676C7" w:rsidRDefault="0008544A" w:rsidP="00D119A0">
          <w:pPr>
            <w:pStyle w:val="COVER-Subtitel"/>
          </w:pPr>
          <w:r w:rsidRPr="0008544A">
            <w:t>Deel 4</w:t>
          </w:r>
          <w:r>
            <w:t>.</w:t>
          </w:r>
          <w:r w:rsidRPr="0008544A">
            <w:t xml:space="preserve"> Sociale huurmarktwaarden</w:t>
          </w:r>
        </w:p>
        <w:p w:rsidR="00AE6273" w:rsidRPr="00AA21B5" w:rsidRDefault="0008544A" w:rsidP="00D91282">
          <w:pPr>
            <w:pStyle w:val="COVER-Auteursnamen"/>
            <w:spacing w:before="3400"/>
          </w:pPr>
          <w:r>
            <w:t>Frank Vastmans</w:t>
          </w:r>
        </w:p>
        <w:p w:rsidR="00AE6273" w:rsidRDefault="00AE6273">
          <w:pPr>
            <w:sectPr w:rsidR="00AE6273" w:rsidSect="00D119A0">
              <w:footerReference w:type="default" r:id="rId10"/>
              <w:headerReference w:type="first" r:id="rId11"/>
              <w:pgSz w:w="11906" w:h="16838" w:code="9"/>
              <w:pgMar w:top="3686" w:right="1701" w:bottom="1701" w:left="1701" w:header="709" w:footer="709" w:gutter="0"/>
              <w:cols w:space="708"/>
              <w:titlePg/>
              <w:docGrid w:linePitch="360"/>
            </w:sectPr>
          </w:pPr>
        </w:p>
        <w:p w:rsidR="00AE6273" w:rsidRPr="00373242" w:rsidRDefault="00A66FBD" w:rsidP="00D119A0">
          <w:pPr>
            <w:pStyle w:val="TITELPAGINA-Titel"/>
          </w:pPr>
          <w:r>
            <w:rPr>
              <w:noProof/>
              <w:lang w:eastAsia="nl-BE"/>
            </w:rPr>
            <w:lastRenderedPageBreak/>
            <w:drawing>
              <wp:anchor distT="0" distB="0" distL="114300" distR="114300" simplePos="0" relativeHeight="251665408" behindDoc="0" locked="0" layoutInCell="1" allowOverlap="1" wp14:anchorId="14EB6223" wp14:editId="252093AF">
                <wp:simplePos x="0" y="0"/>
                <wp:positionH relativeFrom="page">
                  <wp:posOffset>791845</wp:posOffset>
                </wp:positionH>
                <wp:positionV relativeFrom="page">
                  <wp:posOffset>360045</wp:posOffset>
                </wp:positionV>
                <wp:extent cx="2145600" cy="1350000"/>
                <wp:effectExtent l="0" t="0" r="7620" b="3175"/>
                <wp:wrapNone/>
                <wp:docPr id="4" name="Picture 3" descr="Wonen_3deG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en_3deG_test.jpg"/>
                        <pic:cNvPicPr/>
                      </pic:nvPicPr>
                      <pic:blipFill>
                        <a:blip r:embed="rId9" cstate="print"/>
                        <a:stretch>
                          <a:fillRect/>
                        </a:stretch>
                      </pic:blipFill>
                      <pic:spPr>
                        <a:xfrm>
                          <a:off x="0" y="0"/>
                          <a:ext cx="2145600" cy="1350000"/>
                        </a:xfrm>
                        <a:prstGeom prst="rect">
                          <a:avLst/>
                        </a:prstGeom>
                      </pic:spPr>
                    </pic:pic>
                  </a:graphicData>
                </a:graphic>
                <wp14:sizeRelH relativeFrom="margin">
                  <wp14:pctWidth>0</wp14:pctWidth>
                </wp14:sizeRelH>
                <wp14:sizeRelV relativeFrom="margin">
                  <wp14:pctHeight>0</wp14:pctHeight>
                </wp14:sizeRelV>
              </wp:anchor>
            </w:drawing>
          </w:r>
          <w:r w:rsidR="0008544A">
            <w:t xml:space="preserve">De </w:t>
          </w:r>
          <w:r w:rsidR="0024544F">
            <w:t>Huurschatter</w:t>
          </w:r>
        </w:p>
        <w:p w:rsidR="00AE6273" w:rsidRPr="00A160BF" w:rsidRDefault="0008544A" w:rsidP="00D119A0">
          <w:pPr>
            <w:pStyle w:val="TITELPAGINA-Subtitel"/>
          </w:pPr>
          <w:r>
            <w:t>Deel 4. Sociale huurmarktwaarden</w:t>
          </w:r>
        </w:p>
        <w:p w:rsidR="00AE6273" w:rsidRPr="00A56B91" w:rsidRDefault="0008544A" w:rsidP="00D119A0">
          <w:pPr>
            <w:pStyle w:val="TITELPAGINA-Auteursnamen"/>
            <w:rPr>
              <w:rStyle w:val="Strong"/>
              <w:b/>
              <w:bCs/>
            </w:rPr>
          </w:pPr>
          <w:r>
            <w:t>Frank Vastmans</w:t>
          </w:r>
        </w:p>
        <w:p w:rsidR="00AE6273" w:rsidRPr="007F19B5" w:rsidRDefault="00AE6273" w:rsidP="00D119A0">
          <w:pPr>
            <w:pStyle w:val="TITELPAGINA-Promotor"/>
          </w:pPr>
          <w:r>
            <w:t>Promotor</w:t>
          </w:r>
          <w:r w:rsidRPr="007F19B5">
            <w:t xml:space="preserve">: </w:t>
          </w:r>
          <w:r w:rsidR="0008544A">
            <w:t>prof. dr. Erik Buyst</w:t>
          </w:r>
        </w:p>
        <w:p w:rsidR="00AE6273" w:rsidRPr="00926543" w:rsidRDefault="00AE6273" w:rsidP="00D119A0">
          <w:pPr>
            <w:pStyle w:val="TITELPAGINA-Info-Datum"/>
          </w:pPr>
        </w:p>
        <w:p w:rsidR="00AE6273" w:rsidRDefault="00AE6273" w:rsidP="00D119A0">
          <w:pPr>
            <w:pStyle w:val="TITELPAGINA-Info-Datum"/>
          </w:pPr>
          <w:r>
            <w:t>Leuven,</w:t>
          </w:r>
          <w:r w:rsidRPr="00926543">
            <w:t xml:space="preserve"> </w:t>
          </w:r>
          <w:r w:rsidR="0008544A">
            <w:t>oktober 2016</w:t>
          </w:r>
        </w:p>
        <w:p w:rsidR="00AE6273" w:rsidRPr="00394695" w:rsidRDefault="00AE6273" w:rsidP="00D119A0">
          <w:pPr>
            <w:pStyle w:val="TITELPAGINA-Info-Datum"/>
            <w:rPr>
              <w:color w:val="491469"/>
            </w:rPr>
          </w:pPr>
          <w:r w:rsidRPr="00394695">
            <w:rPr>
              <w:color w:val="491469"/>
            </w:rPr>
            <w:t>●●●●●</w:t>
          </w:r>
        </w:p>
        <w:p w:rsidR="00AE6273" w:rsidRPr="00DB12A0" w:rsidRDefault="00AE6273" w:rsidP="00DB12A0">
          <w:pPr>
            <w:rPr>
              <w:rFonts w:ascii="Trebuchet MS" w:hAnsi="Trebuchet MS"/>
              <w:sz w:val="18"/>
              <w:szCs w:val="20"/>
            </w:rPr>
            <w:sectPr w:rsidR="00AE6273" w:rsidRPr="00DB12A0" w:rsidSect="00DB12A0">
              <w:headerReference w:type="first" r:id="rId12"/>
              <w:footerReference w:type="first" r:id="rId13"/>
              <w:type w:val="oddPage"/>
              <w:pgSz w:w="11906" w:h="16838" w:code="9"/>
              <w:pgMar w:top="4536" w:right="1701" w:bottom="1701" w:left="1701" w:header="284" w:footer="851" w:gutter="0"/>
              <w:cols w:space="708"/>
              <w:titlePg/>
              <w:docGrid w:linePitch="360"/>
            </w:sectPr>
          </w:pPr>
        </w:p>
        <w:tbl>
          <w:tblPr>
            <w:tblW w:w="8616" w:type="dxa"/>
            <w:jc w:val="center"/>
            <w:tblLayout w:type="fixed"/>
            <w:tblLook w:val="04A0" w:firstRow="1" w:lastRow="0" w:firstColumn="1" w:lastColumn="0" w:noHBand="0" w:noVBand="1"/>
          </w:tblPr>
          <w:tblGrid>
            <w:gridCol w:w="2154"/>
            <w:gridCol w:w="2154"/>
            <w:gridCol w:w="2154"/>
            <w:gridCol w:w="2154"/>
          </w:tblGrid>
          <w:tr w:rsidR="00786A6C" w:rsidRPr="00DB12A0" w:rsidTr="00786A6C">
            <w:trPr>
              <w:jc w:val="center"/>
            </w:trPr>
            <w:tc>
              <w:tcPr>
                <w:tcW w:w="2154" w:type="dxa"/>
              </w:tcPr>
              <w:p w:rsidR="00786A6C" w:rsidRPr="00DB12A0" w:rsidRDefault="00786A6C" w:rsidP="00786A6C">
                <w:pPr>
                  <w:spacing w:after="200" w:line="240" w:lineRule="auto"/>
                  <w:jc w:val="center"/>
                  <w:rPr>
                    <w:rFonts w:ascii="Trebuchet MS" w:hAnsi="Trebuchet MS"/>
                    <w:b/>
                    <w:bCs/>
                    <w:sz w:val="18"/>
                    <w:szCs w:val="20"/>
                  </w:rPr>
                </w:pPr>
                <w:r w:rsidRPr="00DB12A0">
                  <w:rPr>
                    <w:rFonts w:ascii="Trebuchet MS" w:hAnsi="Trebuchet MS"/>
                    <w:b/>
                    <w:bCs/>
                    <w:noProof/>
                    <w:sz w:val="18"/>
                    <w:szCs w:val="20"/>
                    <w:lang w:eastAsia="nl-BE"/>
                  </w:rPr>
                  <w:lastRenderedPageBreak/>
                  <w:drawing>
                    <wp:inline distT="0" distB="0" distL="0" distR="0" wp14:anchorId="31FF7963" wp14:editId="30E0936C">
                      <wp:extent cx="916730" cy="326914"/>
                      <wp:effectExtent l="19050" t="0" r="0" b="0"/>
                      <wp:docPr id="18" name="Picture 6" descr="DEF_HIVA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HIVA_LOGO_2.jpg"/>
                              <pic:cNvPicPr/>
                            </pic:nvPicPr>
                            <pic:blipFill>
                              <a:blip r:embed="rId14" cstate="print"/>
                              <a:stretch>
                                <a:fillRect/>
                              </a:stretch>
                            </pic:blipFill>
                            <pic:spPr>
                              <a:xfrm>
                                <a:off x="0" y="0"/>
                                <a:ext cx="916730" cy="326914"/>
                              </a:xfrm>
                              <a:prstGeom prst="rect">
                                <a:avLst/>
                              </a:prstGeom>
                            </pic:spPr>
                          </pic:pic>
                        </a:graphicData>
                      </a:graphic>
                    </wp:inline>
                  </w:drawing>
                </w:r>
              </w:p>
            </w:tc>
            <w:tc>
              <w:tcPr>
                <w:tcW w:w="2154" w:type="dxa"/>
              </w:tcPr>
              <w:p w:rsidR="00786A6C" w:rsidRPr="00DB12A0" w:rsidRDefault="00786A6C" w:rsidP="00786A6C">
                <w:pPr>
                  <w:spacing w:line="240" w:lineRule="auto"/>
                  <w:jc w:val="center"/>
                  <w:rPr>
                    <w:rFonts w:ascii="Trebuchet MS" w:hAnsi="Trebuchet MS"/>
                    <w:b/>
                    <w:bCs/>
                    <w:sz w:val="18"/>
                    <w:szCs w:val="20"/>
                  </w:rPr>
                </w:pPr>
                <w:r w:rsidRPr="00DB12A0">
                  <w:rPr>
                    <w:rFonts w:ascii="Trebuchet MS" w:hAnsi="Trebuchet MS"/>
                    <w:b/>
                    <w:bCs/>
                    <w:noProof/>
                    <w:sz w:val="18"/>
                    <w:szCs w:val="20"/>
                    <w:lang w:eastAsia="nl-BE"/>
                  </w:rPr>
                  <w:drawing>
                    <wp:inline distT="0" distB="0" distL="0" distR="0" wp14:anchorId="32846283" wp14:editId="1BC411FC">
                      <wp:extent cx="952500" cy="442923"/>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_logo_algem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442923"/>
                              </a:xfrm>
                              <a:prstGeom prst="rect">
                                <a:avLst/>
                              </a:prstGeom>
                            </pic:spPr>
                          </pic:pic>
                        </a:graphicData>
                      </a:graphic>
                    </wp:inline>
                  </w:drawing>
                </w:r>
              </w:p>
            </w:tc>
            <w:tc>
              <w:tcPr>
                <w:tcW w:w="2154" w:type="dxa"/>
              </w:tcPr>
              <w:p w:rsidR="00786A6C" w:rsidRPr="00DB12A0" w:rsidRDefault="00786A6C" w:rsidP="00786A6C">
                <w:pPr>
                  <w:spacing w:after="200" w:line="240" w:lineRule="auto"/>
                  <w:jc w:val="center"/>
                  <w:rPr>
                    <w:rFonts w:ascii="Trebuchet MS" w:hAnsi="Trebuchet MS"/>
                    <w:b/>
                    <w:bCs/>
                    <w:sz w:val="18"/>
                    <w:szCs w:val="20"/>
                  </w:rPr>
                </w:pPr>
                <w:r w:rsidRPr="00DB12A0">
                  <w:rPr>
                    <w:rFonts w:ascii="Trebuchet MS" w:hAnsi="Trebuchet MS"/>
                    <w:b/>
                    <w:bCs/>
                    <w:noProof/>
                    <w:sz w:val="18"/>
                    <w:szCs w:val="20"/>
                    <w:lang w:eastAsia="nl-BE"/>
                  </w:rPr>
                  <w:drawing>
                    <wp:inline distT="0" distB="0" distL="0" distR="0" wp14:anchorId="4BF2B495" wp14:editId="39068F45">
                      <wp:extent cx="964184" cy="310388"/>
                      <wp:effectExtent l="19050" t="0" r="7366" b="0"/>
                      <wp:docPr id="24" name="Afbeelding 1" descr="C:\Users\Diederik\AppData\Local\Temp\Rar$DI00.111\logo_UA_hor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derik\AppData\Local\Temp\Rar$DI00.111\logo_UA_hor_kl.jpg"/>
                              <pic:cNvPicPr>
                                <a:picLocks noChangeAspect="1" noChangeArrowheads="1"/>
                              </pic:cNvPicPr>
                            </pic:nvPicPr>
                            <pic:blipFill>
                              <a:blip r:embed="rId16" cstate="print"/>
                              <a:srcRect/>
                              <a:stretch>
                                <a:fillRect/>
                              </a:stretch>
                            </pic:blipFill>
                            <pic:spPr bwMode="auto">
                              <a:xfrm>
                                <a:off x="0" y="0"/>
                                <a:ext cx="964184" cy="310388"/>
                              </a:xfrm>
                              <a:prstGeom prst="rect">
                                <a:avLst/>
                              </a:prstGeom>
                              <a:noFill/>
                              <a:ln w="9525">
                                <a:noFill/>
                                <a:miter lim="800000"/>
                                <a:headEnd/>
                                <a:tailEnd/>
                              </a:ln>
                            </pic:spPr>
                          </pic:pic>
                        </a:graphicData>
                      </a:graphic>
                    </wp:inline>
                  </w:drawing>
                </w:r>
              </w:p>
            </w:tc>
            <w:tc>
              <w:tcPr>
                <w:tcW w:w="2154" w:type="dxa"/>
              </w:tcPr>
              <w:p w:rsidR="00786A6C" w:rsidRPr="00DB12A0" w:rsidRDefault="00786A6C" w:rsidP="00786A6C">
                <w:pPr>
                  <w:spacing w:before="120" w:after="200" w:line="240" w:lineRule="auto"/>
                  <w:jc w:val="center"/>
                  <w:rPr>
                    <w:rFonts w:ascii="Trebuchet MS" w:hAnsi="Trebuchet MS"/>
                    <w:b/>
                    <w:bCs/>
                    <w:sz w:val="18"/>
                    <w:szCs w:val="20"/>
                  </w:rPr>
                </w:pPr>
                <w:r w:rsidRPr="00DB12A0">
                  <w:rPr>
                    <w:rFonts w:ascii="Trebuchet MS" w:hAnsi="Trebuchet MS"/>
                    <w:b/>
                    <w:bCs/>
                    <w:noProof/>
                    <w:sz w:val="18"/>
                    <w:szCs w:val="20"/>
                    <w:lang w:eastAsia="nl-BE"/>
                  </w:rPr>
                  <w:drawing>
                    <wp:inline distT="0" distB="0" distL="0" distR="0" wp14:anchorId="4BB32D6C" wp14:editId="33E25C88">
                      <wp:extent cx="960755" cy="461010"/>
                      <wp:effectExtent l="19050" t="0" r="0" b="0"/>
                      <wp:docPr id="25" name="Picture 7" descr="TUDel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Delft.jpg"/>
                              <pic:cNvPicPr/>
                            </pic:nvPicPr>
                            <pic:blipFill>
                              <a:blip r:embed="rId17" cstate="print"/>
                              <a:stretch>
                                <a:fillRect/>
                              </a:stretch>
                            </pic:blipFill>
                            <pic:spPr>
                              <a:xfrm>
                                <a:off x="0" y="0"/>
                                <a:ext cx="960755" cy="461010"/>
                              </a:xfrm>
                              <a:prstGeom prst="rect">
                                <a:avLst/>
                              </a:prstGeom>
                            </pic:spPr>
                          </pic:pic>
                        </a:graphicData>
                      </a:graphic>
                    </wp:inline>
                  </w:drawing>
                </w:r>
              </w:p>
            </w:tc>
          </w:tr>
        </w:tbl>
        <w:p w:rsidR="00AE6273" w:rsidRPr="00DB12A0" w:rsidRDefault="00AE6273" w:rsidP="00786A6C">
          <w:pPr>
            <w:pStyle w:val="TITELPAGINA-Colofon"/>
            <w:spacing w:before="120"/>
          </w:pPr>
          <w:r w:rsidRPr="00DB12A0">
            <w:t xml:space="preserve">Het Steunpunt Wonen is een samenwerkingsverband van de KU Leuven, de </w:t>
          </w:r>
          <w:r w:rsidR="008B428A">
            <w:t>Universiteit Hasselt</w:t>
          </w:r>
          <w:r w:rsidRPr="00DB12A0">
            <w:t xml:space="preserve">, de Universiteit Antwerpen en </w:t>
          </w:r>
          <w:r w:rsidR="00786A6C">
            <w:t>de Afdeling OTB – Onderzoek voor de gebouwde omgeving van de TUD</w:t>
          </w:r>
          <w:r w:rsidRPr="00DB12A0">
            <w:t xml:space="preserve"> (Nederland).</w:t>
          </w:r>
        </w:p>
        <w:p w:rsidR="00AE6273" w:rsidRPr="00DB12A0" w:rsidRDefault="00AE6273" w:rsidP="00DB12A0">
          <w:pPr>
            <w:pStyle w:val="TITELPAGINA-Colofon"/>
          </w:pPr>
          <w:r w:rsidRPr="00DB12A0">
            <w:t>Binnen het Steunpunt verzamelen onderzoekers van verschillende wetenschappelijke disciplines objectieve gegevens over de woningmarkt en het woonbeleid. Via gedegen wetenschappelijke analyses wensen de onderzoekers bij te dragen tot een langetermijnvisie op het Vlaamse woonbeleid.</w:t>
          </w:r>
        </w:p>
        <w:p w:rsidR="00AE6273" w:rsidRPr="00DB12A0" w:rsidRDefault="00AE6273" w:rsidP="00DB12A0">
          <w:pPr>
            <w:pStyle w:val="TITELPAGINA-Colofon"/>
          </w:pPr>
          <w:r w:rsidRPr="00DB12A0">
            <w:t>Het Steunpunt Wonen wordt gefinancierd door de Vlaamse overheid, binnen het programma ‘Steunpunten voor Beleidsrelevant Onderzoek 2012-2015’.</w:t>
          </w:r>
        </w:p>
        <w:p w:rsidR="00AE6273" w:rsidRPr="0065512B" w:rsidRDefault="00644152" w:rsidP="00DB12A0">
          <w:r>
            <w:rPr>
              <w:rFonts w:ascii="Trebuchet MS" w:hAnsi="Trebuchet MS"/>
              <w:noProof/>
              <w:sz w:val="18"/>
              <w:szCs w:val="20"/>
              <w:lang w:eastAsia="nl-BE"/>
            </w:rPr>
            <mc:AlternateContent>
              <mc:Choice Requires="wps">
                <w:drawing>
                  <wp:anchor distT="0" distB="0" distL="114300" distR="114300" simplePos="0" relativeHeight="251663360" behindDoc="0" locked="0" layoutInCell="1" allowOverlap="1" wp14:anchorId="7D613C51" wp14:editId="1653F58D">
                    <wp:simplePos x="0" y="0"/>
                    <wp:positionH relativeFrom="page">
                      <wp:posOffset>1073785</wp:posOffset>
                    </wp:positionH>
                    <wp:positionV relativeFrom="margin">
                      <wp:posOffset>5155234</wp:posOffset>
                    </wp:positionV>
                    <wp:extent cx="5412740" cy="3766185"/>
                    <wp:effectExtent l="0" t="0" r="16510" b="2476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3766185"/>
                            </a:xfrm>
                            <a:prstGeom prst="rect">
                              <a:avLst/>
                            </a:prstGeom>
                            <a:solidFill>
                              <a:srgbClr val="FFFFFF"/>
                            </a:solidFill>
                            <a:ln w="12700">
                              <a:solidFill>
                                <a:srgbClr val="808080"/>
                              </a:solidFill>
                              <a:miter lim="800000"/>
                              <a:headEnd/>
                              <a:tailEnd/>
                            </a:ln>
                          </wps:spPr>
                          <wps:txbx>
                            <w:txbxContent>
                              <w:p w:rsidR="00301DB0" w:rsidRPr="001E3870" w:rsidRDefault="00301DB0" w:rsidP="00D91282">
                                <w:pPr>
                                  <w:suppressAutoHyphens/>
                                  <w:spacing w:before="120"/>
                                  <w:rPr>
                                    <w:rFonts w:ascii="Trebuchet MS" w:hAnsi="Trebuchet MS"/>
                                    <w:b/>
                                    <w:color w:val="808080"/>
                                    <w:sz w:val="18"/>
                                    <w:szCs w:val="20"/>
                                  </w:rPr>
                                </w:pPr>
                                <w:r w:rsidRPr="001E3870">
                                  <w:rPr>
                                    <w:rFonts w:ascii="Trebuchet MS" w:hAnsi="Trebuchet MS"/>
                                    <w:b/>
                                    <w:color w:val="808080"/>
                                    <w:sz w:val="18"/>
                                    <w:szCs w:val="20"/>
                                  </w:rPr>
                                  <w:t>Gelieve naar deze publicatie te verwijzen als volgt:</w:t>
                                </w:r>
                              </w:p>
                              <w:p w:rsidR="00301DB0" w:rsidRPr="00796B1A" w:rsidRDefault="008D437F" w:rsidP="00DB12A0">
                                <w:pPr>
                                  <w:pStyle w:val="TITELPAGINA-Colofon"/>
                                </w:pPr>
                                <w:sdt>
                                  <w:sdtPr>
                                    <w:alias w:val="referentie"/>
                                    <w:tag w:val="referentie"/>
                                    <w:id w:val="10939901"/>
                                    <w:temporary/>
                                    <w:showingPlcHdr/>
                                  </w:sdtPr>
                                  <w:sdtEndPr/>
                                  <w:sdtContent>
                                    <w:r w:rsidR="00301DB0" w:rsidRPr="00DB12A0">
                                      <w:t>typ de bibliografische referentie van de publicatie</w:t>
                                    </w:r>
                                  </w:sdtContent>
                                </w:sdt>
                              </w:p>
                              <w:p w:rsidR="00301DB0" w:rsidRDefault="00301DB0" w:rsidP="00DB12A0">
                                <w:pPr>
                                  <w:pStyle w:val="TITELPAGINA-Colofon"/>
                                </w:pPr>
                                <w:r>
                                  <w:rPr>
                                    <w:rStyle w:val="Grijs"/>
                                    <w:b/>
                                  </w:rPr>
                                  <w:t>Voor meer informatie over deze publicatie</w:t>
                                </w:r>
                                <w:r w:rsidRPr="00926543">
                                  <w:t xml:space="preserve"> </w:t>
                                </w:r>
                                <w:sdt>
                                  <w:sdtPr>
                                    <w:alias w:val="e-mailadres"/>
                                    <w:tag w:val="e-mailadres"/>
                                    <w:id w:val="10939902"/>
                                    <w:temporary/>
                                    <w:showingPlcHdr/>
                                  </w:sdtPr>
                                  <w:sdtEndPr/>
                                  <w:sdtContent>
                                    <w:r w:rsidRPr="00DB12A0">
                                      <w:t>typ e-mailadres(sen) van de corresponding authors</w:t>
                                    </w:r>
                                  </w:sdtContent>
                                </w:sdt>
                              </w:p>
                              <w:p w:rsidR="00301DB0" w:rsidRDefault="00301DB0" w:rsidP="00DB12A0">
                                <w:pPr>
                                  <w:pStyle w:val="TITELPAGINA-Colofon"/>
                                </w:pPr>
                              </w:p>
                              <w:p w:rsidR="00301DB0" w:rsidRDefault="00301DB0" w:rsidP="00DB12A0">
                                <w:pPr>
                                  <w:pStyle w:val="TITELPAGINA-Colofon"/>
                                </w:pPr>
                              </w:p>
                              <w:p w:rsidR="00301DB0" w:rsidRDefault="00301DB0" w:rsidP="00DB12A0">
                                <w:pPr>
                                  <w:pStyle w:val="TITELPAGINA-Colofon"/>
                                </w:pPr>
                                <w:r w:rsidRPr="00500A56">
                                  <w:t xml:space="preserve">In deze </w:t>
                                </w:r>
                                <w:r>
                                  <w:t>publicatie</w:t>
                                </w:r>
                                <w:r w:rsidRPr="00500A56">
                                  <w:t xml:space="preserve"> </w:t>
                                </w:r>
                                <w:r>
                                  <w:t>wordt</w:t>
                                </w:r>
                                <w:r w:rsidRPr="00500A56">
                                  <w:t xml:space="preserve"> de mening van de auteur </w:t>
                                </w:r>
                                <w:r>
                                  <w:t>weergegeven en niet die van de Vlaamse overheid.</w:t>
                                </w:r>
                                <w:r w:rsidRPr="00500A56">
                                  <w:t xml:space="preserve"> De Vlaamse </w:t>
                                </w:r>
                                <w:r>
                                  <w:t>overheid</w:t>
                                </w:r>
                                <w:r w:rsidRPr="00500A56">
                                  <w:t xml:space="preserve"> </w:t>
                                </w:r>
                                <w:r>
                                  <w:t>is</w:t>
                                </w:r>
                                <w:r w:rsidRPr="00500A56">
                                  <w:t xml:space="preserve"> niet aansprakelijk voor het gebruik</w:t>
                                </w:r>
                                <w:r>
                                  <w:t xml:space="preserve"> </w:t>
                                </w:r>
                                <w:r w:rsidRPr="00500A56">
                                  <w:t xml:space="preserve">dat kan worden gemaakt van de </w:t>
                                </w:r>
                                <w:r>
                                  <w:t>opgenomen</w:t>
                                </w:r>
                                <w:r w:rsidRPr="00500A56">
                                  <w:t xml:space="preserve"> gegevens.</w:t>
                                </w:r>
                              </w:p>
                              <w:p w:rsidR="00301DB0" w:rsidRDefault="00301DB0" w:rsidP="00DB12A0">
                                <w:pPr>
                                  <w:suppressAutoHyphens/>
                                  <w:spacing w:before="0" w:after="200" w:line="240" w:lineRule="auto"/>
                                  <w:rPr>
                                    <w:rFonts w:ascii="Trebuchet MS" w:hAnsi="Trebuchet MS"/>
                                    <w:sz w:val="18"/>
                                    <w:szCs w:val="20"/>
                                  </w:rPr>
                                </w:pPr>
                                <w:r w:rsidRPr="00DB12A0">
                                  <w:rPr>
                                    <w:rFonts w:ascii="Trebuchet MS" w:hAnsi="Trebuchet MS"/>
                                    <w:sz w:val="18"/>
                                    <w:szCs w:val="16"/>
                                  </w:rPr>
                                  <w:t>D/</w:t>
                                </w:r>
                                <w:r>
                                  <w:rPr>
                                    <w:rFonts w:ascii="Trebuchet MS" w:hAnsi="Trebuchet MS"/>
                                    <w:sz w:val="18"/>
                                    <w:szCs w:val="20"/>
                                  </w:rPr>
                                  <w:t>2016</w:t>
                                </w:r>
                                <w:r w:rsidRPr="00DB12A0">
                                  <w:rPr>
                                    <w:rFonts w:ascii="Trebuchet MS" w:hAnsi="Trebuchet MS"/>
                                    <w:sz w:val="18"/>
                                    <w:szCs w:val="16"/>
                                  </w:rPr>
                                  <w:t>/4718/</w:t>
                                </w:r>
                                <w:sdt>
                                  <w:sdtPr>
                                    <w:rPr>
                                      <w:rFonts w:ascii="Trebuchet MS" w:hAnsi="Trebuchet MS"/>
                                      <w:sz w:val="18"/>
                                      <w:szCs w:val="20"/>
                                    </w:rPr>
                                    <w:alias w:val="Depotnummer"/>
                                    <w:tag w:val="Depotnummer"/>
                                    <w:id w:val="10939904"/>
                                    <w:temporary/>
                                    <w:showingPlcHdr/>
                                  </w:sdtPr>
                                  <w:sdtEndPr/>
                                  <w:sdtContent>
                                    <w:r>
                                      <w:rPr>
                                        <w:rStyle w:val="PlaceholderText"/>
                                      </w:rPr>
                                      <w:t>t</w:t>
                                    </w:r>
                                    <w:r w:rsidRPr="00635FFF">
                                      <w:rPr>
                                        <w:rStyle w:val="PlaceholderText"/>
                                      </w:rPr>
                                      <w:t xml:space="preserve">yp </w:t>
                                    </w:r>
                                    <w:r>
                                      <w:rPr>
                                        <w:rStyle w:val="PlaceholderText"/>
                                      </w:rPr>
                                      <w:t>het depotnummer</w:t>
                                    </w:r>
                                  </w:sdtContent>
                                </w:sdt>
                                <w:r w:rsidRPr="00DB12A0">
                                  <w:rPr>
                                    <w:rFonts w:ascii="Trebuchet MS" w:hAnsi="Trebuchet MS"/>
                                    <w:sz w:val="18"/>
                                    <w:szCs w:val="20"/>
                                  </w:rPr>
                                  <w:t xml:space="preserve"> – ISBN </w:t>
                                </w:r>
                                <w:sdt>
                                  <w:sdtPr>
                                    <w:rPr>
                                      <w:rFonts w:ascii="Trebuchet MS" w:hAnsi="Trebuchet MS"/>
                                      <w:sz w:val="18"/>
                                      <w:szCs w:val="20"/>
                                    </w:rPr>
                                    <w:alias w:val="ISBN"/>
                                    <w:tag w:val="ISBN"/>
                                    <w:id w:val="10939905"/>
                                    <w:temporary/>
                                    <w:showingPlcHdr/>
                                  </w:sdtPr>
                                  <w:sdtEndPr/>
                                  <w:sdtContent>
                                    <w:r>
                                      <w:t>t</w:t>
                                    </w:r>
                                    <w:r w:rsidRPr="00635FFF">
                                      <w:t xml:space="preserve">yp </w:t>
                                    </w:r>
                                    <w:r>
                                      <w:t>het ISBN nummer</w:t>
                                    </w:r>
                                  </w:sdtContent>
                                </w:sdt>
                              </w:p>
                              <w:p w:rsidR="00301DB0" w:rsidRPr="00535DE3" w:rsidRDefault="00301DB0" w:rsidP="00DB12A0">
                                <w:pPr>
                                  <w:pStyle w:val="TITELPAGINA-Colofon"/>
                                  <w:spacing w:after="0"/>
                                  <w:ind w:left="397" w:hanging="397"/>
                                  <w:jc w:val="left"/>
                                </w:pPr>
                                <w:r w:rsidRPr="00535DE3">
                                  <w:t xml:space="preserve">© </w:t>
                                </w:r>
                                <w:r>
                                  <w:t>2016</w:t>
                                </w:r>
                                <w:r w:rsidRPr="00535DE3">
                                  <w:t xml:space="preserve">  </w:t>
                                </w:r>
                                <w:r w:rsidRPr="00535DE3">
                                  <w:rPr>
                                    <w:smallCaps/>
                                  </w:rPr>
                                  <w:t>steunpunt wonen</w:t>
                                </w:r>
                              </w:p>
                              <w:p w:rsidR="00301DB0" w:rsidRPr="00535DE3" w:rsidRDefault="00301DB0" w:rsidP="00DB12A0">
                                <w:pPr>
                                  <w:pStyle w:val="TITELPAGINA-Colofon"/>
                                  <w:spacing w:after="0"/>
                                  <w:jc w:val="left"/>
                                  <w:rPr>
                                    <w:sz w:val="14"/>
                                    <w:szCs w:val="14"/>
                                  </w:rPr>
                                </w:pPr>
                                <w:r w:rsidRPr="00535DE3">
                                  <w:rPr>
                                    <w:sz w:val="14"/>
                                    <w:szCs w:val="14"/>
                                  </w:rPr>
                                  <w:t xml:space="preserve">Niets uit deze uitgave mag worden </w:t>
                                </w:r>
                                <w:proofErr w:type="spellStart"/>
                                <w:r w:rsidRPr="00535DE3">
                                  <w:rPr>
                                    <w:sz w:val="14"/>
                                    <w:szCs w:val="14"/>
                                  </w:rPr>
                                  <w:t>verveelvuldigd</w:t>
                                </w:r>
                                <w:proofErr w:type="spellEnd"/>
                                <w:r w:rsidRPr="00535DE3">
                                  <w:rPr>
                                    <w:sz w:val="14"/>
                                    <w:szCs w:val="14"/>
                                  </w:rPr>
                                  <w:t xml:space="preserve"> en/of openbaar gemaakt door middel van druk, fotokopie, microfilm of op welke andere wijze ook, zonder voorafgaande schriftelijke toestemming van de uitgever.</w:t>
                                </w:r>
                              </w:p>
                              <w:p w:rsidR="00301DB0" w:rsidRPr="00535DE3" w:rsidRDefault="00301DB0" w:rsidP="00DB12A0">
                                <w:pPr>
                                  <w:pStyle w:val="TITELPAGINA-Colofon"/>
                                  <w:jc w:val="left"/>
                                  <w:rPr>
                                    <w:sz w:val="14"/>
                                    <w:szCs w:val="14"/>
                                    <w:lang w:val="en-GB"/>
                                  </w:rPr>
                                </w:pPr>
                                <w:r w:rsidRPr="00535DE3">
                                  <w:rPr>
                                    <w:sz w:val="14"/>
                                    <w:szCs w:val="14"/>
                                    <w:lang w:val="en-GB"/>
                                  </w:rPr>
                                  <w:t>No part of this book may be reproduced in any form, by mimeograph, film or any other means, without permission in writing from the publisher.</w:t>
                                </w:r>
                              </w:p>
                              <w:p w:rsidR="00301DB0" w:rsidRDefault="00301DB0" w:rsidP="00DB12A0">
                                <w:pPr>
                                  <w:pStyle w:val="TITELPAGINA-Colofon"/>
                                  <w:ind w:left="397" w:hanging="397"/>
                                  <w:jc w:val="left"/>
                                </w:pPr>
                                <w:r>
                                  <w:t>p.a.</w:t>
                                </w:r>
                                <w:r>
                                  <w:tab/>
                                  <w:t>Secretariaat Steunpunt Wonen</w:t>
                                </w:r>
                                <w:r>
                                  <w:br/>
                                  <w:t>HIVA - Onderzoeksinstituut voor Arbeid en Samenleving</w:t>
                                </w:r>
                                <w:r>
                                  <w:br/>
                                  <w:t>Parkstraat 47 bus 5300, BE 3000 Leuven</w:t>
                                </w:r>
                              </w:p>
                              <w:p w:rsidR="00301DB0" w:rsidRPr="009F41B3" w:rsidRDefault="00301DB0" w:rsidP="00DB12A0">
                                <w:pPr>
                                  <w:pStyle w:val="TITELPAGINA-Colofon"/>
                                </w:pPr>
                                <w:r>
                                  <w:t xml:space="preserve">Deze publicatie is ook beschikbaar via </w:t>
                                </w:r>
                                <w:hyperlink r:id="rId18" w:history="1">
                                  <w:r w:rsidRPr="008B428A">
                                    <w:rPr>
                                      <w:rStyle w:val="Hyperlink"/>
                                    </w:rPr>
                                    <w:t>www.steunpuntwonen.be</w:t>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613C51" id="_x0000_t202" coordsize="21600,21600" o:spt="202" path="m,l,21600r21600,l21600,xe">
                    <v:stroke joinstyle="miter"/>
                    <v:path gradientshapeok="t" o:connecttype="rect"/>
                  </v:shapetype>
                  <v:shape id="Text Box 15" o:spid="_x0000_s1026" type="#_x0000_t202" style="position:absolute;left:0;text-align:left;margin-left:84.55pt;margin-top:405.9pt;width:426.2pt;height:296.5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" strokecolor="gray" strokeweight="1pt">
                    <v:textbox style="mso-fit-shape-to-text:t">
                      <w:txbxContent>
                        <w:p w:rsidR="00301DB0" w:rsidRPr="001E3870" w:rsidRDefault="00301DB0" w:rsidP="00D91282">
                          <w:pPr>
                            <w:suppressAutoHyphens/>
                            <w:spacing w:before="120"/>
                            <w:rPr>
                              <w:rFonts w:ascii="Trebuchet MS" w:hAnsi="Trebuchet MS"/>
                              <w:b/>
                              <w:color w:val="808080"/>
                              <w:sz w:val="18"/>
                              <w:szCs w:val="20"/>
                            </w:rPr>
                          </w:pPr>
                          <w:r w:rsidRPr="001E3870">
                            <w:rPr>
                              <w:rFonts w:ascii="Trebuchet MS" w:hAnsi="Trebuchet MS"/>
                              <w:b/>
                              <w:color w:val="808080"/>
                              <w:sz w:val="18"/>
                              <w:szCs w:val="20"/>
                            </w:rPr>
                            <w:t>Gelieve naar deze publicatie te verwijzen als volgt:</w:t>
                          </w:r>
                        </w:p>
                        <w:p w:rsidR="00301DB0" w:rsidRPr="00796B1A" w:rsidRDefault="00857C4E" w:rsidP="00DB12A0">
                          <w:pPr>
                            <w:pStyle w:val="TITELPAGINA-Colofon"/>
                          </w:pPr>
                          <w:sdt>
                            <w:sdtPr>
                              <w:alias w:val="referentie"/>
                              <w:tag w:val="referentie"/>
                              <w:id w:val="10939901"/>
                              <w:temporary/>
                              <w:showingPlcHdr/>
                            </w:sdtPr>
                            <w:sdtEndPr/>
                            <w:sdtContent>
                              <w:r w:rsidR="00301DB0" w:rsidRPr="00DB12A0">
                                <w:t>typ de bibliografische referentie van de publicatie</w:t>
                              </w:r>
                            </w:sdtContent>
                          </w:sdt>
                        </w:p>
                        <w:p w:rsidR="00301DB0" w:rsidRDefault="00301DB0" w:rsidP="00DB12A0">
                          <w:pPr>
                            <w:pStyle w:val="TITELPAGINA-Colofon"/>
                          </w:pPr>
                          <w:r>
                            <w:rPr>
                              <w:rStyle w:val="Grijs"/>
                              <w:b/>
                            </w:rPr>
                            <w:t>Voor meer informatie over deze publicatie</w:t>
                          </w:r>
                          <w:r w:rsidRPr="00926543">
                            <w:t xml:space="preserve"> </w:t>
                          </w:r>
                          <w:sdt>
                            <w:sdtPr>
                              <w:alias w:val="e-mailadres"/>
                              <w:tag w:val="e-mailadres"/>
                              <w:id w:val="10939902"/>
                              <w:temporary/>
                              <w:showingPlcHdr/>
                            </w:sdtPr>
                            <w:sdtEndPr/>
                            <w:sdtContent>
                              <w:r w:rsidRPr="00DB12A0">
                                <w:t>typ e-mailadres(sen) van de corresponding authors</w:t>
                              </w:r>
                            </w:sdtContent>
                          </w:sdt>
                        </w:p>
                        <w:p w:rsidR="00301DB0" w:rsidRDefault="00301DB0" w:rsidP="00DB12A0">
                          <w:pPr>
                            <w:pStyle w:val="TITELPAGINA-Colofon"/>
                          </w:pPr>
                        </w:p>
                        <w:p w:rsidR="00301DB0" w:rsidRDefault="00301DB0" w:rsidP="00DB12A0">
                          <w:pPr>
                            <w:pStyle w:val="TITELPAGINA-Colofon"/>
                          </w:pPr>
                        </w:p>
                        <w:p w:rsidR="00301DB0" w:rsidRDefault="00301DB0" w:rsidP="00DB12A0">
                          <w:pPr>
                            <w:pStyle w:val="TITELPAGINA-Colofon"/>
                          </w:pPr>
                          <w:r w:rsidRPr="00500A56">
                            <w:t xml:space="preserve">In deze </w:t>
                          </w:r>
                          <w:r>
                            <w:t>publicatie</w:t>
                          </w:r>
                          <w:r w:rsidRPr="00500A56">
                            <w:t xml:space="preserve"> </w:t>
                          </w:r>
                          <w:r>
                            <w:t>wordt</w:t>
                          </w:r>
                          <w:r w:rsidRPr="00500A56">
                            <w:t xml:space="preserve"> de mening van de auteur </w:t>
                          </w:r>
                          <w:r>
                            <w:t>weergegeven en niet die van de Vlaamse overheid.</w:t>
                          </w:r>
                          <w:r w:rsidRPr="00500A56">
                            <w:t xml:space="preserve"> De Vlaamse </w:t>
                          </w:r>
                          <w:r>
                            <w:t>overheid</w:t>
                          </w:r>
                          <w:r w:rsidRPr="00500A56">
                            <w:t xml:space="preserve"> </w:t>
                          </w:r>
                          <w:r>
                            <w:t>is</w:t>
                          </w:r>
                          <w:r w:rsidRPr="00500A56">
                            <w:t xml:space="preserve"> niet aansprakelijk voor het gebruik</w:t>
                          </w:r>
                          <w:r>
                            <w:t xml:space="preserve"> </w:t>
                          </w:r>
                          <w:r w:rsidRPr="00500A56">
                            <w:t xml:space="preserve">dat kan worden gemaakt van de </w:t>
                          </w:r>
                          <w:r>
                            <w:t>opgenomen</w:t>
                          </w:r>
                          <w:r w:rsidRPr="00500A56">
                            <w:t xml:space="preserve"> gegevens.</w:t>
                          </w:r>
                        </w:p>
                        <w:p w:rsidR="00301DB0" w:rsidRDefault="00301DB0" w:rsidP="00DB12A0">
                          <w:pPr>
                            <w:suppressAutoHyphens/>
                            <w:spacing w:before="0" w:after="200" w:line="240" w:lineRule="auto"/>
                            <w:rPr>
                              <w:rFonts w:ascii="Trebuchet MS" w:hAnsi="Trebuchet MS"/>
                              <w:sz w:val="18"/>
                              <w:szCs w:val="20"/>
                            </w:rPr>
                          </w:pPr>
                          <w:r w:rsidRPr="00DB12A0">
                            <w:rPr>
                              <w:rFonts w:ascii="Trebuchet MS" w:hAnsi="Trebuchet MS"/>
                              <w:sz w:val="18"/>
                              <w:szCs w:val="16"/>
                            </w:rPr>
                            <w:t>D/</w:t>
                          </w:r>
                          <w:r>
                            <w:rPr>
                              <w:rFonts w:ascii="Trebuchet MS" w:hAnsi="Trebuchet MS"/>
                              <w:sz w:val="18"/>
                              <w:szCs w:val="20"/>
                            </w:rPr>
                            <w:t>2016</w:t>
                          </w:r>
                          <w:r w:rsidRPr="00DB12A0">
                            <w:rPr>
                              <w:rFonts w:ascii="Trebuchet MS" w:hAnsi="Trebuchet MS"/>
                              <w:sz w:val="18"/>
                              <w:szCs w:val="16"/>
                            </w:rPr>
                            <w:t>/4718/</w:t>
                          </w:r>
                          <w:sdt>
                            <w:sdtPr>
                              <w:rPr>
                                <w:rFonts w:ascii="Trebuchet MS" w:hAnsi="Trebuchet MS"/>
                                <w:sz w:val="18"/>
                                <w:szCs w:val="20"/>
                              </w:rPr>
                              <w:alias w:val="Depotnummer"/>
                              <w:tag w:val="Depotnummer"/>
                              <w:id w:val="10939904"/>
                              <w:temporary/>
                              <w:showingPlcHdr/>
                            </w:sdtPr>
                            <w:sdtEndPr/>
                            <w:sdtContent>
                              <w:r>
                                <w:rPr>
                                  <w:rStyle w:val="PlaceholderText"/>
                                </w:rPr>
                                <w:t>t</w:t>
                              </w:r>
                              <w:r w:rsidRPr="00635FFF">
                                <w:rPr>
                                  <w:rStyle w:val="PlaceholderText"/>
                                </w:rPr>
                                <w:t xml:space="preserve">yp </w:t>
                              </w:r>
                              <w:r>
                                <w:rPr>
                                  <w:rStyle w:val="PlaceholderText"/>
                                </w:rPr>
                                <w:t>het depotnummer</w:t>
                              </w:r>
                            </w:sdtContent>
                          </w:sdt>
                          <w:r w:rsidRPr="00DB12A0">
                            <w:rPr>
                              <w:rFonts w:ascii="Trebuchet MS" w:hAnsi="Trebuchet MS"/>
                              <w:sz w:val="18"/>
                              <w:szCs w:val="20"/>
                            </w:rPr>
                            <w:t xml:space="preserve"> – ISBN </w:t>
                          </w:r>
                          <w:sdt>
                            <w:sdtPr>
                              <w:rPr>
                                <w:rFonts w:ascii="Trebuchet MS" w:hAnsi="Trebuchet MS"/>
                                <w:sz w:val="18"/>
                                <w:szCs w:val="20"/>
                              </w:rPr>
                              <w:alias w:val="ISBN"/>
                              <w:tag w:val="ISBN"/>
                              <w:id w:val="10939905"/>
                              <w:temporary/>
                              <w:showingPlcHdr/>
                            </w:sdtPr>
                            <w:sdtEndPr/>
                            <w:sdtContent>
                              <w:r>
                                <w:t>t</w:t>
                              </w:r>
                              <w:r w:rsidRPr="00635FFF">
                                <w:t xml:space="preserve">yp </w:t>
                              </w:r>
                              <w:r>
                                <w:t>het ISBN nummer</w:t>
                              </w:r>
                            </w:sdtContent>
                          </w:sdt>
                        </w:p>
                        <w:p w:rsidR="00301DB0" w:rsidRPr="00535DE3" w:rsidRDefault="00301DB0" w:rsidP="00DB12A0">
                          <w:pPr>
                            <w:pStyle w:val="TITELPAGINA-Colofon"/>
                            <w:spacing w:after="0"/>
                            <w:ind w:left="397" w:hanging="397"/>
                            <w:jc w:val="left"/>
                          </w:pPr>
                          <w:r w:rsidRPr="00535DE3">
                            <w:t xml:space="preserve">© </w:t>
                          </w:r>
                          <w:r>
                            <w:t>2016</w:t>
                          </w:r>
                          <w:r w:rsidRPr="00535DE3">
                            <w:t xml:space="preserve">  </w:t>
                          </w:r>
                          <w:r w:rsidRPr="00535DE3">
                            <w:rPr>
                              <w:smallCaps/>
                            </w:rPr>
                            <w:t>steunpunt wonen</w:t>
                          </w:r>
                        </w:p>
                        <w:p w:rsidR="00301DB0" w:rsidRPr="00535DE3" w:rsidRDefault="00301DB0" w:rsidP="00DB12A0">
                          <w:pPr>
                            <w:pStyle w:val="TITELPAGINA-Colofon"/>
                            <w:spacing w:after="0"/>
                            <w:jc w:val="left"/>
                            <w:rPr>
                              <w:sz w:val="14"/>
                              <w:szCs w:val="14"/>
                            </w:rPr>
                          </w:pPr>
                          <w:r w:rsidRPr="00535DE3">
                            <w:rPr>
                              <w:sz w:val="14"/>
                              <w:szCs w:val="14"/>
                            </w:rPr>
                            <w:t xml:space="preserve">Niets uit deze uitgave mag worden </w:t>
                          </w:r>
                          <w:proofErr w:type="spellStart"/>
                          <w:r w:rsidRPr="00535DE3">
                            <w:rPr>
                              <w:sz w:val="14"/>
                              <w:szCs w:val="14"/>
                            </w:rPr>
                            <w:t>verveelvuldigd</w:t>
                          </w:r>
                          <w:proofErr w:type="spellEnd"/>
                          <w:r w:rsidRPr="00535DE3">
                            <w:rPr>
                              <w:sz w:val="14"/>
                              <w:szCs w:val="14"/>
                            </w:rPr>
                            <w:t xml:space="preserve"> en/of openbaar gemaakt door middel van druk, fotokopie, microfilm of op welke andere wijze ook, zonder voorafgaande schriftelijke toestemming van de uitgever.</w:t>
                          </w:r>
                        </w:p>
                        <w:p w:rsidR="00301DB0" w:rsidRPr="00535DE3" w:rsidRDefault="00301DB0" w:rsidP="00DB12A0">
                          <w:pPr>
                            <w:pStyle w:val="TITELPAGINA-Colofon"/>
                            <w:jc w:val="left"/>
                            <w:rPr>
                              <w:sz w:val="14"/>
                              <w:szCs w:val="14"/>
                              <w:lang w:val="en-GB"/>
                            </w:rPr>
                          </w:pPr>
                          <w:r w:rsidRPr="00535DE3">
                            <w:rPr>
                              <w:sz w:val="14"/>
                              <w:szCs w:val="14"/>
                              <w:lang w:val="en-GB"/>
                            </w:rPr>
                            <w:t>No part of this book may be reproduced in any form, by mimeograph, film or any other means, without permission in writing from the publisher.</w:t>
                          </w:r>
                        </w:p>
                        <w:p w:rsidR="00301DB0" w:rsidRDefault="00301DB0" w:rsidP="00DB12A0">
                          <w:pPr>
                            <w:pStyle w:val="TITELPAGINA-Colofon"/>
                            <w:ind w:left="397" w:hanging="397"/>
                            <w:jc w:val="left"/>
                          </w:pPr>
                          <w:r>
                            <w:t>p.a.</w:t>
                          </w:r>
                          <w:r>
                            <w:tab/>
                            <w:t>Secretariaat Steunpunt Wonen</w:t>
                          </w:r>
                          <w:r>
                            <w:br/>
                            <w:t>HIVA - Onderzoeksinstituut voor Arbeid en Samenleving</w:t>
                          </w:r>
                          <w:r>
                            <w:br/>
                            <w:t>Parkstraat 47 bus 5300, BE 3000 Leuven</w:t>
                          </w:r>
                        </w:p>
                        <w:p w:rsidR="00301DB0" w:rsidRPr="009F41B3" w:rsidRDefault="00301DB0" w:rsidP="00DB12A0">
                          <w:pPr>
                            <w:pStyle w:val="TITELPAGINA-Colofon"/>
                          </w:pPr>
                          <w:r>
                            <w:t xml:space="preserve">Deze publicatie is ook beschikbaar via </w:t>
                          </w:r>
                          <w:hyperlink r:id="rId19" w:history="1">
                            <w:r w:rsidRPr="008B428A">
                              <w:rPr>
                                <w:rStyle w:val="Hyperlink"/>
                              </w:rPr>
                              <w:t>www.steunpuntwonen.be</w:t>
                            </w:r>
                          </w:hyperlink>
                        </w:p>
                      </w:txbxContent>
                    </v:textbox>
                    <w10:wrap type="square" anchorx="page" anchory="margin"/>
                  </v:shape>
                </w:pict>
              </mc:Fallback>
            </mc:AlternateContent>
          </w:r>
        </w:p>
      </w:sdtContent>
    </w:sdt>
    <w:p w:rsidR="000F370A" w:rsidRPr="00D97444" w:rsidRDefault="000F370A" w:rsidP="004548F0">
      <w:pPr>
        <w:spacing w:before="120"/>
        <w:rPr>
          <w:lang w:val="en-US"/>
        </w:rPr>
        <w:sectPr w:rsidR="000F370A" w:rsidRPr="00D97444" w:rsidSect="00DB12A0">
          <w:headerReference w:type="first" r:id="rId20"/>
          <w:pgSz w:w="11906" w:h="16838" w:code="9"/>
          <w:pgMar w:top="1701" w:right="1701" w:bottom="1701" w:left="1701" w:header="284" w:footer="851" w:gutter="0"/>
          <w:cols w:space="708"/>
          <w:titlePg/>
          <w:docGrid w:linePitch="360"/>
        </w:sectPr>
      </w:pPr>
    </w:p>
    <w:p w:rsidR="0008544A" w:rsidRPr="001E35BF" w:rsidRDefault="0008544A" w:rsidP="0008544A">
      <w:pPr>
        <w:pStyle w:val="Title"/>
      </w:pPr>
      <w:bookmarkStart w:id="0" w:name="_Toc360709160"/>
      <w:bookmarkStart w:id="1" w:name="_Toc464122162"/>
      <w:r w:rsidRPr="001E35BF">
        <w:lastRenderedPageBreak/>
        <w:t>Inhoud</w:t>
      </w:r>
      <w:bookmarkEnd w:id="0"/>
      <w:bookmarkEnd w:id="1"/>
    </w:p>
    <w:sdt>
      <w:sdtPr>
        <w:rPr>
          <w:rFonts w:asciiTheme="minorHAnsi" w:eastAsia="Times New Roman" w:hAnsiTheme="minorHAnsi" w:cs="Times New Roman"/>
          <w:b/>
          <w:bCs/>
          <w:color w:val="auto"/>
          <w:sz w:val="22"/>
          <w:szCs w:val="24"/>
        </w:rPr>
        <w:id w:val="-51319390"/>
        <w:docPartObj>
          <w:docPartGallery w:val="Table of Contents"/>
          <w:docPartUnique/>
        </w:docPartObj>
      </w:sdtPr>
      <w:sdtEndPr>
        <w:rPr>
          <w:b w:val="0"/>
          <w:bCs w:val="0"/>
          <w:noProof/>
        </w:rPr>
      </w:sdtEndPr>
      <w:sdtContent>
        <w:p w:rsidR="0008544A" w:rsidRDefault="0008544A" w:rsidP="0008544A">
          <w:pPr>
            <w:pStyle w:val="TOCHeading"/>
          </w:pPr>
        </w:p>
        <w:p w:rsidR="00857C4E" w:rsidRDefault="0008544A">
          <w:pPr>
            <w:pStyle w:val="TOC1"/>
            <w:rPr>
              <w:rFonts w:asciiTheme="minorHAnsi" w:eastAsiaTheme="minorEastAsia" w:hAnsiTheme="minorHAnsi" w:cstheme="minorBidi"/>
              <w:b w:val="0"/>
              <w:noProof/>
              <w:sz w:val="22"/>
              <w:szCs w:val="22"/>
              <w:lang w:eastAsia="nl-BE"/>
            </w:rPr>
          </w:pPr>
          <w:r>
            <w:fldChar w:fldCharType="begin"/>
          </w:r>
          <w:r>
            <w:instrText xml:space="preserve"> TOC \o "1-3" \h \z \u </w:instrText>
          </w:r>
          <w:r>
            <w:fldChar w:fldCharType="separate"/>
          </w:r>
          <w:hyperlink w:anchor="_Toc464122162" w:history="1">
            <w:r w:rsidR="00857C4E" w:rsidRPr="003E199F">
              <w:rPr>
                <w:rStyle w:val="Hyperlink"/>
                <w:noProof/>
              </w:rPr>
              <w:t>Inhoud</w:t>
            </w:r>
            <w:r w:rsidR="00857C4E">
              <w:rPr>
                <w:noProof/>
                <w:webHidden/>
              </w:rPr>
              <w:tab/>
            </w:r>
            <w:r w:rsidR="00857C4E">
              <w:rPr>
                <w:noProof/>
                <w:webHidden/>
              </w:rPr>
              <w:fldChar w:fldCharType="begin"/>
            </w:r>
            <w:r w:rsidR="00857C4E">
              <w:rPr>
                <w:noProof/>
                <w:webHidden/>
              </w:rPr>
              <w:instrText xml:space="preserve"> PAGEREF _Toc464122162 \h </w:instrText>
            </w:r>
            <w:r w:rsidR="00857C4E">
              <w:rPr>
                <w:noProof/>
                <w:webHidden/>
              </w:rPr>
            </w:r>
            <w:r w:rsidR="00857C4E">
              <w:rPr>
                <w:noProof/>
                <w:webHidden/>
              </w:rPr>
              <w:fldChar w:fldCharType="separate"/>
            </w:r>
            <w:r w:rsidR="00857C4E">
              <w:rPr>
                <w:noProof/>
                <w:webHidden/>
              </w:rPr>
              <w:t>v</w:t>
            </w:r>
            <w:r w:rsidR="00857C4E">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63" w:history="1">
            <w:r w:rsidRPr="003E199F">
              <w:rPr>
                <w:rStyle w:val="Hyperlink"/>
                <w:noProof/>
                <w:lang w:val="en-US"/>
              </w:rPr>
              <w:t>Lijst figuren</w:t>
            </w:r>
            <w:r>
              <w:rPr>
                <w:noProof/>
                <w:webHidden/>
              </w:rPr>
              <w:tab/>
            </w:r>
            <w:r>
              <w:rPr>
                <w:noProof/>
                <w:webHidden/>
              </w:rPr>
              <w:fldChar w:fldCharType="begin"/>
            </w:r>
            <w:r>
              <w:rPr>
                <w:noProof/>
                <w:webHidden/>
              </w:rPr>
              <w:instrText xml:space="preserve"> PAGEREF _Toc464122163 \h </w:instrText>
            </w:r>
            <w:r>
              <w:rPr>
                <w:noProof/>
                <w:webHidden/>
              </w:rPr>
            </w:r>
            <w:r>
              <w:rPr>
                <w:noProof/>
                <w:webHidden/>
              </w:rPr>
              <w:fldChar w:fldCharType="separate"/>
            </w:r>
            <w:r>
              <w:rPr>
                <w:noProof/>
                <w:webHidden/>
              </w:rPr>
              <w:t>vi</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64" w:history="1">
            <w:r w:rsidRPr="003E199F">
              <w:rPr>
                <w:rStyle w:val="Hyperlink"/>
                <w:noProof/>
              </w:rPr>
              <w:t>Managementsamenvatting</w:t>
            </w:r>
            <w:r>
              <w:rPr>
                <w:noProof/>
                <w:webHidden/>
              </w:rPr>
              <w:tab/>
            </w:r>
            <w:r>
              <w:rPr>
                <w:noProof/>
                <w:webHidden/>
              </w:rPr>
              <w:fldChar w:fldCharType="begin"/>
            </w:r>
            <w:r>
              <w:rPr>
                <w:noProof/>
                <w:webHidden/>
              </w:rPr>
              <w:instrText xml:space="preserve"> PAGEREF _Toc464122164 \h </w:instrText>
            </w:r>
            <w:r>
              <w:rPr>
                <w:noProof/>
                <w:webHidden/>
              </w:rPr>
            </w:r>
            <w:r>
              <w:rPr>
                <w:noProof/>
                <w:webHidden/>
              </w:rPr>
              <w:fldChar w:fldCharType="separate"/>
            </w:r>
            <w:r>
              <w:rPr>
                <w:noProof/>
                <w:webHidden/>
              </w:rPr>
              <w:t>vii</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65" w:history="1">
            <w:r w:rsidRPr="003E199F">
              <w:rPr>
                <w:rStyle w:val="Hyperlink"/>
                <w:noProof/>
              </w:rPr>
              <w:t>1.</w:t>
            </w:r>
            <w:r>
              <w:rPr>
                <w:rFonts w:asciiTheme="minorHAnsi" w:eastAsiaTheme="minorEastAsia" w:hAnsiTheme="minorHAnsi" w:cstheme="minorBidi"/>
                <w:b w:val="0"/>
                <w:noProof/>
                <w:sz w:val="22"/>
                <w:szCs w:val="22"/>
                <w:lang w:eastAsia="nl-BE"/>
              </w:rPr>
              <w:tab/>
            </w:r>
            <w:r w:rsidRPr="003E199F">
              <w:rPr>
                <w:rStyle w:val="Hyperlink"/>
                <w:noProof/>
              </w:rPr>
              <w:t>Inleiding</w:t>
            </w:r>
            <w:r>
              <w:rPr>
                <w:noProof/>
                <w:webHidden/>
              </w:rPr>
              <w:tab/>
            </w:r>
            <w:r>
              <w:rPr>
                <w:noProof/>
                <w:webHidden/>
              </w:rPr>
              <w:fldChar w:fldCharType="begin"/>
            </w:r>
            <w:r>
              <w:rPr>
                <w:noProof/>
                <w:webHidden/>
              </w:rPr>
              <w:instrText xml:space="preserve"> PAGEREF _Toc464122165 \h </w:instrText>
            </w:r>
            <w:r>
              <w:rPr>
                <w:noProof/>
                <w:webHidden/>
              </w:rPr>
            </w:r>
            <w:r>
              <w:rPr>
                <w:noProof/>
                <w:webHidden/>
              </w:rPr>
              <w:fldChar w:fldCharType="separate"/>
            </w:r>
            <w:r>
              <w:rPr>
                <w:noProof/>
                <w:webHidden/>
              </w:rPr>
              <w:t>1</w:t>
            </w:r>
            <w:r>
              <w:rPr>
                <w:noProof/>
                <w:webHidden/>
              </w:rPr>
              <w:fldChar w:fldCharType="end"/>
            </w:r>
          </w:hyperlink>
        </w:p>
        <w:p w:rsidR="00857C4E" w:rsidRDefault="00857C4E">
          <w:pPr>
            <w:pStyle w:val="TOC2"/>
            <w:tabs>
              <w:tab w:val="left" w:pos="850"/>
            </w:tabs>
            <w:rPr>
              <w:rFonts w:asciiTheme="minorHAnsi" w:eastAsiaTheme="minorEastAsia" w:hAnsiTheme="minorHAnsi" w:cstheme="minorBidi"/>
              <w:noProof/>
              <w:sz w:val="22"/>
              <w:szCs w:val="22"/>
              <w:lang w:eastAsia="nl-BE"/>
            </w:rPr>
          </w:pPr>
          <w:hyperlink w:anchor="_Toc464122166" w:history="1">
            <w:r w:rsidRPr="003E199F">
              <w:rPr>
                <w:rStyle w:val="Hyperlink"/>
                <w:noProof/>
              </w:rPr>
              <w:t>1.1</w:t>
            </w:r>
            <w:r>
              <w:rPr>
                <w:rFonts w:asciiTheme="minorHAnsi" w:eastAsiaTheme="minorEastAsia" w:hAnsiTheme="minorHAnsi" w:cstheme="minorBidi"/>
                <w:noProof/>
                <w:sz w:val="22"/>
                <w:szCs w:val="22"/>
                <w:lang w:eastAsia="nl-BE"/>
              </w:rPr>
              <w:tab/>
            </w:r>
            <w:r w:rsidRPr="003E199F">
              <w:rPr>
                <w:rStyle w:val="Hyperlink"/>
                <w:noProof/>
              </w:rPr>
              <w:t>Situering in de beleidscontext</w:t>
            </w:r>
            <w:r>
              <w:rPr>
                <w:noProof/>
                <w:webHidden/>
              </w:rPr>
              <w:tab/>
            </w:r>
            <w:r>
              <w:rPr>
                <w:noProof/>
                <w:webHidden/>
              </w:rPr>
              <w:fldChar w:fldCharType="begin"/>
            </w:r>
            <w:r>
              <w:rPr>
                <w:noProof/>
                <w:webHidden/>
              </w:rPr>
              <w:instrText xml:space="preserve"> PAGEREF _Toc464122166 \h </w:instrText>
            </w:r>
            <w:r>
              <w:rPr>
                <w:noProof/>
                <w:webHidden/>
              </w:rPr>
            </w:r>
            <w:r>
              <w:rPr>
                <w:noProof/>
                <w:webHidden/>
              </w:rPr>
              <w:fldChar w:fldCharType="separate"/>
            </w:r>
            <w:r>
              <w:rPr>
                <w:noProof/>
                <w:webHidden/>
              </w:rPr>
              <w:t>1</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67" w:history="1">
            <w:r w:rsidRPr="003E199F">
              <w:rPr>
                <w:rStyle w:val="Hyperlink"/>
                <w:noProof/>
              </w:rPr>
              <w:t>1.2</w:t>
            </w:r>
            <w:r>
              <w:rPr>
                <w:rFonts w:asciiTheme="minorHAnsi" w:eastAsiaTheme="minorEastAsia" w:hAnsiTheme="minorHAnsi" w:cstheme="minorBidi"/>
                <w:noProof/>
                <w:sz w:val="22"/>
                <w:szCs w:val="22"/>
                <w:lang w:eastAsia="nl-BE"/>
              </w:rPr>
              <w:tab/>
            </w:r>
            <w:r w:rsidRPr="003E199F">
              <w:rPr>
                <w:rStyle w:val="Hyperlink"/>
                <w:noProof/>
              </w:rPr>
              <w:t>Doel van het onderzoek</w:t>
            </w:r>
            <w:r>
              <w:rPr>
                <w:noProof/>
                <w:webHidden/>
              </w:rPr>
              <w:tab/>
            </w:r>
            <w:r>
              <w:rPr>
                <w:noProof/>
                <w:webHidden/>
              </w:rPr>
              <w:fldChar w:fldCharType="begin"/>
            </w:r>
            <w:r>
              <w:rPr>
                <w:noProof/>
                <w:webHidden/>
              </w:rPr>
              <w:instrText xml:space="preserve"> PAGEREF _Toc464122167 \h </w:instrText>
            </w:r>
            <w:r>
              <w:rPr>
                <w:noProof/>
                <w:webHidden/>
              </w:rPr>
            </w:r>
            <w:r>
              <w:rPr>
                <w:noProof/>
                <w:webHidden/>
              </w:rPr>
              <w:fldChar w:fldCharType="separate"/>
            </w:r>
            <w:r>
              <w:rPr>
                <w:noProof/>
                <w:webHidden/>
              </w:rPr>
              <w:t>1</w:t>
            </w:r>
            <w:r>
              <w:rPr>
                <w:noProof/>
                <w:webHidden/>
              </w:rPr>
              <w:fldChar w:fldCharType="end"/>
            </w:r>
          </w:hyperlink>
        </w:p>
        <w:p w:rsidR="00857C4E" w:rsidRDefault="00857C4E">
          <w:pPr>
            <w:pStyle w:val="TOC3"/>
            <w:tabs>
              <w:tab w:val="left" w:pos="1540"/>
            </w:tabs>
            <w:rPr>
              <w:rFonts w:asciiTheme="minorHAnsi" w:eastAsiaTheme="minorEastAsia" w:hAnsiTheme="minorHAnsi" w:cstheme="minorBidi"/>
              <w:noProof/>
              <w:sz w:val="22"/>
              <w:szCs w:val="22"/>
              <w:lang w:eastAsia="nl-BE"/>
            </w:rPr>
          </w:pPr>
          <w:hyperlink w:anchor="_Toc464122168" w:history="1">
            <w:r w:rsidRPr="003E199F">
              <w:rPr>
                <w:rStyle w:val="Hyperlink"/>
                <w:noProof/>
              </w:rPr>
              <w:t>1.2.1</w:t>
            </w:r>
            <w:r>
              <w:rPr>
                <w:rFonts w:asciiTheme="minorHAnsi" w:eastAsiaTheme="minorEastAsia" w:hAnsiTheme="minorHAnsi" w:cstheme="minorBidi"/>
                <w:noProof/>
                <w:sz w:val="22"/>
                <w:szCs w:val="22"/>
                <w:lang w:eastAsia="nl-BE"/>
              </w:rPr>
              <w:tab/>
            </w:r>
            <w:r w:rsidRPr="003E199F">
              <w:rPr>
                <w:rStyle w:val="Hyperlink"/>
                <w:noProof/>
              </w:rPr>
              <w:t>Sociale huurmarktwaarden</w:t>
            </w:r>
            <w:r>
              <w:rPr>
                <w:noProof/>
                <w:webHidden/>
              </w:rPr>
              <w:tab/>
            </w:r>
            <w:r>
              <w:rPr>
                <w:noProof/>
                <w:webHidden/>
              </w:rPr>
              <w:fldChar w:fldCharType="begin"/>
            </w:r>
            <w:r>
              <w:rPr>
                <w:noProof/>
                <w:webHidden/>
              </w:rPr>
              <w:instrText xml:space="preserve"> PAGEREF _Toc464122168 \h </w:instrText>
            </w:r>
            <w:r>
              <w:rPr>
                <w:noProof/>
                <w:webHidden/>
              </w:rPr>
            </w:r>
            <w:r>
              <w:rPr>
                <w:noProof/>
                <w:webHidden/>
              </w:rPr>
              <w:fldChar w:fldCharType="separate"/>
            </w:r>
            <w:r>
              <w:rPr>
                <w:noProof/>
                <w:webHidden/>
              </w:rPr>
              <w:t>1</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69" w:history="1">
            <w:r w:rsidRPr="003E199F">
              <w:rPr>
                <w:rStyle w:val="Hyperlink"/>
                <w:noProof/>
              </w:rPr>
              <w:t>2.</w:t>
            </w:r>
            <w:r>
              <w:rPr>
                <w:rFonts w:asciiTheme="minorHAnsi" w:eastAsiaTheme="minorEastAsia" w:hAnsiTheme="minorHAnsi" w:cstheme="minorBidi"/>
                <w:b w:val="0"/>
                <w:noProof/>
                <w:sz w:val="22"/>
                <w:szCs w:val="22"/>
                <w:lang w:eastAsia="nl-BE"/>
              </w:rPr>
              <w:tab/>
            </w:r>
            <w:r w:rsidRPr="003E199F">
              <w:rPr>
                <w:rStyle w:val="Hyperlink"/>
                <w:noProof/>
              </w:rPr>
              <w:t>Interpretatie van het model en zijn resultaten</w:t>
            </w:r>
            <w:r>
              <w:rPr>
                <w:noProof/>
                <w:webHidden/>
              </w:rPr>
              <w:tab/>
            </w:r>
            <w:r>
              <w:rPr>
                <w:noProof/>
                <w:webHidden/>
              </w:rPr>
              <w:fldChar w:fldCharType="begin"/>
            </w:r>
            <w:r>
              <w:rPr>
                <w:noProof/>
                <w:webHidden/>
              </w:rPr>
              <w:instrText xml:space="preserve"> PAGEREF _Toc464122169 \h </w:instrText>
            </w:r>
            <w:r>
              <w:rPr>
                <w:noProof/>
                <w:webHidden/>
              </w:rPr>
            </w:r>
            <w:r>
              <w:rPr>
                <w:noProof/>
                <w:webHidden/>
              </w:rPr>
              <w:fldChar w:fldCharType="separate"/>
            </w:r>
            <w:r>
              <w:rPr>
                <w:noProof/>
                <w:webHidden/>
              </w:rPr>
              <w:t>4</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0" w:history="1">
            <w:r w:rsidRPr="003E199F">
              <w:rPr>
                <w:rStyle w:val="Hyperlink"/>
                <w:noProof/>
              </w:rPr>
              <w:t>2.1</w:t>
            </w:r>
            <w:r>
              <w:rPr>
                <w:rFonts w:asciiTheme="minorHAnsi" w:eastAsiaTheme="minorEastAsia" w:hAnsiTheme="minorHAnsi" w:cstheme="minorBidi"/>
                <w:noProof/>
                <w:sz w:val="22"/>
                <w:szCs w:val="22"/>
                <w:lang w:eastAsia="nl-BE"/>
              </w:rPr>
              <w:tab/>
            </w:r>
            <w:r w:rsidRPr="003E199F">
              <w:rPr>
                <w:rStyle w:val="Hyperlink"/>
                <w:noProof/>
              </w:rPr>
              <w:t>Vergelijking woningwaardestelsel Nederland</w:t>
            </w:r>
            <w:r>
              <w:rPr>
                <w:noProof/>
                <w:webHidden/>
              </w:rPr>
              <w:tab/>
            </w:r>
            <w:r>
              <w:rPr>
                <w:noProof/>
                <w:webHidden/>
              </w:rPr>
              <w:fldChar w:fldCharType="begin"/>
            </w:r>
            <w:r>
              <w:rPr>
                <w:noProof/>
                <w:webHidden/>
              </w:rPr>
              <w:instrText xml:space="preserve"> PAGEREF _Toc464122170 \h </w:instrText>
            </w:r>
            <w:r>
              <w:rPr>
                <w:noProof/>
                <w:webHidden/>
              </w:rPr>
            </w:r>
            <w:r>
              <w:rPr>
                <w:noProof/>
                <w:webHidden/>
              </w:rPr>
              <w:fldChar w:fldCharType="separate"/>
            </w:r>
            <w:r>
              <w:rPr>
                <w:noProof/>
                <w:webHidden/>
              </w:rPr>
              <w:t>4</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1" w:history="1">
            <w:r w:rsidRPr="003E199F">
              <w:rPr>
                <w:rStyle w:val="Hyperlink"/>
                <w:noProof/>
              </w:rPr>
              <w:t>2.2</w:t>
            </w:r>
            <w:r>
              <w:rPr>
                <w:rFonts w:asciiTheme="minorHAnsi" w:eastAsiaTheme="minorEastAsia" w:hAnsiTheme="minorHAnsi" w:cstheme="minorBidi"/>
                <w:noProof/>
                <w:sz w:val="22"/>
                <w:szCs w:val="22"/>
                <w:lang w:eastAsia="nl-BE"/>
              </w:rPr>
              <w:tab/>
            </w:r>
            <w:r w:rsidRPr="003E199F">
              <w:rPr>
                <w:rStyle w:val="Hyperlink"/>
                <w:noProof/>
              </w:rPr>
              <w:t>Log-lineaire benadering</w:t>
            </w:r>
            <w:r>
              <w:rPr>
                <w:noProof/>
                <w:webHidden/>
              </w:rPr>
              <w:tab/>
            </w:r>
            <w:r>
              <w:rPr>
                <w:noProof/>
                <w:webHidden/>
              </w:rPr>
              <w:fldChar w:fldCharType="begin"/>
            </w:r>
            <w:r>
              <w:rPr>
                <w:noProof/>
                <w:webHidden/>
              </w:rPr>
              <w:instrText xml:space="preserve"> PAGEREF _Toc464122171 \h </w:instrText>
            </w:r>
            <w:r>
              <w:rPr>
                <w:noProof/>
                <w:webHidden/>
              </w:rPr>
            </w:r>
            <w:r>
              <w:rPr>
                <w:noProof/>
                <w:webHidden/>
              </w:rPr>
              <w:fldChar w:fldCharType="separate"/>
            </w:r>
            <w:r>
              <w:rPr>
                <w:noProof/>
                <w:webHidden/>
              </w:rPr>
              <w:t>5</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2" w:history="1">
            <w:r w:rsidRPr="003E199F">
              <w:rPr>
                <w:rStyle w:val="Hyperlink"/>
                <w:noProof/>
              </w:rPr>
              <w:t>2.3</w:t>
            </w:r>
            <w:r>
              <w:rPr>
                <w:rFonts w:asciiTheme="minorHAnsi" w:eastAsiaTheme="minorEastAsia" w:hAnsiTheme="minorHAnsi" w:cstheme="minorBidi"/>
                <w:noProof/>
                <w:sz w:val="22"/>
                <w:szCs w:val="22"/>
                <w:lang w:eastAsia="nl-BE"/>
              </w:rPr>
              <w:tab/>
            </w:r>
            <w:r w:rsidRPr="003E199F">
              <w:rPr>
                <w:rStyle w:val="Hyperlink"/>
                <w:noProof/>
              </w:rPr>
              <w:t>Coëfficiënten en resultaten</w:t>
            </w:r>
            <w:r>
              <w:rPr>
                <w:noProof/>
                <w:webHidden/>
              </w:rPr>
              <w:tab/>
            </w:r>
            <w:r>
              <w:rPr>
                <w:noProof/>
                <w:webHidden/>
              </w:rPr>
              <w:fldChar w:fldCharType="begin"/>
            </w:r>
            <w:r>
              <w:rPr>
                <w:noProof/>
                <w:webHidden/>
              </w:rPr>
              <w:instrText xml:space="preserve"> PAGEREF _Toc464122172 \h </w:instrText>
            </w:r>
            <w:r>
              <w:rPr>
                <w:noProof/>
                <w:webHidden/>
              </w:rPr>
            </w:r>
            <w:r>
              <w:rPr>
                <w:noProof/>
                <w:webHidden/>
              </w:rPr>
              <w:fldChar w:fldCharType="separate"/>
            </w:r>
            <w:r>
              <w:rPr>
                <w:noProof/>
                <w:webHidden/>
              </w:rPr>
              <w:t>6</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73" w:history="1">
            <w:r w:rsidRPr="003E199F">
              <w:rPr>
                <w:rStyle w:val="Hyperlink"/>
                <w:noProof/>
              </w:rPr>
              <w:t>3.</w:t>
            </w:r>
            <w:r>
              <w:rPr>
                <w:rFonts w:asciiTheme="minorHAnsi" w:eastAsiaTheme="minorEastAsia" w:hAnsiTheme="minorHAnsi" w:cstheme="minorBidi"/>
                <w:b w:val="0"/>
                <w:noProof/>
                <w:sz w:val="22"/>
                <w:szCs w:val="22"/>
                <w:lang w:eastAsia="nl-BE"/>
              </w:rPr>
              <w:tab/>
            </w:r>
            <w:r w:rsidRPr="003E199F">
              <w:rPr>
                <w:rStyle w:val="Hyperlink"/>
                <w:noProof/>
              </w:rPr>
              <w:t>Grootte en woningkenmerken</w:t>
            </w:r>
            <w:r>
              <w:rPr>
                <w:noProof/>
                <w:webHidden/>
              </w:rPr>
              <w:tab/>
            </w:r>
            <w:r>
              <w:rPr>
                <w:noProof/>
                <w:webHidden/>
              </w:rPr>
              <w:fldChar w:fldCharType="begin"/>
            </w:r>
            <w:r>
              <w:rPr>
                <w:noProof/>
                <w:webHidden/>
              </w:rPr>
              <w:instrText xml:space="preserve"> PAGEREF _Toc464122173 \h </w:instrText>
            </w:r>
            <w:r>
              <w:rPr>
                <w:noProof/>
                <w:webHidden/>
              </w:rPr>
            </w:r>
            <w:r>
              <w:rPr>
                <w:noProof/>
                <w:webHidden/>
              </w:rPr>
              <w:fldChar w:fldCharType="separate"/>
            </w:r>
            <w:r>
              <w:rPr>
                <w:noProof/>
                <w:webHidden/>
              </w:rPr>
              <w:t>12</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4" w:history="1">
            <w:r w:rsidRPr="003E199F">
              <w:rPr>
                <w:rStyle w:val="Hyperlink"/>
                <w:noProof/>
              </w:rPr>
              <w:t>3.1</w:t>
            </w:r>
            <w:r>
              <w:rPr>
                <w:rFonts w:asciiTheme="minorHAnsi" w:eastAsiaTheme="minorEastAsia" w:hAnsiTheme="minorHAnsi" w:cstheme="minorBidi"/>
                <w:noProof/>
                <w:sz w:val="22"/>
                <w:szCs w:val="22"/>
                <w:lang w:eastAsia="nl-BE"/>
              </w:rPr>
              <w:tab/>
            </w:r>
            <w:r w:rsidRPr="003E199F">
              <w:rPr>
                <w:rStyle w:val="Hyperlink"/>
                <w:noProof/>
              </w:rPr>
              <w:t>Beschrijvende statistieken</w:t>
            </w:r>
            <w:r>
              <w:rPr>
                <w:noProof/>
                <w:webHidden/>
              </w:rPr>
              <w:tab/>
            </w:r>
            <w:r>
              <w:rPr>
                <w:noProof/>
                <w:webHidden/>
              </w:rPr>
              <w:fldChar w:fldCharType="begin"/>
            </w:r>
            <w:r>
              <w:rPr>
                <w:noProof/>
                <w:webHidden/>
              </w:rPr>
              <w:instrText xml:space="preserve"> PAGEREF _Toc464122174 \h </w:instrText>
            </w:r>
            <w:r>
              <w:rPr>
                <w:noProof/>
                <w:webHidden/>
              </w:rPr>
            </w:r>
            <w:r>
              <w:rPr>
                <w:noProof/>
                <w:webHidden/>
              </w:rPr>
              <w:fldChar w:fldCharType="separate"/>
            </w:r>
            <w:r>
              <w:rPr>
                <w:noProof/>
                <w:webHidden/>
              </w:rPr>
              <w:t>12</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5" w:history="1">
            <w:r w:rsidRPr="003E199F">
              <w:rPr>
                <w:rStyle w:val="Hyperlink"/>
                <w:noProof/>
              </w:rPr>
              <w:t>3.2</w:t>
            </w:r>
            <w:r>
              <w:rPr>
                <w:rFonts w:asciiTheme="minorHAnsi" w:eastAsiaTheme="minorEastAsia" w:hAnsiTheme="minorHAnsi" w:cstheme="minorBidi"/>
                <w:noProof/>
                <w:sz w:val="22"/>
                <w:szCs w:val="22"/>
                <w:lang w:eastAsia="nl-BE"/>
              </w:rPr>
              <w:tab/>
            </w:r>
            <w:r w:rsidRPr="003E199F">
              <w:rPr>
                <w:rStyle w:val="Hyperlink"/>
                <w:noProof/>
              </w:rPr>
              <w:t>Bewoonbare oppervlakte</w:t>
            </w:r>
            <w:r>
              <w:rPr>
                <w:noProof/>
                <w:webHidden/>
              </w:rPr>
              <w:tab/>
            </w:r>
            <w:r>
              <w:rPr>
                <w:noProof/>
                <w:webHidden/>
              </w:rPr>
              <w:fldChar w:fldCharType="begin"/>
            </w:r>
            <w:r>
              <w:rPr>
                <w:noProof/>
                <w:webHidden/>
              </w:rPr>
              <w:instrText xml:space="preserve"> PAGEREF _Toc464122175 \h </w:instrText>
            </w:r>
            <w:r>
              <w:rPr>
                <w:noProof/>
                <w:webHidden/>
              </w:rPr>
            </w:r>
            <w:r>
              <w:rPr>
                <w:noProof/>
                <w:webHidden/>
              </w:rPr>
              <w:fldChar w:fldCharType="separate"/>
            </w:r>
            <w:r>
              <w:rPr>
                <w:noProof/>
                <w:webHidden/>
              </w:rPr>
              <w:t>14</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6" w:history="1">
            <w:r w:rsidRPr="003E199F">
              <w:rPr>
                <w:rStyle w:val="Hyperlink"/>
                <w:noProof/>
              </w:rPr>
              <w:t>3.3</w:t>
            </w:r>
            <w:r>
              <w:rPr>
                <w:rFonts w:asciiTheme="minorHAnsi" w:eastAsiaTheme="minorEastAsia" w:hAnsiTheme="minorHAnsi" w:cstheme="minorBidi"/>
                <w:noProof/>
                <w:sz w:val="22"/>
                <w:szCs w:val="22"/>
                <w:lang w:eastAsia="nl-BE"/>
              </w:rPr>
              <w:tab/>
            </w:r>
            <w:r w:rsidRPr="003E199F">
              <w:rPr>
                <w:rStyle w:val="Hyperlink"/>
                <w:noProof/>
              </w:rPr>
              <w:t>Bewoonbare oppervlakte en slaapkamers</w:t>
            </w:r>
            <w:r>
              <w:rPr>
                <w:noProof/>
                <w:webHidden/>
              </w:rPr>
              <w:tab/>
            </w:r>
            <w:r>
              <w:rPr>
                <w:noProof/>
                <w:webHidden/>
              </w:rPr>
              <w:fldChar w:fldCharType="begin"/>
            </w:r>
            <w:r>
              <w:rPr>
                <w:noProof/>
                <w:webHidden/>
              </w:rPr>
              <w:instrText xml:space="preserve"> PAGEREF _Toc464122176 \h </w:instrText>
            </w:r>
            <w:r>
              <w:rPr>
                <w:noProof/>
                <w:webHidden/>
              </w:rPr>
            </w:r>
            <w:r>
              <w:rPr>
                <w:noProof/>
                <w:webHidden/>
              </w:rPr>
              <w:fldChar w:fldCharType="separate"/>
            </w:r>
            <w:r>
              <w:rPr>
                <w:noProof/>
                <w:webHidden/>
              </w:rPr>
              <w:t>16</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7" w:history="1">
            <w:r w:rsidRPr="003E199F">
              <w:rPr>
                <w:rStyle w:val="Hyperlink"/>
                <w:noProof/>
              </w:rPr>
              <w:t>3.4</w:t>
            </w:r>
            <w:r>
              <w:rPr>
                <w:rFonts w:asciiTheme="minorHAnsi" w:eastAsiaTheme="minorEastAsia" w:hAnsiTheme="minorHAnsi" w:cstheme="minorBidi"/>
                <w:noProof/>
                <w:sz w:val="22"/>
                <w:szCs w:val="22"/>
                <w:lang w:eastAsia="nl-BE"/>
              </w:rPr>
              <w:tab/>
            </w:r>
            <w:r w:rsidRPr="003E199F">
              <w:rPr>
                <w:rStyle w:val="Hyperlink"/>
                <w:noProof/>
              </w:rPr>
              <w:t>Conclusie</w:t>
            </w:r>
            <w:r>
              <w:rPr>
                <w:noProof/>
                <w:webHidden/>
              </w:rPr>
              <w:tab/>
            </w:r>
            <w:r>
              <w:rPr>
                <w:noProof/>
                <w:webHidden/>
              </w:rPr>
              <w:fldChar w:fldCharType="begin"/>
            </w:r>
            <w:r>
              <w:rPr>
                <w:noProof/>
                <w:webHidden/>
              </w:rPr>
              <w:instrText xml:space="preserve"> PAGEREF _Toc464122177 \h </w:instrText>
            </w:r>
            <w:r>
              <w:rPr>
                <w:noProof/>
                <w:webHidden/>
              </w:rPr>
            </w:r>
            <w:r>
              <w:rPr>
                <w:noProof/>
                <w:webHidden/>
              </w:rPr>
              <w:fldChar w:fldCharType="separate"/>
            </w:r>
            <w:r>
              <w:rPr>
                <w:noProof/>
                <w:webHidden/>
              </w:rPr>
              <w:t>17</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78" w:history="1">
            <w:r w:rsidRPr="003E199F">
              <w:rPr>
                <w:rStyle w:val="Hyperlink"/>
                <w:noProof/>
              </w:rPr>
              <w:t>4.</w:t>
            </w:r>
            <w:r>
              <w:rPr>
                <w:rFonts w:asciiTheme="minorHAnsi" w:eastAsiaTheme="minorEastAsia" w:hAnsiTheme="minorHAnsi" w:cstheme="minorBidi"/>
                <w:b w:val="0"/>
                <w:noProof/>
                <w:sz w:val="22"/>
                <w:szCs w:val="22"/>
                <w:lang w:eastAsia="nl-BE"/>
              </w:rPr>
              <w:tab/>
            </w:r>
            <w:r w:rsidRPr="003E199F">
              <w:rPr>
                <w:rStyle w:val="Hyperlink"/>
                <w:noProof/>
              </w:rPr>
              <w:t>Ligging en sociale huisvesting</w:t>
            </w:r>
            <w:r>
              <w:rPr>
                <w:noProof/>
                <w:webHidden/>
              </w:rPr>
              <w:tab/>
            </w:r>
            <w:r>
              <w:rPr>
                <w:noProof/>
                <w:webHidden/>
              </w:rPr>
              <w:fldChar w:fldCharType="begin"/>
            </w:r>
            <w:r>
              <w:rPr>
                <w:noProof/>
                <w:webHidden/>
              </w:rPr>
              <w:instrText xml:space="preserve"> PAGEREF _Toc464122178 \h </w:instrText>
            </w:r>
            <w:r>
              <w:rPr>
                <w:noProof/>
                <w:webHidden/>
              </w:rPr>
            </w:r>
            <w:r>
              <w:rPr>
                <w:noProof/>
                <w:webHidden/>
              </w:rPr>
              <w:fldChar w:fldCharType="separate"/>
            </w:r>
            <w:r>
              <w:rPr>
                <w:noProof/>
                <w:webHidden/>
              </w:rPr>
              <w:t>18</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79" w:history="1">
            <w:r w:rsidRPr="003E199F">
              <w:rPr>
                <w:rStyle w:val="Hyperlink"/>
                <w:noProof/>
              </w:rPr>
              <w:t>4.1</w:t>
            </w:r>
            <w:r>
              <w:rPr>
                <w:rFonts w:asciiTheme="minorHAnsi" w:eastAsiaTheme="minorEastAsia" w:hAnsiTheme="minorHAnsi" w:cstheme="minorBidi"/>
                <w:noProof/>
                <w:sz w:val="22"/>
                <w:szCs w:val="22"/>
                <w:lang w:eastAsia="nl-BE"/>
              </w:rPr>
              <w:tab/>
            </w:r>
            <w:r w:rsidRPr="003E199F">
              <w:rPr>
                <w:rStyle w:val="Hyperlink"/>
                <w:noProof/>
              </w:rPr>
              <w:t>Algemene liggingseffecten</w:t>
            </w:r>
            <w:r>
              <w:rPr>
                <w:noProof/>
                <w:webHidden/>
              </w:rPr>
              <w:tab/>
            </w:r>
            <w:r>
              <w:rPr>
                <w:noProof/>
                <w:webHidden/>
              </w:rPr>
              <w:fldChar w:fldCharType="begin"/>
            </w:r>
            <w:r>
              <w:rPr>
                <w:noProof/>
                <w:webHidden/>
              </w:rPr>
              <w:instrText xml:space="preserve"> PAGEREF _Toc464122179 \h </w:instrText>
            </w:r>
            <w:r>
              <w:rPr>
                <w:noProof/>
                <w:webHidden/>
              </w:rPr>
            </w:r>
            <w:r>
              <w:rPr>
                <w:noProof/>
                <w:webHidden/>
              </w:rPr>
              <w:fldChar w:fldCharType="separate"/>
            </w:r>
            <w:r>
              <w:rPr>
                <w:noProof/>
                <w:webHidden/>
              </w:rPr>
              <w:t>18</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80" w:history="1">
            <w:r w:rsidRPr="003E199F">
              <w:rPr>
                <w:rStyle w:val="Hyperlink"/>
                <w:noProof/>
              </w:rPr>
              <w:t>4.2</w:t>
            </w:r>
            <w:r>
              <w:rPr>
                <w:rFonts w:asciiTheme="minorHAnsi" w:eastAsiaTheme="minorEastAsia" w:hAnsiTheme="minorHAnsi" w:cstheme="minorBidi"/>
                <w:noProof/>
                <w:sz w:val="22"/>
                <w:szCs w:val="22"/>
                <w:lang w:eastAsia="nl-BE"/>
              </w:rPr>
              <w:tab/>
            </w:r>
            <w:r w:rsidRPr="003E199F">
              <w:rPr>
                <w:rStyle w:val="Hyperlink"/>
                <w:noProof/>
              </w:rPr>
              <w:t>Invloed aanwezigheid sociale huurwoningen</w:t>
            </w:r>
            <w:r>
              <w:rPr>
                <w:noProof/>
                <w:webHidden/>
              </w:rPr>
              <w:tab/>
            </w:r>
            <w:r>
              <w:rPr>
                <w:noProof/>
                <w:webHidden/>
              </w:rPr>
              <w:fldChar w:fldCharType="begin"/>
            </w:r>
            <w:r>
              <w:rPr>
                <w:noProof/>
                <w:webHidden/>
              </w:rPr>
              <w:instrText xml:space="preserve"> PAGEREF _Toc464122180 \h </w:instrText>
            </w:r>
            <w:r>
              <w:rPr>
                <w:noProof/>
                <w:webHidden/>
              </w:rPr>
            </w:r>
            <w:r>
              <w:rPr>
                <w:noProof/>
                <w:webHidden/>
              </w:rPr>
              <w:fldChar w:fldCharType="separate"/>
            </w:r>
            <w:r>
              <w:rPr>
                <w:noProof/>
                <w:webHidden/>
              </w:rPr>
              <w:t>19</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81" w:history="1">
            <w:r w:rsidRPr="003E199F">
              <w:rPr>
                <w:rStyle w:val="Hyperlink"/>
                <w:noProof/>
              </w:rPr>
              <w:t>5.</w:t>
            </w:r>
            <w:r>
              <w:rPr>
                <w:rFonts w:asciiTheme="minorHAnsi" w:eastAsiaTheme="minorEastAsia" w:hAnsiTheme="minorHAnsi" w:cstheme="minorBidi"/>
                <w:b w:val="0"/>
                <w:noProof/>
                <w:sz w:val="22"/>
                <w:szCs w:val="22"/>
                <w:lang w:eastAsia="nl-BE"/>
              </w:rPr>
              <w:tab/>
            </w:r>
            <w:r w:rsidRPr="003E199F">
              <w:rPr>
                <w:rStyle w:val="Hyperlink"/>
                <w:noProof/>
              </w:rPr>
              <w:t>Hoe accuraat is de Huurschatter bij lagere huurprijzen</w:t>
            </w:r>
            <w:r>
              <w:rPr>
                <w:noProof/>
                <w:webHidden/>
              </w:rPr>
              <w:tab/>
            </w:r>
            <w:r>
              <w:rPr>
                <w:noProof/>
                <w:webHidden/>
              </w:rPr>
              <w:fldChar w:fldCharType="begin"/>
            </w:r>
            <w:r>
              <w:rPr>
                <w:noProof/>
                <w:webHidden/>
              </w:rPr>
              <w:instrText xml:space="preserve"> PAGEREF _Toc464122181 \h </w:instrText>
            </w:r>
            <w:r>
              <w:rPr>
                <w:noProof/>
                <w:webHidden/>
              </w:rPr>
            </w:r>
            <w:r>
              <w:rPr>
                <w:noProof/>
                <w:webHidden/>
              </w:rPr>
              <w:fldChar w:fldCharType="separate"/>
            </w:r>
            <w:r>
              <w:rPr>
                <w:noProof/>
                <w:webHidden/>
              </w:rPr>
              <w:t>22</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82" w:history="1">
            <w:r w:rsidRPr="003E199F">
              <w:rPr>
                <w:rStyle w:val="Hyperlink"/>
                <w:noProof/>
              </w:rPr>
              <w:t>5.1</w:t>
            </w:r>
            <w:r>
              <w:rPr>
                <w:rFonts w:asciiTheme="minorHAnsi" w:eastAsiaTheme="minorEastAsia" w:hAnsiTheme="minorHAnsi" w:cstheme="minorBidi"/>
                <w:noProof/>
                <w:sz w:val="22"/>
                <w:szCs w:val="22"/>
                <w:lang w:eastAsia="nl-BE"/>
              </w:rPr>
              <w:tab/>
            </w:r>
            <w:r w:rsidRPr="003E199F">
              <w:rPr>
                <w:rStyle w:val="Hyperlink"/>
                <w:noProof/>
              </w:rPr>
              <w:t>Verdeling huidige sociale huurmarktwaarden</w:t>
            </w:r>
            <w:r>
              <w:rPr>
                <w:noProof/>
                <w:webHidden/>
              </w:rPr>
              <w:tab/>
            </w:r>
            <w:r>
              <w:rPr>
                <w:noProof/>
                <w:webHidden/>
              </w:rPr>
              <w:fldChar w:fldCharType="begin"/>
            </w:r>
            <w:r>
              <w:rPr>
                <w:noProof/>
                <w:webHidden/>
              </w:rPr>
              <w:instrText xml:space="preserve"> PAGEREF _Toc464122182 \h </w:instrText>
            </w:r>
            <w:r>
              <w:rPr>
                <w:noProof/>
                <w:webHidden/>
              </w:rPr>
            </w:r>
            <w:r>
              <w:rPr>
                <w:noProof/>
                <w:webHidden/>
              </w:rPr>
              <w:fldChar w:fldCharType="separate"/>
            </w:r>
            <w:r>
              <w:rPr>
                <w:noProof/>
                <w:webHidden/>
              </w:rPr>
              <w:t>22</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83" w:history="1">
            <w:r w:rsidRPr="003E199F">
              <w:rPr>
                <w:rStyle w:val="Hyperlink"/>
                <w:noProof/>
              </w:rPr>
              <w:t>5.2</w:t>
            </w:r>
            <w:r>
              <w:rPr>
                <w:rFonts w:asciiTheme="minorHAnsi" w:eastAsiaTheme="minorEastAsia" w:hAnsiTheme="minorHAnsi" w:cstheme="minorBidi"/>
                <w:noProof/>
                <w:sz w:val="22"/>
                <w:szCs w:val="22"/>
                <w:lang w:eastAsia="nl-BE"/>
              </w:rPr>
              <w:tab/>
            </w:r>
            <w:r w:rsidRPr="003E199F">
              <w:rPr>
                <w:rStyle w:val="Hyperlink"/>
                <w:noProof/>
              </w:rPr>
              <w:t>De werkelijke, de objectieve en de geschatte huurprijs</w:t>
            </w:r>
            <w:r>
              <w:rPr>
                <w:noProof/>
                <w:webHidden/>
              </w:rPr>
              <w:tab/>
            </w:r>
            <w:r>
              <w:rPr>
                <w:noProof/>
                <w:webHidden/>
              </w:rPr>
              <w:fldChar w:fldCharType="begin"/>
            </w:r>
            <w:r>
              <w:rPr>
                <w:noProof/>
                <w:webHidden/>
              </w:rPr>
              <w:instrText xml:space="preserve"> PAGEREF _Toc464122183 \h </w:instrText>
            </w:r>
            <w:r>
              <w:rPr>
                <w:noProof/>
                <w:webHidden/>
              </w:rPr>
            </w:r>
            <w:r>
              <w:rPr>
                <w:noProof/>
                <w:webHidden/>
              </w:rPr>
              <w:fldChar w:fldCharType="separate"/>
            </w:r>
            <w:r>
              <w:rPr>
                <w:noProof/>
                <w:webHidden/>
              </w:rPr>
              <w:t>22</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84" w:history="1">
            <w:r w:rsidRPr="003E199F">
              <w:rPr>
                <w:rStyle w:val="Hyperlink"/>
                <w:noProof/>
              </w:rPr>
              <w:t>5.3</w:t>
            </w:r>
            <w:r>
              <w:rPr>
                <w:rFonts w:asciiTheme="minorHAnsi" w:eastAsiaTheme="minorEastAsia" w:hAnsiTheme="minorHAnsi" w:cstheme="minorBidi"/>
                <w:noProof/>
                <w:sz w:val="22"/>
                <w:szCs w:val="22"/>
                <w:lang w:eastAsia="nl-BE"/>
              </w:rPr>
              <w:tab/>
            </w:r>
            <w:r w:rsidRPr="003E199F">
              <w:rPr>
                <w:rStyle w:val="Hyperlink"/>
                <w:noProof/>
              </w:rPr>
              <w:t>Reële sociale huurprijs</w:t>
            </w:r>
            <w:r>
              <w:rPr>
                <w:noProof/>
                <w:webHidden/>
              </w:rPr>
              <w:tab/>
            </w:r>
            <w:r>
              <w:rPr>
                <w:noProof/>
                <w:webHidden/>
              </w:rPr>
              <w:fldChar w:fldCharType="begin"/>
            </w:r>
            <w:r>
              <w:rPr>
                <w:noProof/>
                <w:webHidden/>
              </w:rPr>
              <w:instrText xml:space="preserve"> PAGEREF _Toc464122184 \h </w:instrText>
            </w:r>
            <w:r>
              <w:rPr>
                <w:noProof/>
                <w:webHidden/>
              </w:rPr>
            </w:r>
            <w:r>
              <w:rPr>
                <w:noProof/>
                <w:webHidden/>
              </w:rPr>
              <w:fldChar w:fldCharType="separate"/>
            </w:r>
            <w:r>
              <w:rPr>
                <w:noProof/>
                <w:webHidden/>
              </w:rPr>
              <w:t>25</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85" w:history="1">
            <w:r w:rsidRPr="003E199F">
              <w:rPr>
                <w:rStyle w:val="Hyperlink"/>
                <w:noProof/>
              </w:rPr>
              <w:t>6.</w:t>
            </w:r>
            <w:r>
              <w:rPr>
                <w:rFonts w:asciiTheme="minorHAnsi" w:eastAsiaTheme="minorEastAsia" w:hAnsiTheme="minorHAnsi" w:cstheme="minorBidi"/>
                <w:b w:val="0"/>
                <w:noProof/>
                <w:sz w:val="22"/>
                <w:szCs w:val="22"/>
                <w:lang w:eastAsia="nl-BE"/>
              </w:rPr>
              <w:tab/>
            </w:r>
            <w:r w:rsidRPr="003E199F">
              <w:rPr>
                <w:rStyle w:val="Hyperlink"/>
                <w:noProof/>
              </w:rPr>
              <w:t>Sociale huurmarktwaarden volgens Huurschatter en vergelijking met huidige sociale huurmarktwaarden</w:t>
            </w:r>
            <w:r>
              <w:rPr>
                <w:noProof/>
                <w:webHidden/>
              </w:rPr>
              <w:tab/>
            </w:r>
            <w:r>
              <w:rPr>
                <w:noProof/>
                <w:webHidden/>
              </w:rPr>
              <w:fldChar w:fldCharType="begin"/>
            </w:r>
            <w:r>
              <w:rPr>
                <w:noProof/>
                <w:webHidden/>
              </w:rPr>
              <w:instrText xml:space="preserve"> PAGEREF _Toc464122185 \h </w:instrText>
            </w:r>
            <w:r>
              <w:rPr>
                <w:noProof/>
                <w:webHidden/>
              </w:rPr>
            </w:r>
            <w:r>
              <w:rPr>
                <w:noProof/>
                <w:webHidden/>
              </w:rPr>
              <w:fldChar w:fldCharType="separate"/>
            </w:r>
            <w:r>
              <w:rPr>
                <w:noProof/>
                <w:webHidden/>
              </w:rPr>
              <w:t>28</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86" w:history="1">
            <w:r w:rsidRPr="003E199F">
              <w:rPr>
                <w:rStyle w:val="Hyperlink"/>
                <w:noProof/>
              </w:rPr>
              <w:t>6.1</w:t>
            </w:r>
            <w:r>
              <w:rPr>
                <w:rFonts w:asciiTheme="minorHAnsi" w:eastAsiaTheme="minorEastAsia" w:hAnsiTheme="minorHAnsi" w:cstheme="minorBidi"/>
                <w:noProof/>
                <w:sz w:val="22"/>
                <w:szCs w:val="22"/>
                <w:lang w:eastAsia="nl-BE"/>
              </w:rPr>
              <w:tab/>
            </w:r>
            <w:r w:rsidRPr="003E199F">
              <w:rPr>
                <w:rStyle w:val="Hyperlink"/>
                <w:noProof/>
              </w:rPr>
              <w:t>Staal Notaris 2008</w:t>
            </w:r>
            <w:r>
              <w:rPr>
                <w:noProof/>
                <w:webHidden/>
              </w:rPr>
              <w:tab/>
            </w:r>
            <w:r>
              <w:rPr>
                <w:noProof/>
                <w:webHidden/>
              </w:rPr>
              <w:fldChar w:fldCharType="begin"/>
            </w:r>
            <w:r>
              <w:rPr>
                <w:noProof/>
                <w:webHidden/>
              </w:rPr>
              <w:instrText xml:space="preserve"> PAGEREF _Toc464122186 \h </w:instrText>
            </w:r>
            <w:r>
              <w:rPr>
                <w:noProof/>
                <w:webHidden/>
              </w:rPr>
            </w:r>
            <w:r>
              <w:rPr>
                <w:noProof/>
                <w:webHidden/>
              </w:rPr>
              <w:fldChar w:fldCharType="separate"/>
            </w:r>
            <w:r>
              <w:rPr>
                <w:noProof/>
                <w:webHidden/>
              </w:rPr>
              <w:t>28</w:t>
            </w:r>
            <w:r>
              <w:rPr>
                <w:noProof/>
                <w:webHidden/>
              </w:rPr>
              <w:fldChar w:fldCharType="end"/>
            </w:r>
          </w:hyperlink>
        </w:p>
        <w:p w:rsidR="00857C4E" w:rsidRDefault="00857C4E">
          <w:pPr>
            <w:pStyle w:val="TOC3"/>
            <w:tabs>
              <w:tab w:val="left" w:pos="1540"/>
            </w:tabs>
            <w:rPr>
              <w:rFonts w:asciiTheme="minorHAnsi" w:eastAsiaTheme="minorEastAsia" w:hAnsiTheme="minorHAnsi" w:cstheme="minorBidi"/>
              <w:noProof/>
              <w:sz w:val="22"/>
              <w:szCs w:val="22"/>
              <w:lang w:eastAsia="nl-BE"/>
            </w:rPr>
          </w:pPr>
          <w:hyperlink w:anchor="_Toc464122187" w:history="1">
            <w:r w:rsidRPr="003E199F">
              <w:rPr>
                <w:rStyle w:val="Hyperlink"/>
                <w:noProof/>
              </w:rPr>
              <w:t>6.1.1</w:t>
            </w:r>
            <w:r>
              <w:rPr>
                <w:rFonts w:asciiTheme="minorHAnsi" w:eastAsiaTheme="minorEastAsia" w:hAnsiTheme="minorHAnsi" w:cstheme="minorBidi"/>
                <w:noProof/>
                <w:sz w:val="22"/>
                <w:szCs w:val="22"/>
                <w:lang w:eastAsia="nl-BE"/>
              </w:rPr>
              <w:tab/>
            </w:r>
            <w:r w:rsidRPr="003E199F">
              <w:rPr>
                <w:rStyle w:val="Hyperlink"/>
                <w:noProof/>
              </w:rPr>
              <w:t>eengezinswoningen</w:t>
            </w:r>
            <w:r>
              <w:rPr>
                <w:noProof/>
                <w:webHidden/>
              </w:rPr>
              <w:tab/>
            </w:r>
            <w:r>
              <w:rPr>
                <w:noProof/>
                <w:webHidden/>
              </w:rPr>
              <w:fldChar w:fldCharType="begin"/>
            </w:r>
            <w:r>
              <w:rPr>
                <w:noProof/>
                <w:webHidden/>
              </w:rPr>
              <w:instrText xml:space="preserve"> PAGEREF _Toc464122187 \h </w:instrText>
            </w:r>
            <w:r>
              <w:rPr>
                <w:noProof/>
                <w:webHidden/>
              </w:rPr>
            </w:r>
            <w:r>
              <w:rPr>
                <w:noProof/>
                <w:webHidden/>
              </w:rPr>
              <w:fldChar w:fldCharType="separate"/>
            </w:r>
            <w:r>
              <w:rPr>
                <w:noProof/>
                <w:webHidden/>
              </w:rPr>
              <w:t>28</w:t>
            </w:r>
            <w:r>
              <w:rPr>
                <w:noProof/>
                <w:webHidden/>
              </w:rPr>
              <w:fldChar w:fldCharType="end"/>
            </w:r>
          </w:hyperlink>
        </w:p>
        <w:p w:rsidR="00857C4E" w:rsidRDefault="00857C4E">
          <w:pPr>
            <w:pStyle w:val="TOC3"/>
            <w:tabs>
              <w:tab w:val="left" w:pos="1540"/>
            </w:tabs>
            <w:rPr>
              <w:rFonts w:asciiTheme="minorHAnsi" w:eastAsiaTheme="minorEastAsia" w:hAnsiTheme="minorHAnsi" w:cstheme="minorBidi"/>
              <w:noProof/>
              <w:sz w:val="22"/>
              <w:szCs w:val="22"/>
              <w:lang w:eastAsia="nl-BE"/>
            </w:rPr>
          </w:pPr>
          <w:hyperlink w:anchor="_Toc464122188" w:history="1">
            <w:r w:rsidRPr="003E199F">
              <w:rPr>
                <w:rStyle w:val="Hyperlink"/>
                <w:noProof/>
              </w:rPr>
              <w:t>6.1.2</w:t>
            </w:r>
            <w:r>
              <w:rPr>
                <w:rFonts w:asciiTheme="minorHAnsi" w:eastAsiaTheme="minorEastAsia" w:hAnsiTheme="minorHAnsi" w:cstheme="minorBidi"/>
                <w:noProof/>
                <w:sz w:val="22"/>
                <w:szCs w:val="22"/>
                <w:lang w:eastAsia="nl-BE"/>
              </w:rPr>
              <w:tab/>
            </w:r>
            <w:r w:rsidRPr="003E199F">
              <w:rPr>
                <w:rStyle w:val="Hyperlink"/>
                <w:noProof/>
              </w:rPr>
              <w:t>Appartementen</w:t>
            </w:r>
            <w:r>
              <w:rPr>
                <w:noProof/>
                <w:webHidden/>
              </w:rPr>
              <w:tab/>
            </w:r>
            <w:r>
              <w:rPr>
                <w:noProof/>
                <w:webHidden/>
              </w:rPr>
              <w:fldChar w:fldCharType="begin"/>
            </w:r>
            <w:r>
              <w:rPr>
                <w:noProof/>
                <w:webHidden/>
              </w:rPr>
              <w:instrText xml:space="preserve"> PAGEREF _Toc464122188 \h </w:instrText>
            </w:r>
            <w:r>
              <w:rPr>
                <w:noProof/>
                <w:webHidden/>
              </w:rPr>
            </w:r>
            <w:r>
              <w:rPr>
                <w:noProof/>
                <w:webHidden/>
              </w:rPr>
              <w:fldChar w:fldCharType="separate"/>
            </w:r>
            <w:r>
              <w:rPr>
                <w:noProof/>
                <w:webHidden/>
              </w:rPr>
              <w:t>30</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89" w:history="1">
            <w:r w:rsidRPr="003E199F">
              <w:rPr>
                <w:rStyle w:val="Hyperlink"/>
                <w:noProof/>
              </w:rPr>
              <w:t>6.2</w:t>
            </w:r>
            <w:r>
              <w:rPr>
                <w:rFonts w:asciiTheme="minorHAnsi" w:eastAsiaTheme="minorEastAsia" w:hAnsiTheme="minorHAnsi" w:cstheme="minorBidi"/>
                <w:noProof/>
                <w:sz w:val="22"/>
                <w:szCs w:val="22"/>
                <w:lang w:eastAsia="nl-BE"/>
              </w:rPr>
              <w:tab/>
            </w:r>
            <w:r w:rsidRPr="003E199F">
              <w:rPr>
                <w:rStyle w:val="Hyperlink"/>
                <w:noProof/>
              </w:rPr>
              <w:t>SHM Staal 2016</w:t>
            </w:r>
            <w:r>
              <w:rPr>
                <w:noProof/>
                <w:webHidden/>
              </w:rPr>
              <w:tab/>
            </w:r>
            <w:r>
              <w:rPr>
                <w:noProof/>
                <w:webHidden/>
              </w:rPr>
              <w:fldChar w:fldCharType="begin"/>
            </w:r>
            <w:r>
              <w:rPr>
                <w:noProof/>
                <w:webHidden/>
              </w:rPr>
              <w:instrText xml:space="preserve"> PAGEREF _Toc464122189 \h </w:instrText>
            </w:r>
            <w:r>
              <w:rPr>
                <w:noProof/>
                <w:webHidden/>
              </w:rPr>
            </w:r>
            <w:r>
              <w:rPr>
                <w:noProof/>
                <w:webHidden/>
              </w:rPr>
              <w:fldChar w:fldCharType="separate"/>
            </w:r>
            <w:r>
              <w:rPr>
                <w:noProof/>
                <w:webHidden/>
              </w:rPr>
              <w:t>33</w:t>
            </w:r>
            <w:r>
              <w:rPr>
                <w:noProof/>
                <w:webHidden/>
              </w:rPr>
              <w:fldChar w:fldCharType="end"/>
            </w:r>
          </w:hyperlink>
        </w:p>
        <w:p w:rsidR="00857C4E" w:rsidRDefault="00857C4E">
          <w:pPr>
            <w:pStyle w:val="TOC3"/>
            <w:tabs>
              <w:tab w:val="left" w:pos="1540"/>
            </w:tabs>
            <w:rPr>
              <w:rFonts w:asciiTheme="minorHAnsi" w:eastAsiaTheme="minorEastAsia" w:hAnsiTheme="minorHAnsi" w:cstheme="minorBidi"/>
              <w:noProof/>
              <w:sz w:val="22"/>
              <w:szCs w:val="22"/>
              <w:lang w:eastAsia="nl-BE"/>
            </w:rPr>
          </w:pPr>
          <w:hyperlink w:anchor="_Toc464122190" w:history="1">
            <w:r w:rsidRPr="003E199F">
              <w:rPr>
                <w:rStyle w:val="Hyperlink"/>
                <w:noProof/>
              </w:rPr>
              <w:t>6.2.1</w:t>
            </w:r>
            <w:r>
              <w:rPr>
                <w:rFonts w:asciiTheme="minorHAnsi" w:eastAsiaTheme="minorEastAsia" w:hAnsiTheme="minorHAnsi" w:cstheme="minorBidi"/>
                <w:noProof/>
                <w:sz w:val="22"/>
                <w:szCs w:val="22"/>
                <w:lang w:eastAsia="nl-BE"/>
              </w:rPr>
              <w:tab/>
            </w:r>
            <w:r w:rsidRPr="003E199F">
              <w:rPr>
                <w:rStyle w:val="Hyperlink"/>
                <w:noProof/>
              </w:rPr>
              <w:t>Eengezinswoningen</w:t>
            </w:r>
            <w:r>
              <w:rPr>
                <w:noProof/>
                <w:webHidden/>
              </w:rPr>
              <w:tab/>
            </w:r>
            <w:r>
              <w:rPr>
                <w:noProof/>
                <w:webHidden/>
              </w:rPr>
              <w:fldChar w:fldCharType="begin"/>
            </w:r>
            <w:r>
              <w:rPr>
                <w:noProof/>
                <w:webHidden/>
              </w:rPr>
              <w:instrText xml:space="preserve"> PAGEREF _Toc464122190 \h </w:instrText>
            </w:r>
            <w:r>
              <w:rPr>
                <w:noProof/>
                <w:webHidden/>
              </w:rPr>
            </w:r>
            <w:r>
              <w:rPr>
                <w:noProof/>
                <w:webHidden/>
              </w:rPr>
              <w:fldChar w:fldCharType="separate"/>
            </w:r>
            <w:r>
              <w:rPr>
                <w:noProof/>
                <w:webHidden/>
              </w:rPr>
              <w:t>33</w:t>
            </w:r>
            <w:r>
              <w:rPr>
                <w:noProof/>
                <w:webHidden/>
              </w:rPr>
              <w:fldChar w:fldCharType="end"/>
            </w:r>
          </w:hyperlink>
        </w:p>
        <w:p w:rsidR="00857C4E" w:rsidRDefault="00857C4E">
          <w:pPr>
            <w:pStyle w:val="TOC3"/>
            <w:tabs>
              <w:tab w:val="left" w:pos="1540"/>
            </w:tabs>
            <w:rPr>
              <w:rFonts w:asciiTheme="minorHAnsi" w:eastAsiaTheme="minorEastAsia" w:hAnsiTheme="minorHAnsi" w:cstheme="minorBidi"/>
              <w:noProof/>
              <w:sz w:val="22"/>
              <w:szCs w:val="22"/>
              <w:lang w:eastAsia="nl-BE"/>
            </w:rPr>
          </w:pPr>
          <w:hyperlink w:anchor="_Toc464122191" w:history="1">
            <w:r w:rsidRPr="003E199F">
              <w:rPr>
                <w:rStyle w:val="Hyperlink"/>
                <w:noProof/>
              </w:rPr>
              <w:t>6.2.2</w:t>
            </w:r>
            <w:r>
              <w:rPr>
                <w:rFonts w:asciiTheme="minorHAnsi" w:eastAsiaTheme="minorEastAsia" w:hAnsiTheme="minorHAnsi" w:cstheme="minorBidi"/>
                <w:noProof/>
                <w:sz w:val="22"/>
                <w:szCs w:val="22"/>
                <w:lang w:eastAsia="nl-BE"/>
              </w:rPr>
              <w:tab/>
            </w:r>
            <w:r w:rsidRPr="003E199F">
              <w:rPr>
                <w:rStyle w:val="Hyperlink"/>
                <w:noProof/>
              </w:rPr>
              <w:t>Appartementen</w:t>
            </w:r>
            <w:r>
              <w:rPr>
                <w:noProof/>
                <w:webHidden/>
              </w:rPr>
              <w:tab/>
            </w:r>
            <w:r>
              <w:rPr>
                <w:noProof/>
                <w:webHidden/>
              </w:rPr>
              <w:fldChar w:fldCharType="begin"/>
            </w:r>
            <w:r>
              <w:rPr>
                <w:noProof/>
                <w:webHidden/>
              </w:rPr>
              <w:instrText xml:space="preserve"> PAGEREF _Toc464122191 \h </w:instrText>
            </w:r>
            <w:r>
              <w:rPr>
                <w:noProof/>
                <w:webHidden/>
              </w:rPr>
            </w:r>
            <w:r>
              <w:rPr>
                <w:noProof/>
                <w:webHidden/>
              </w:rPr>
              <w:fldChar w:fldCharType="separate"/>
            </w:r>
            <w:r>
              <w:rPr>
                <w:noProof/>
                <w:webHidden/>
              </w:rPr>
              <w:t>33</w:t>
            </w:r>
            <w:r>
              <w:rPr>
                <w:noProof/>
                <w:webHidden/>
              </w:rPr>
              <w:fldChar w:fldCharType="end"/>
            </w:r>
          </w:hyperlink>
        </w:p>
        <w:p w:rsidR="00857C4E" w:rsidRDefault="00857C4E">
          <w:pPr>
            <w:pStyle w:val="TOC2"/>
            <w:tabs>
              <w:tab w:val="left" w:pos="1276"/>
            </w:tabs>
            <w:rPr>
              <w:rFonts w:asciiTheme="minorHAnsi" w:eastAsiaTheme="minorEastAsia" w:hAnsiTheme="minorHAnsi" w:cstheme="minorBidi"/>
              <w:noProof/>
              <w:sz w:val="22"/>
              <w:szCs w:val="22"/>
              <w:lang w:eastAsia="nl-BE"/>
            </w:rPr>
          </w:pPr>
          <w:hyperlink w:anchor="_Toc464122192" w:history="1">
            <w:r w:rsidRPr="003E199F">
              <w:rPr>
                <w:rStyle w:val="Hyperlink"/>
                <w:noProof/>
              </w:rPr>
              <w:t>6.3</w:t>
            </w:r>
            <w:r>
              <w:rPr>
                <w:rFonts w:asciiTheme="minorHAnsi" w:eastAsiaTheme="minorEastAsia" w:hAnsiTheme="minorHAnsi" w:cstheme="minorBidi"/>
                <w:noProof/>
                <w:sz w:val="22"/>
                <w:szCs w:val="22"/>
                <w:lang w:eastAsia="nl-BE"/>
              </w:rPr>
              <w:tab/>
            </w:r>
            <w:r w:rsidRPr="003E199F">
              <w:rPr>
                <w:rStyle w:val="Hyperlink"/>
                <w:noProof/>
              </w:rPr>
              <w:t>Conclusie en praktische toepassing</w:t>
            </w:r>
            <w:r>
              <w:rPr>
                <w:noProof/>
                <w:webHidden/>
              </w:rPr>
              <w:tab/>
            </w:r>
            <w:r>
              <w:rPr>
                <w:noProof/>
                <w:webHidden/>
              </w:rPr>
              <w:fldChar w:fldCharType="begin"/>
            </w:r>
            <w:r>
              <w:rPr>
                <w:noProof/>
                <w:webHidden/>
              </w:rPr>
              <w:instrText xml:space="preserve"> PAGEREF _Toc464122192 \h </w:instrText>
            </w:r>
            <w:r>
              <w:rPr>
                <w:noProof/>
                <w:webHidden/>
              </w:rPr>
            </w:r>
            <w:r>
              <w:rPr>
                <w:noProof/>
                <w:webHidden/>
              </w:rPr>
              <w:fldChar w:fldCharType="separate"/>
            </w:r>
            <w:r>
              <w:rPr>
                <w:noProof/>
                <w:webHidden/>
              </w:rPr>
              <w:t>34</w:t>
            </w:r>
            <w:r>
              <w:rPr>
                <w:noProof/>
                <w:webHidden/>
              </w:rPr>
              <w:fldChar w:fldCharType="end"/>
            </w:r>
          </w:hyperlink>
        </w:p>
        <w:p w:rsidR="00857C4E" w:rsidRDefault="00857C4E">
          <w:pPr>
            <w:pStyle w:val="TOC1"/>
            <w:rPr>
              <w:rFonts w:asciiTheme="minorHAnsi" w:eastAsiaTheme="minorEastAsia" w:hAnsiTheme="minorHAnsi" w:cstheme="minorBidi"/>
              <w:b w:val="0"/>
              <w:noProof/>
              <w:sz w:val="22"/>
              <w:szCs w:val="22"/>
              <w:lang w:eastAsia="nl-BE"/>
            </w:rPr>
          </w:pPr>
          <w:hyperlink w:anchor="_Toc464122193" w:history="1">
            <w:r w:rsidRPr="003E199F">
              <w:rPr>
                <w:rStyle w:val="Hyperlink"/>
                <w:noProof/>
              </w:rPr>
              <w:t>7.</w:t>
            </w:r>
            <w:r>
              <w:rPr>
                <w:rFonts w:asciiTheme="minorHAnsi" w:eastAsiaTheme="minorEastAsia" w:hAnsiTheme="minorHAnsi" w:cstheme="minorBidi"/>
                <w:b w:val="0"/>
                <w:noProof/>
                <w:sz w:val="22"/>
                <w:szCs w:val="22"/>
                <w:lang w:eastAsia="nl-BE"/>
              </w:rPr>
              <w:tab/>
            </w:r>
            <w:r w:rsidRPr="003E199F">
              <w:rPr>
                <w:rStyle w:val="Hyperlink"/>
                <w:noProof/>
              </w:rPr>
              <w:t>Kwaliteit en renovatie</w:t>
            </w:r>
            <w:r>
              <w:rPr>
                <w:noProof/>
                <w:webHidden/>
              </w:rPr>
              <w:tab/>
            </w:r>
            <w:r>
              <w:rPr>
                <w:noProof/>
                <w:webHidden/>
              </w:rPr>
              <w:fldChar w:fldCharType="begin"/>
            </w:r>
            <w:r>
              <w:rPr>
                <w:noProof/>
                <w:webHidden/>
              </w:rPr>
              <w:instrText xml:space="preserve"> PAGEREF _Toc464122193 \h </w:instrText>
            </w:r>
            <w:r>
              <w:rPr>
                <w:noProof/>
                <w:webHidden/>
              </w:rPr>
            </w:r>
            <w:r>
              <w:rPr>
                <w:noProof/>
                <w:webHidden/>
              </w:rPr>
              <w:fldChar w:fldCharType="separate"/>
            </w:r>
            <w:r>
              <w:rPr>
                <w:noProof/>
                <w:webHidden/>
              </w:rPr>
              <w:t>36</w:t>
            </w:r>
            <w:r>
              <w:rPr>
                <w:noProof/>
                <w:webHidden/>
              </w:rPr>
              <w:fldChar w:fldCharType="end"/>
            </w:r>
          </w:hyperlink>
        </w:p>
        <w:p w:rsidR="0008544A" w:rsidRDefault="0008544A" w:rsidP="0008544A">
          <w:r>
            <w:rPr>
              <w:b/>
              <w:bCs/>
              <w:noProof/>
            </w:rPr>
            <w:fldChar w:fldCharType="end"/>
          </w:r>
        </w:p>
      </w:sdtContent>
    </w:sdt>
    <w:p w:rsidR="0008544A" w:rsidRDefault="0008544A" w:rsidP="0008544A">
      <w:pPr>
        <w:spacing w:before="0" w:line="240" w:lineRule="auto"/>
        <w:jc w:val="left"/>
        <w:rPr>
          <w:rFonts w:ascii="Century Gothic" w:hAnsi="Century Gothic"/>
          <w:sz w:val="17"/>
        </w:rPr>
      </w:pPr>
      <w:r>
        <w:br w:type="page"/>
      </w:r>
    </w:p>
    <w:p w:rsidR="0008544A" w:rsidRPr="00A3694A" w:rsidRDefault="0008544A" w:rsidP="0008544A">
      <w:pPr>
        <w:pStyle w:val="Title"/>
        <w:rPr>
          <w:lang w:val="en-US"/>
        </w:rPr>
      </w:pPr>
      <w:bookmarkStart w:id="2" w:name="_Toc464122163"/>
      <w:proofErr w:type="spellStart"/>
      <w:r w:rsidRPr="00A3694A">
        <w:rPr>
          <w:lang w:val="en-US"/>
        </w:rPr>
        <w:lastRenderedPageBreak/>
        <w:t>Lijst</w:t>
      </w:r>
      <w:proofErr w:type="spellEnd"/>
      <w:r w:rsidRPr="00A3694A">
        <w:rPr>
          <w:lang w:val="en-US"/>
        </w:rPr>
        <w:t xml:space="preserve"> </w:t>
      </w:r>
      <w:proofErr w:type="spellStart"/>
      <w:r w:rsidRPr="00A3694A">
        <w:rPr>
          <w:lang w:val="en-US"/>
        </w:rPr>
        <w:t>figuren</w:t>
      </w:r>
      <w:bookmarkEnd w:id="2"/>
      <w:proofErr w:type="spellEnd"/>
    </w:p>
    <w:p w:rsidR="00301DB0" w:rsidRDefault="00301DB0">
      <w:pPr>
        <w:pStyle w:val="TableofFigures"/>
        <w:rPr>
          <w:rFonts w:asciiTheme="minorHAnsi" w:eastAsiaTheme="minorEastAsia" w:hAnsiTheme="minorHAnsi" w:cstheme="minorBidi"/>
          <w:noProof/>
          <w:sz w:val="22"/>
          <w:szCs w:val="22"/>
          <w:lang w:eastAsia="nl-BE"/>
        </w:rPr>
      </w:pPr>
      <w:r>
        <w:rPr>
          <w:rFonts w:ascii="Tahoma" w:hAnsi="Tahoma" w:cs="Tahoma"/>
          <w:sz w:val="14"/>
          <w:szCs w:val="14"/>
        </w:rPr>
        <w:fldChar w:fldCharType="begin"/>
      </w:r>
      <w:r>
        <w:rPr>
          <w:rFonts w:ascii="Tahoma" w:hAnsi="Tahoma" w:cs="Tahoma"/>
          <w:sz w:val="14"/>
          <w:szCs w:val="14"/>
        </w:rPr>
        <w:instrText xml:space="preserve"> TOC \h \z \c "Figuur" </w:instrText>
      </w:r>
      <w:r>
        <w:rPr>
          <w:rFonts w:ascii="Tahoma" w:hAnsi="Tahoma" w:cs="Tahoma"/>
          <w:sz w:val="14"/>
          <w:szCs w:val="14"/>
        </w:rPr>
        <w:fldChar w:fldCharType="separate"/>
      </w:r>
      <w:hyperlink w:anchor="_Toc463592528" w:history="1">
        <w:r w:rsidRPr="00CB4122">
          <w:rPr>
            <w:rStyle w:val="Hyperlink"/>
            <w:noProof/>
          </w:rPr>
          <w:t>Figuur 1</w:t>
        </w:r>
        <w:r>
          <w:rPr>
            <w:rFonts w:asciiTheme="minorHAnsi" w:eastAsiaTheme="minorEastAsia" w:hAnsiTheme="minorHAnsi" w:cstheme="minorBidi"/>
            <w:noProof/>
            <w:sz w:val="22"/>
            <w:szCs w:val="22"/>
            <w:lang w:eastAsia="nl-BE"/>
          </w:rPr>
          <w:tab/>
        </w:r>
        <w:r w:rsidRPr="00CB4122">
          <w:rPr>
            <w:rStyle w:val="Hyperlink"/>
            <w:noProof/>
          </w:rPr>
          <w:t>Vergelijking tussen aantal slaapkamers en oppervlakte, Huurschatter, Referentiestaal, Normen</w:t>
        </w:r>
        <w:r>
          <w:rPr>
            <w:noProof/>
            <w:webHidden/>
          </w:rPr>
          <w:tab/>
        </w:r>
        <w:r>
          <w:rPr>
            <w:noProof/>
            <w:webHidden/>
          </w:rPr>
          <w:fldChar w:fldCharType="begin"/>
        </w:r>
        <w:r>
          <w:rPr>
            <w:noProof/>
            <w:webHidden/>
          </w:rPr>
          <w:instrText xml:space="preserve"> PAGEREF _Toc463592528 \h </w:instrText>
        </w:r>
        <w:r>
          <w:rPr>
            <w:noProof/>
            <w:webHidden/>
          </w:rPr>
        </w:r>
        <w:r>
          <w:rPr>
            <w:noProof/>
            <w:webHidden/>
          </w:rPr>
          <w:fldChar w:fldCharType="separate"/>
        </w:r>
        <w:r>
          <w:rPr>
            <w:noProof/>
            <w:webHidden/>
          </w:rPr>
          <w:t>26</w:t>
        </w:r>
        <w:r>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29" w:history="1">
        <w:r w:rsidR="00301DB0" w:rsidRPr="00CB4122">
          <w:rPr>
            <w:rStyle w:val="Hyperlink"/>
            <w:noProof/>
          </w:rPr>
          <w:t>Figuur 2</w:t>
        </w:r>
        <w:r w:rsidR="00301DB0">
          <w:rPr>
            <w:rFonts w:asciiTheme="minorHAnsi" w:eastAsiaTheme="minorEastAsia" w:hAnsiTheme="minorHAnsi" w:cstheme="minorBidi"/>
            <w:noProof/>
            <w:sz w:val="22"/>
            <w:szCs w:val="22"/>
            <w:lang w:eastAsia="nl-BE"/>
          </w:rPr>
          <w:tab/>
        </w:r>
        <w:r w:rsidR="00301DB0" w:rsidRPr="00CB4122">
          <w:rPr>
            <w:rStyle w:val="Hyperlink"/>
            <w:noProof/>
          </w:rPr>
          <w:t>Locatie-effecten van woonhuizen volgens de 3 modelleringen</w:t>
        </w:r>
        <w:r w:rsidR="00301DB0">
          <w:rPr>
            <w:noProof/>
            <w:webHidden/>
          </w:rPr>
          <w:tab/>
        </w:r>
        <w:r w:rsidR="00301DB0">
          <w:rPr>
            <w:noProof/>
            <w:webHidden/>
          </w:rPr>
          <w:fldChar w:fldCharType="begin"/>
        </w:r>
        <w:r w:rsidR="00301DB0">
          <w:rPr>
            <w:noProof/>
            <w:webHidden/>
          </w:rPr>
          <w:instrText xml:space="preserve"> PAGEREF _Toc463592529 \h </w:instrText>
        </w:r>
        <w:r w:rsidR="00301DB0">
          <w:rPr>
            <w:noProof/>
            <w:webHidden/>
          </w:rPr>
        </w:r>
        <w:r w:rsidR="00301DB0">
          <w:rPr>
            <w:noProof/>
            <w:webHidden/>
          </w:rPr>
          <w:fldChar w:fldCharType="separate"/>
        </w:r>
        <w:r w:rsidR="00301DB0">
          <w:rPr>
            <w:noProof/>
            <w:webHidden/>
          </w:rPr>
          <w:t>28</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0" w:history="1">
        <w:r w:rsidR="00301DB0" w:rsidRPr="00CB4122">
          <w:rPr>
            <w:rStyle w:val="Hyperlink"/>
            <w:noProof/>
          </w:rPr>
          <w:t>Figuur 3</w:t>
        </w:r>
        <w:r w:rsidR="00301DB0">
          <w:rPr>
            <w:rFonts w:asciiTheme="minorHAnsi" w:eastAsiaTheme="minorEastAsia" w:hAnsiTheme="minorHAnsi" w:cstheme="minorBidi"/>
            <w:noProof/>
            <w:sz w:val="22"/>
            <w:szCs w:val="22"/>
            <w:lang w:eastAsia="nl-BE"/>
          </w:rPr>
          <w:tab/>
        </w:r>
        <w:r w:rsidR="00301DB0" w:rsidRPr="00CB4122">
          <w:rPr>
            <w:rStyle w:val="Hyperlink"/>
            <w:noProof/>
          </w:rPr>
          <w:t>Locatie-effecten van appartementen volgens de 3 modelleringen</w:t>
        </w:r>
        <w:r w:rsidR="00301DB0">
          <w:rPr>
            <w:noProof/>
            <w:webHidden/>
          </w:rPr>
          <w:tab/>
        </w:r>
        <w:r w:rsidR="00301DB0">
          <w:rPr>
            <w:noProof/>
            <w:webHidden/>
          </w:rPr>
          <w:fldChar w:fldCharType="begin"/>
        </w:r>
        <w:r w:rsidR="00301DB0">
          <w:rPr>
            <w:noProof/>
            <w:webHidden/>
          </w:rPr>
          <w:instrText xml:space="preserve"> PAGEREF _Toc463592530 \h </w:instrText>
        </w:r>
        <w:r w:rsidR="00301DB0">
          <w:rPr>
            <w:noProof/>
            <w:webHidden/>
          </w:rPr>
        </w:r>
        <w:r w:rsidR="00301DB0">
          <w:rPr>
            <w:noProof/>
            <w:webHidden/>
          </w:rPr>
          <w:fldChar w:fldCharType="separate"/>
        </w:r>
        <w:r w:rsidR="00301DB0">
          <w:rPr>
            <w:noProof/>
            <w:webHidden/>
          </w:rPr>
          <w:t>28</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1" w:history="1">
        <w:r w:rsidR="00301DB0" w:rsidRPr="00CB4122">
          <w:rPr>
            <w:rStyle w:val="Hyperlink"/>
            <w:noProof/>
          </w:rPr>
          <w:t>Figuur 4</w:t>
        </w:r>
        <w:r w:rsidR="00301DB0">
          <w:rPr>
            <w:rFonts w:asciiTheme="minorHAnsi" w:eastAsiaTheme="minorEastAsia" w:hAnsiTheme="minorHAnsi" w:cstheme="minorBidi"/>
            <w:noProof/>
            <w:sz w:val="22"/>
            <w:szCs w:val="22"/>
            <w:lang w:eastAsia="nl-BE"/>
          </w:rPr>
          <w:tab/>
        </w:r>
        <w:r w:rsidR="00301DB0" w:rsidRPr="00CB4122">
          <w:rPr>
            <w:rStyle w:val="Hyperlink"/>
            <w:noProof/>
          </w:rPr>
          <w:t>Aantal sociale woningen volgens huidige sociale huurmarktwaarde, 2014</w:t>
        </w:r>
        <w:r w:rsidR="00301DB0">
          <w:rPr>
            <w:noProof/>
            <w:webHidden/>
          </w:rPr>
          <w:tab/>
        </w:r>
        <w:r w:rsidR="00301DB0">
          <w:rPr>
            <w:noProof/>
            <w:webHidden/>
          </w:rPr>
          <w:fldChar w:fldCharType="begin"/>
        </w:r>
        <w:r w:rsidR="00301DB0">
          <w:rPr>
            <w:noProof/>
            <w:webHidden/>
          </w:rPr>
          <w:instrText xml:space="preserve"> PAGEREF _Toc463592531 \h </w:instrText>
        </w:r>
        <w:r w:rsidR="00301DB0">
          <w:rPr>
            <w:noProof/>
            <w:webHidden/>
          </w:rPr>
        </w:r>
        <w:r w:rsidR="00301DB0">
          <w:rPr>
            <w:noProof/>
            <w:webHidden/>
          </w:rPr>
          <w:fldChar w:fldCharType="separate"/>
        </w:r>
        <w:r w:rsidR="00301DB0">
          <w:rPr>
            <w:noProof/>
            <w:webHidden/>
          </w:rPr>
          <w:t>31</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2" w:history="1">
        <w:r w:rsidR="00301DB0" w:rsidRPr="00CB4122">
          <w:rPr>
            <w:rStyle w:val="Hyperlink"/>
            <w:noProof/>
          </w:rPr>
          <w:t>Figuur 5</w:t>
        </w:r>
        <w:r w:rsidR="00301DB0">
          <w:rPr>
            <w:rFonts w:asciiTheme="minorHAnsi" w:eastAsiaTheme="minorEastAsia" w:hAnsiTheme="minorHAnsi" w:cstheme="minorBidi"/>
            <w:noProof/>
            <w:sz w:val="22"/>
            <w:szCs w:val="22"/>
            <w:lang w:eastAsia="nl-BE"/>
          </w:rPr>
          <w:tab/>
        </w:r>
        <w:r w:rsidR="00301DB0" w:rsidRPr="00CB4122">
          <w:rPr>
            <w:rStyle w:val="Hyperlink"/>
            <w:noProof/>
          </w:rPr>
          <w:t>Verschil tussen effectieve reële huurprijs en sociale huurmarktwaarde, 2014</w:t>
        </w:r>
        <w:r w:rsidR="00301DB0">
          <w:rPr>
            <w:noProof/>
            <w:webHidden/>
          </w:rPr>
          <w:tab/>
        </w:r>
        <w:r w:rsidR="00301DB0">
          <w:rPr>
            <w:noProof/>
            <w:webHidden/>
          </w:rPr>
          <w:fldChar w:fldCharType="begin"/>
        </w:r>
        <w:r w:rsidR="00301DB0">
          <w:rPr>
            <w:noProof/>
            <w:webHidden/>
          </w:rPr>
          <w:instrText xml:space="preserve"> PAGEREF _Toc463592532 \h </w:instrText>
        </w:r>
        <w:r w:rsidR="00301DB0">
          <w:rPr>
            <w:noProof/>
            <w:webHidden/>
          </w:rPr>
        </w:r>
        <w:r w:rsidR="00301DB0">
          <w:rPr>
            <w:noProof/>
            <w:webHidden/>
          </w:rPr>
          <w:fldChar w:fldCharType="separate"/>
        </w:r>
        <w:r w:rsidR="00301DB0">
          <w:rPr>
            <w:noProof/>
            <w:webHidden/>
          </w:rPr>
          <w:t>35</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3" w:history="1">
        <w:r w:rsidR="00301DB0" w:rsidRPr="00CB4122">
          <w:rPr>
            <w:rStyle w:val="Hyperlink"/>
            <w:noProof/>
          </w:rPr>
          <w:t>Figuur 6</w:t>
        </w:r>
        <w:r w:rsidR="00301DB0">
          <w:rPr>
            <w:rFonts w:asciiTheme="minorHAnsi" w:eastAsiaTheme="minorEastAsia" w:hAnsiTheme="minorHAnsi" w:cstheme="minorBidi"/>
            <w:noProof/>
            <w:sz w:val="22"/>
            <w:szCs w:val="22"/>
            <w:lang w:eastAsia="nl-BE"/>
          </w:rPr>
          <w:tab/>
        </w:r>
        <w:r w:rsidR="00301DB0" w:rsidRPr="00CB4122">
          <w:rPr>
            <w:rStyle w:val="Hyperlink"/>
            <w:noProof/>
          </w:rPr>
          <w:t>Vergelijking huurprijzen geschat door notarissen (2008) en Huurschatter (2015) van referentiestaal notarissen van sociale eengezinswoningen (n=1050)</w:t>
        </w:r>
        <w:r w:rsidR="00301DB0">
          <w:rPr>
            <w:noProof/>
            <w:webHidden/>
          </w:rPr>
          <w:tab/>
        </w:r>
        <w:r w:rsidR="00301DB0">
          <w:rPr>
            <w:noProof/>
            <w:webHidden/>
          </w:rPr>
          <w:fldChar w:fldCharType="begin"/>
        </w:r>
        <w:r w:rsidR="00301DB0">
          <w:rPr>
            <w:noProof/>
            <w:webHidden/>
          </w:rPr>
          <w:instrText xml:space="preserve"> PAGEREF _Toc463592533 \h </w:instrText>
        </w:r>
        <w:r w:rsidR="00301DB0">
          <w:rPr>
            <w:noProof/>
            <w:webHidden/>
          </w:rPr>
        </w:r>
        <w:r w:rsidR="00301DB0">
          <w:rPr>
            <w:noProof/>
            <w:webHidden/>
          </w:rPr>
          <w:fldChar w:fldCharType="separate"/>
        </w:r>
        <w:r w:rsidR="00301DB0">
          <w:rPr>
            <w:noProof/>
            <w:webHidden/>
          </w:rPr>
          <w:t>37</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4" w:history="1">
        <w:r w:rsidR="00301DB0" w:rsidRPr="00CB4122">
          <w:rPr>
            <w:rStyle w:val="Hyperlink"/>
            <w:noProof/>
          </w:rPr>
          <w:t>Figuur 7</w:t>
        </w:r>
        <w:r w:rsidR="00301DB0">
          <w:rPr>
            <w:rFonts w:asciiTheme="minorHAnsi" w:eastAsiaTheme="minorEastAsia" w:hAnsiTheme="minorHAnsi" w:cstheme="minorBidi"/>
            <w:noProof/>
            <w:sz w:val="22"/>
            <w:szCs w:val="22"/>
            <w:lang w:eastAsia="nl-BE"/>
          </w:rPr>
          <w:tab/>
        </w:r>
        <w:r w:rsidR="00301DB0" w:rsidRPr="00CB4122">
          <w:rPr>
            <w:rStyle w:val="Hyperlink"/>
            <w:noProof/>
          </w:rPr>
          <w:t>Histogram van de gemiddelde fout*, referentiestaal sociale huizen van notarissen</w:t>
        </w:r>
        <w:r w:rsidR="00301DB0">
          <w:rPr>
            <w:noProof/>
            <w:webHidden/>
          </w:rPr>
          <w:tab/>
        </w:r>
        <w:r w:rsidR="00301DB0">
          <w:rPr>
            <w:noProof/>
            <w:webHidden/>
          </w:rPr>
          <w:fldChar w:fldCharType="begin"/>
        </w:r>
        <w:r w:rsidR="00301DB0">
          <w:rPr>
            <w:noProof/>
            <w:webHidden/>
          </w:rPr>
          <w:instrText xml:space="preserve"> PAGEREF _Toc463592534 \h </w:instrText>
        </w:r>
        <w:r w:rsidR="00301DB0">
          <w:rPr>
            <w:noProof/>
            <w:webHidden/>
          </w:rPr>
        </w:r>
        <w:r w:rsidR="00301DB0">
          <w:rPr>
            <w:noProof/>
            <w:webHidden/>
          </w:rPr>
          <w:fldChar w:fldCharType="separate"/>
        </w:r>
        <w:r w:rsidR="00301DB0">
          <w:rPr>
            <w:noProof/>
            <w:webHidden/>
          </w:rPr>
          <w:t>38</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5" w:history="1">
        <w:r w:rsidR="00301DB0" w:rsidRPr="00CB4122">
          <w:rPr>
            <w:rStyle w:val="Hyperlink"/>
            <w:noProof/>
          </w:rPr>
          <w:t>Figuur 8</w:t>
        </w:r>
        <w:r w:rsidR="00301DB0">
          <w:rPr>
            <w:rFonts w:asciiTheme="minorHAnsi" w:eastAsiaTheme="minorEastAsia" w:hAnsiTheme="minorHAnsi" w:cstheme="minorBidi"/>
            <w:noProof/>
            <w:sz w:val="22"/>
            <w:szCs w:val="22"/>
            <w:lang w:eastAsia="nl-BE"/>
          </w:rPr>
          <w:tab/>
        </w:r>
        <w:r w:rsidR="00301DB0" w:rsidRPr="00CB4122">
          <w:rPr>
            <w:rStyle w:val="Hyperlink"/>
            <w:noProof/>
          </w:rPr>
          <w:t>Vergelijking huurprijzen geschat door notarissen (2008) en Huurschatter (2015) van referentiestaal notarissen van sociale appartementen (n=880)</w:t>
        </w:r>
        <w:r w:rsidR="00301DB0">
          <w:rPr>
            <w:noProof/>
            <w:webHidden/>
          </w:rPr>
          <w:tab/>
        </w:r>
        <w:r w:rsidR="00301DB0">
          <w:rPr>
            <w:noProof/>
            <w:webHidden/>
          </w:rPr>
          <w:fldChar w:fldCharType="begin"/>
        </w:r>
        <w:r w:rsidR="00301DB0">
          <w:rPr>
            <w:noProof/>
            <w:webHidden/>
          </w:rPr>
          <w:instrText xml:space="preserve"> PAGEREF _Toc463592535 \h </w:instrText>
        </w:r>
        <w:r w:rsidR="00301DB0">
          <w:rPr>
            <w:noProof/>
            <w:webHidden/>
          </w:rPr>
        </w:r>
        <w:r w:rsidR="00301DB0">
          <w:rPr>
            <w:noProof/>
            <w:webHidden/>
          </w:rPr>
          <w:fldChar w:fldCharType="separate"/>
        </w:r>
        <w:r w:rsidR="00301DB0">
          <w:rPr>
            <w:noProof/>
            <w:webHidden/>
          </w:rPr>
          <w:t>39</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6" w:history="1">
        <w:r w:rsidR="00301DB0" w:rsidRPr="00CB4122">
          <w:rPr>
            <w:rStyle w:val="Hyperlink"/>
            <w:noProof/>
          </w:rPr>
          <w:t>Figuur 9</w:t>
        </w:r>
        <w:r w:rsidR="00301DB0">
          <w:rPr>
            <w:rFonts w:asciiTheme="minorHAnsi" w:eastAsiaTheme="minorEastAsia" w:hAnsiTheme="minorHAnsi" w:cstheme="minorBidi"/>
            <w:noProof/>
            <w:sz w:val="22"/>
            <w:szCs w:val="22"/>
            <w:lang w:eastAsia="nl-BE"/>
          </w:rPr>
          <w:tab/>
        </w:r>
        <w:r w:rsidR="00301DB0" w:rsidRPr="00CB4122">
          <w:rPr>
            <w:rStyle w:val="Hyperlink"/>
            <w:noProof/>
          </w:rPr>
          <w:t>Histogram van de gemiddelde fout*, referentiestaal sociale appartementen van notarissen</w:t>
        </w:r>
        <w:r w:rsidR="00301DB0">
          <w:rPr>
            <w:noProof/>
            <w:webHidden/>
          </w:rPr>
          <w:tab/>
        </w:r>
        <w:r w:rsidR="00301DB0">
          <w:rPr>
            <w:noProof/>
            <w:webHidden/>
          </w:rPr>
          <w:fldChar w:fldCharType="begin"/>
        </w:r>
        <w:r w:rsidR="00301DB0">
          <w:rPr>
            <w:noProof/>
            <w:webHidden/>
          </w:rPr>
          <w:instrText xml:space="preserve"> PAGEREF _Toc463592536 \h </w:instrText>
        </w:r>
        <w:r w:rsidR="00301DB0">
          <w:rPr>
            <w:noProof/>
            <w:webHidden/>
          </w:rPr>
        </w:r>
        <w:r w:rsidR="00301DB0">
          <w:rPr>
            <w:noProof/>
            <w:webHidden/>
          </w:rPr>
          <w:fldChar w:fldCharType="separate"/>
        </w:r>
        <w:r w:rsidR="00301DB0">
          <w:rPr>
            <w:noProof/>
            <w:webHidden/>
          </w:rPr>
          <w:t>39</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7" w:history="1">
        <w:r w:rsidR="00301DB0" w:rsidRPr="00CB4122">
          <w:rPr>
            <w:rStyle w:val="Hyperlink"/>
            <w:noProof/>
          </w:rPr>
          <w:t>Figuur 10</w:t>
        </w:r>
        <w:r w:rsidR="00301DB0">
          <w:rPr>
            <w:rFonts w:asciiTheme="minorHAnsi" w:eastAsiaTheme="minorEastAsia" w:hAnsiTheme="minorHAnsi" w:cstheme="minorBidi"/>
            <w:noProof/>
            <w:sz w:val="22"/>
            <w:szCs w:val="22"/>
            <w:lang w:eastAsia="nl-BE"/>
          </w:rPr>
          <w:tab/>
        </w:r>
        <w:r w:rsidR="00301DB0" w:rsidRPr="00CB4122">
          <w:rPr>
            <w:rStyle w:val="Hyperlink"/>
            <w:noProof/>
          </w:rPr>
          <w:t>Vergelijking huurprijzen geschat door notarissen (2008) en Huurschatter (2015) van referentiestaal notarissen van sociale eengezinswoningen (n=1 050)</w:t>
        </w:r>
        <w:r w:rsidR="00301DB0">
          <w:rPr>
            <w:noProof/>
            <w:webHidden/>
          </w:rPr>
          <w:tab/>
        </w:r>
        <w:r w:rsidR="00301DB0">
          <w:rPr>
            <w:noProof/>
            <w:webHidden/>
          </w:rPr>
          <w:fldChar w:fldCharType="begin"/>
        </w:r>
        <w:r w:rsidR="00301DB0">
          <w:rPr>
            <w:noProof/>
            <w:webHidden/>
          </w:rPr>
          <w:instrText xml:space="preserve"> PAGEREF _Toc463592537 \h </w:instrText>
        </w:r>
        <w:r w:rsidR="00301DB0">
          <w:rPr>
            <w:noProof/>
            <w:webHidden/>
          </w:rPr>
        </w:r>
        <w:r w:rsidR="00301DB0">
          <w:rPr>
            <w:noProof/>
            <w:webHidden/>
          </w:rPr>
          <w:fldChar w:fldCharType="separate"/>
        </w:r>
        <w:r w:rsidR="00301DB0">
          <w:rPr>
            <w:noProof/>
            <w:webHidden/>
          </w:rPr>
          <w:t>41</w:t>
        </w:r>
        <w:r w:rsidR="00301DB0">
          <w:rPr>
            <w:noProof/>
            <w:webHidden/>
          </w:rPr>
          <w:fldChar w:fldCharType="end"/>
        </w:r>
      </w:hyperlink>
    </w:p>
    <w:p w:rsidR="00301DB0" w:rsidRDefault="008D437F">
      <w:pPr>
        <w:pStyle w:val="TableofFigures"/>
        <w:rPr>
          <w:rFonts w:asciiTheme="minorHAnsi" w:eastAsiaTheme="minorEastAsia" w:hAnsiTheme="minorHAnsi" w:cstheme="minorBidi"/>
          <w:noProof/>
          <w:sz w:val="22"/>
          <w:szCs w:val="22"/>
          <w:lang w:eastAsia="nl-BE"/>
        </w:rPr>
      </w:pPr>
      <w:hyperlink w:anchor="_Toc463592538" w:history="1">
        <w:r w:rsidR="00301DB0" w:rsidRPr="00CB4122">
          <w:rPr>
            <w:rStyle w:val="Hyperlink"/>
            <w:noProof/>
          </w:rPr>
          <w:t>Figuur 11</w:t>
        </w:r>
        <w:r w:rsidR="00301DB0">
          <w:rPr>
            <w:rFonts w:asciiTheme="minorHAnsi" w:eastAsiaTheme="minorEastAsia" w:hAnsiTheme="minorHAnsi" w:cstheme="minorBidi"/>
            <w:noProof/>
            <w:sz w:val="22"/>
            <w:szCs w:val="22"/>
            <w:lang w:eastAsia="nl-BE"/>
          </w:rPr>
          <w:tab/>
        </w:r>
        <w:r w:rsidR="00301DB0" w:rsidRPr="00CB4122">
          <w:rPr>
            <w:rStyle w:val="Hyperlink"/>
            <w:noProof/>
          </w:rPr>
          <w:t>Werkelijke en voorspelde EPC waarden op basis van kenmerken eengezinswoningen</w:t>
        </w:r>
        <w:r w:rsidR="00301DB0">
          <w:rPr>
            <w:noProof/>
            <w:webHidden/>
          </w:rPr>
          <w:tab/>
        </w:r>
        <w:r w:rsidR="00301DB0">
          <w:rPr>
            <w:noProof/>
            <w:webHidden/>
          </w:rPr>
          <w:fldChar w:fldCharType="begin"/>
        </w:r>
        <w:r w:rsidR="00301DB0">
          <w:rPr>
            <w:noProof/>
            <w:webHidden/>
          </w:rPr>
          <w:instrText xml:space="preserve"> PAGEREF _Toc463592538 \h </w:instrText>
        </w:r>
        <w:r w:rsidR="00301DB0">
          <w:rPr>
            <w:noProof/>
            <w:webHidden/>
          </w:rPr>
        </w:r>
        <w:r w:rsidR="00301DB0">
          <w:rPr>
            <w:noProof/>
            <w:webHidden/>
          </w:rPr>
          <w:fldChar w:fldCharType="separate"/>
        </w:r>
        <w:r w:rsidR="00301DB0">
          <w:rPr>
            <w:noProof/>
            <w:webHidden/>
          </w:rPr>
          <w:t>45</w:t>
        </w:r>
        <w:r w:rsidR="00301DB0">
          <w:rPr>
            <w:noProof/>
            <w:webHidden/>
          </w:rPr>
          <w:fldChar w:fldCharType="end"/>
        </w:r>
      </w:hyperlink>
    </w:p>
    <w:p w:rsidR="0008544A" w:rsidRPr="00A3694A" w:rsidRDefault="00301DB0" w:rsidP="0008544A">
      <w:pPr>
        <w:rPr>
          <w:lang w:val="en-US"/>
        </w:rPr>
        <w:sectPr w:rsidR="0008544A" w:rsidRPr="00A3694A" w:rsidSect="00CD6AF2">
          <w:headerReference w:type="first" r:id="rId21"/>
          <w:footerReference w:type="first" r:id="rId22"/>
          <w:type w:val="oddPage"/>
          <w:pgSz w:w="11906" w:h="16838" w:code="9"/>
          <w:pgMar w:top="1418" w:right="1418" w:bottom="1418" w:left="1418" w:header="709" w:footer="709" w:gutter="0"/>
          <w:pgNumType w:fmt="lowerRoman"/>
          <w:cols w:space="708"/>
          <w:titlePg/>
          <w:docGrid w:linePitch="360"/>
        </w:sectPr>
      </w:pPr>
      <w:r>
        <w:rPr>
          <w:rFonts w:ascii="Tahoma" w:hAnsi="Tahoma" w:cs="Tahoma"/>
          <w:sz w:val="14"/>
          <w:szCs w:val="14"/>
        </w:rPr>
        <w:fldChar w:fldCharType="end"/>
      </w:r>
    </w:p>
    <w:p w:rsidR="0008544A" w:rsidRDefault="0008544A" w:rsidP="0008544A">
      <w:pPr>
        <w:pStyle w:val="Title"/>
      </w:pPr>
      <w:bookmarkStart w:id="3" w:name="_Toc360709161"/>
      <w:bookmarkStart w:id="4" w:name="_Toc464122164"/>
      <w:r>
        <w:lastRenderedPageBreak/>
        <w:t>Managementsamenvatting</w:t>
      </w:r>
      <w:bookmarkEnd w:id="3"/>
      <w:bookmarkEnd w:id="4"/>
    </w:p>
    <w:p w:rsidR="0008544A" w:rsidRDefault="0008544A" w:rsidP="0008544A">
      <w:r w:rsidRPr="00694D69">
        <w:t xml:space="preserve">In het voorjaar van 2013 werd de </w:t>
      </w:r>
      <w:r w:rsidR="0024544F">
        <w:t>Huurschatter</w:t>
      </w:r>
      <w:r w:rsidRPr="00694D69">
        <w:t xml:space="preserve"> succesvol gelanceerd waarmee beoogd werd de trans</w:t>
      </w:r>
      <w:r w:rsidR="00711296">
        <w:softHyphen/>
      </w:r>
      <w:r w:rsidRPr="00694D69">
        <w:t xml:space="preserve">parantie van huurprijzen te verhogen. </w:t>
      </w:r>
      <w:r>
        <w:t>De data input van gebruikers is geanalyseerd en vervolgens gebruikt om het schattingsmodel verder te verfijnen.</w:t>
      </w:r>
    </w:p>
    <w:p w:rsidR="0008544A" w:rsidRDefault="0008544A" w:rsidP="0008544A">
      <w:pPr>
        <w:pStyle w:val="NormalIndent"/>
      </w:pPr>
      <w:r w:rsidRPr="00694D69">
        <w:t>De markthuurwaarden van sociale huurwoningen van sociale huisvestingsmaatschappijen zijn momenteel bepaald op basis van schattingen door no</w:t>
      </w:r>
      <w:r w:rsidR="00E808D6">
        <w:t>tarissen. In 2008 werden zo’n 2 </w:t>
      </w:r>
      <w:r w:rsidRPr="00694D69">
        <w:t>400</w:t>
      </w:r>
      <w:r w:rsidR="00E808D6">
        <w:t> </w:t>
      </w:r>
      <w:r w:rsidRPr="00694D69">
        <w:t xml:space="preserve">woningen gedetailleerd geschat door notarissen. Deze schattingen werden vervolgens </w:t>
      </w:r>
      <w:proofErr w:type="spellStart"/>
      <w:r w:rsidRPr="00694D69">
        <w:t>doorvertaald</w:t>
      </w:r>
      <w:proofErr w:type="spellEnd"/>
      <w:r w:rsidRPr="00694D69">
        <w:t xml:space="preserve"> naar markt</w:t>
      </w:r>
      <w:r w:rsidR="00711296">
        <w:softHyphen/>
      </w:r>
      <w:r w:rsidRPr="00694D69">
        <w:t>huurwaarden voor alle sociale woningen via extrapolaties van dit referentiestaal.</w:t>
      </w:r>
      <w:r>
        <w:t xml:space="preserve"> Deze initiële schat</w:t>
      </w:r>
      <w:r w:rsidR="00711296">
        <w:softHyphen/>
      </w:r>
      <w:r>
        <w:t xml:space="preserve">tingen dienen herzien te worden, en de vraag is dus of de </w:t>
      </w:r>
      <w:r w:rsidR="0024544F">
        <w:t>Huurschatter</w:t>
      </w:r>
      <w:r>
        <w:t xml:space="preserve"> hiervoor ingezet kan worden en wat de modaliteiten hiervan zijn.</w:t>
      </w:r>
    </w:p>
    <w:p w:rsidR="0008544A" w:rsidRDefault="0008544A" w:rsidP="0008544A">
      <w:r>
        <w:t xml:space="preserve">In dit onderzoeksrapport staat de analyse centraal die nagaat in welke mate de </w:t>
      </w:r>
      <w:r w:rsidR="0024544F">
        <w:t>Huurschatter</w:t>
      </w:r>
      <w:r>
        <w:t xml:space="preserve"> gebruikt kan worden om de huurmarktwaarden van sociale woningen te schatten. Dit is een eerder technisch rapport</w:t>
      </w:r>
      <w:r w:rsidRPr="00782802">
        <w:t xml:space="preserve"> </w:t>
      </w:r>
      <w:r>
        <w:t>waar verschillende elementen voor onderzocht worden. We overlopen de vragen die aan bod komen en bespreken de resultaten van de analyse.</w:t>
      </w:r>
    </w:p>
    <w:p w:rsidR="0008544A" w:rsidRDefault="0008544A" w:rsidP="00E808D6">
      <w:pPr>
        <w:pStyle w:val="Heading5"/>
      </w:pPr>
      <w:r>
        <w:t xml:space="preserve">Komen de </w:t>
      </w:r>
      <w:r w:rsidRPr="00694D69">
        <w:t xml:space="preserve">huidige markthuurwaarden (berekend op basis van de set van schattingen door notarissen) overeen met de actuele schattingen van de </w:t>
      </w:r>
      <w:r w:rsidR="0024544F">
        <w:t>Huurschatter</w:t>
      </w:r>
      <w:r>
        <w:t>?</w:t>
      </w:r>
    </w:p>
    <w:p w:rsidR="0008544A" w:rsidRDefault="0008544A" w:rsidP="00711296">
      <w:pPr>
        <w:spacing w:before="120"/>
      </w:pPr>
      <w:r>
        <w:t>De oorspronkelijke schattingen van het referentiestaal van notarissen zijn daartoe vergeleken met de nieuwe schattingen van de Huurschatter voor dezelfde woningen. De oorspronkelijke schattingen van de notarissen zijn gemaakt in 2007. We vinden dan ook dat de geschatte waarden van de Huurschatter voor dezelfde s</w:t>
      </w:r>
      <w:r w:rsidR="0024544F">
        <w:t>ociale woningen nu gemiddeld 19,</w:t>
      </w:r>
      <w:r>
        <w:t>8% hog</w:t>
      </w:r>
      <w:r w:rsidR="0024544F">
        <w:t>er liggen voor woonhuizen en 18,</w:t>
      </w:r>
      <w:r>
        <w:t xml:space="preserve">2% voor appartementen. Volgens de </w:t>
      </w:r>
      <w:proofErr w:type="spellStart"/>
      <w:r>
        <w:t>hedonische</w:t>
      </w:r>
      <w:proofErr w:type="spellEnd"/>
      <w:r>
        <w:t xml:space="preserve"> huurprijsindex en de Spar-huurprijsindex </w:t>
      </w:r>
      <w:r w:rsidR="0024544F">
        <w:noBreakHyphen/>
        <w:t> </w:t>
      </w:r>
      <w:r>
        <w:t>zie de overige rap</w:t>
      </w:r>
      <w:r w:rsidR="00711296">
        <w:softHyphen/>
      </w:r>
      <w:r>
        <w:t>porten van deze ad</w:t>
      </w:r>
      <w:r w:rsidR="00804CBF">
        <w:t>-</w:t>
      </w:r>
      <w:proofErr w:type="spellStart"/>
      <w:r>
        <w:t>hocopdracht</w:t>
      </w:r>
      <w:proofErr w:type="spellEnd"/>
      <w:r w:rsidR="0024544F">
        <w:t> </w:t>
      </w:r>
      <w:r w:rsidR="0024544F">
        <w:noBreakHyphen/>
      </w:r>
      <w:r>
        <w:t xml:space="preserve"> zijn de huurprijzen algemeen voor heel Vlaanderen in de private huurmarkt in de periode 2007-2015 met 16% gestegen voor huurhuizen, en met 17% voor apparte</w:t>
      </w:r>
      <w:r w:rsidR="00711296">
        <w:softHyphen/>
      </w:r>
      <w:r>
        <w:t>menten. De prijsevolutie van de huurprijzen van de sociale woningen van het referentiestaal lijkt dus de algemene tendens te volgen en geen systematische vertekening te vertonen met de huurwaarden zoals geschat door de notarissen in het oorspronkelijke referentiestaal.</w:t>
      </w:r>
    </w:p>
    <w:p w:rsidR="0008544A" w:rsidRDefault="0008544A" w:rsidP="00E808D6">
      <w:r>
        <w:t xml:space="preserve">Het indexeren van de oorspronkelijke huurwaarde van het referentiestaal is een eerste analyse wat betreft de evolutie van de huurprijs. In een tweede stap wordt er nagegaan in welke mate de geschatte huurwaarden van de </w:t>
      </w:r>
      <w:r w:rsidR="0024544F">
        <w:t>Huurschatter</w:t>
      </w:r>
      <w:r>
        <w:t xml:space="preserve"> verschillen van de geïndexeerde oorspronkelijke schattingen door de notarissen van het referentiestaal. Niet alleen de gemiddelde prijsevolutie dient acceptabel te zijn, maar ook de individuele schatting voor elke woning. Voor de woonhuizen vonden we dat 50% van de huizen een schattingsfout had van minder dan 10% en 80% een schattingsfout van minder dan 20%. De schattingsfout die gemeten wordt hangt hierbij af van twee elementen</w:t>
      </w:r>
      <w:r w:rsidR="00804CBF">
        <w:t>:</w:t>
      </w:r>
      <w:r>
        <w:t xml:space="preserve"> enerzijds de fout van het mathematisch model, dus van de </w:t>
      </w:r>
      <w:r w:rsidR="0024544F">
        <w:t>Huurschatter</w:t>
      </w:r>
      <w:r>
        <w:t xml:space="preserve"> ten opzichte van de werkelijke objectieve markthuur</w:t>
      </w:r>
      <w:r w:rsidR="00711296">
        <w:softHyphen/>
      </w:r>
      <w:r>
        <w:t>waarde, anderzijds de schattingsfout van de notarissen die verschilt van de werkelijke objectieve markthuurwaarde. Aangezien de werkelijke objectieve huurmarktwaarde niet gekend is, is het on</w:t>
      </w:r>
      <w:r w:rsidR="00711296">
        <w:softHyphen/>
      </w:r>
      <w:r>
        <w:t xml:space="preserve">mogelijk na te gaan aan welke oorzaak de schattingsfout kan toegewezen worden. Is de fout te wijten </w:t>
      </w:r>
      <w:r>
        <w:lastRenderedPageBreak/>
        <w:t xml:space="preserve">aan de schatting van de notaris of aan de schatting van het </w:t>
      </w:r>
      <w:proofErr w:type="spellStart"/>
      <w:r>
        <w:t>hedonisch</w:t>
      </w:r>
      <w:proofErr w:type="spellEnd"/>
      <w:r>
        <w:t xml:space="preserve"> prijsmodel. Bij de appartemen</w:t>
      </w:r>
      <w:r w:rsidR="00711296">
        <w:softHyphen/>
      </w:r>
      <w:r>
        <w:t>ten zagen we gelijkaardige resultaten, maar algemeen iets grotere fouten. A priori zou men verwach</w:t>
      </w:r>
      <w:r w:rsidR="00711296">
        <w:softHyphen/>
      </w:r>
      <w:r>
        <w:t xml:space="preserve">ten dat deze beter zouden zijn, omdat de foutenmarge bij de appartementen in de private huurmarkt ook lager is, waarschijnlijk vanwege het homogenere karakter van appartementen. Mogelijk kan dit verklaard worden doordat de appartementen in de sociale huisvesting </w:t>
      </w:r>
      <w:proofErr w:type="spellStart"/>
      <w:r>
        <w:t>diverser</w:t>
      </w:r>
      <w:proofErr w:type="spellEnd"/>
      <w:r>
        <w:t xml:space="preserve"> van aard zijn, gaande van kleinschalige appartementen tot grote woontorens. Naast het referentiestaal was er ook een extra steekproef van sociale woningen, die geschat werden door enkele </w:t>
      </w:r>
      <w:proofErr w:type="spellStart"/>
      <w:r>
        <w:t>SHM’s</w:t>
      </w:r>
      <w:proofErr w:type="spellEnd"/>
      <w:r>
        <w:t>. De resultaten van deze steekproef voor appartementen toonde een betere fit dan gemiddeld.</w:t>
      </w:r>
    </w:p>
    <w:p w:rsidR="0008544A" w:rsidRDefault="0008544A" w:rsidP="00E808D6">
      <w:pPr>
        <w:pStyle w:val="Heading5"/>
      </w:pPr>
      <w:r>
        <w:t xml:space="preserve">Is er een </w:t>
      </w:r>
      <w:r w:rsidRPr="00122963">
        <w:t>relatie tussen de liggingskenmerken van statistische sectoren en de aanwezigheid van sociale woningen</w:t>
      </w:r>
      <w:r>
        <w:t>?</w:t>
      </w:r>
    </w:p>
    <w:p w:rsidR="0008544A" w:rsidRDefault="0008544A" w:rsidP="00711296">
      <w:pPr>
        <w:spacing w:before="120"/>
      </w:pPr>
      <w:r>
        <w:t>De resultaten van deze onderzoeksvraag zijn niet significant. De data suggereren wel dat het aandeel sociale</w:t>
      </w:r>
      <w:r w:rsidR="0024544F">
        <w:t xml:space="preserve"> </w:t>
      </w:r>
      <w:r>
        <w:t>woningen in een statistische sector een licht positieve invloed heeft op de ligging indien het gaat over sociale huizen, en een licht negatieve invloed indien het gaat over appartementen. Een mogelijke verklaring is dat sociale tuinwijken met huizen positief gepercipieerd worden en bepaalde specifieke appartementsblokken eerder negatief. In de mate dat bepaalde gebouwkenmerken typisch eigen zijn aan de sociale woningbouw is het bovendien niet mogelijk om hiervoor een private huur</w:t>
      </w:r>
      <w:r w:rsidR="00711296">
        <w:softHyphen/>
      </w:r>
      <w:r>
        <w:t xml:space="preserve">marktwaarde te schatten bij gebrek aan vergelijkingspunten. Bij </w:t>
      </w:r>
      <w:proofErr w:type="spellStart"/>
      <w:r>
        <w:t>hedonisch</w:t>
      </w:r>
      <w:proofErr w:type="spellEnd"/>
      <w:r>
        <w:t xml:space="preserve"> geschatte huurmarktwaar</w:t>
      </w:r>
      <w:r w:rsidR="00711296">
        <w:softHyphen/>
      </w:r>
      <w:r>
        <w:t xml:space="preserve">den zoals deze van de </w:t>
      </w:r>
      <w:r w:rsidR="0024544F">
        <w:t>Huurschatter</w:t>
      </w:r>
      <w:r>
        <w:t>, dienen de belangrijkste woningkenmerken immers in het model vervat te zitten opdat de schatting realistisch is. Ook bij de nieuwe webapplicatie van de Huurschatter is een dergelijke optie aan het einde voorzien waarbij de gebruiker kan aangeven welke specifieke woningkenmerken de woning heeft. Dus hoewel de Huurschatter voor het grootste deel van de appar</w:t>
      </w:r>
      <w:r w:rsidR="00711296">
        <w:softHyphen/>
      </w:r>
      <w:r>
        <w:t xml:space="preserve">tementen aannemelijke schattingen maakt, lijkt het aangewezen om specifieke gevallen waarbij het verschil tussen de oorspronkelijke </w:t>
      </w:r>
      <w:r w:rsidR="00804CBF">
        <w:t>schatting</w:t>
      </w:r>
      <w:r>
        <w:t xml:space="preserve"> van de notaris en de Huu</w:t>
      </w:r>
      <w:r w:rsidR="00804CBF">
        <w:t>r</w:t>
      </w:r>
      <w:r>
        <w:t>schatter het grootst is, in meer detail na te gaan omdat bepaalde kenmerken van dergelijke appartementen niet als variabele beschik</w:t>
      </w:r>
      <w:r w:rsidR="00711296">
        <w:softHyphen/>
      </w:r>
      <w:r>
        <w:t xml:space="preserve">baar zijn, maar wel de huurmarktwaarde beïnvloeden. </w:t>
      </w:r>
    </w:p>
    <w:p w:rsidR="0008544A" w:rsidRDefault="0008544A" w:rsidP="00E808D6">
      <w:pPr>
        <w:pStyle w:val="Heading5"/>
      </w:pPr>
      <w:r w:rsidRPr="007E77C4">
        <w:t>Momenteel is de bewoonbare oppervlakte van de sociale woningen niet gekend</w:t>
      </w:r>
      <w:r>
        <w:t>, hoe wordt dit opgelost</w:t>
      </w:r>
      <w:r w:rsidR="0024544F">
        <w:t>?</w:t>
      </w:r>
    </w:p>
    <w:p w:rsidR="0008544A" w:rsidRDefault="0008544A" w:rsidP="00711296">
      <w:pPr>
        <w:spacing w:before="120"/>
      </w:pPr>
      <w:r>
        <w:t>De meeste sociale woningen zijn gebouwd volgens bepaalde bouwnormen waarbij een woning met een bepaald aantal slaapkamers voor zowel woonhuizen als appartementen een bepaalde opper</w:t>
      </w:r>
      <w:r w:rsidR="00711296">
        <w:softHyphen/>
      </w:r>
      <w:r>
        <w:t xml:space="preserve">vlakteklasse heeft. Aangezien het aantal slaapkamers wel gekend is kan de oppervlakte als een functie van het aantal slaapkamers redelijk uniform benaderd worden. Bovendien ligt deze oppervlakte nauw in lijn met de definitie van de bevraagde woonoppervlakte zoals gebruikt in de Huurschatter. </w:t>
      </w:r>
    </w:p>
    <w:p w:rsidR="0008544A" w:rsidRDefault="0008544A" w:rsidP="0008544A">
      <w:r>
        <w:t>Daarnaast zijn er nog variabelen die niet voor alle sociale woningen gekend zijn. Deze kunnen subjec</w:t>
      </w:r>
      <w:r w:rsidR="00711296">
        <w:softHyphen/>
      </w:r>
      <w:r>
        <w:t>tief ingevuld worden door de SHM, of op de meest aannemelijke standaard waarde gezet worden voor sociale woningen. De invloed op de huurprijs is bovendien niet voor elke variabele even groot. Het belang van elke variabele wordt weergegeven door de respectievelijke geschatte coëfficiënt in het model. De lijst hiervan is mee opgenomen in het rapport.</w:t>
      </w:r>
    </w:p>
    <w:p w:rsidR="0008544A" w:rsidRDefault="0008544A" w:rsidP="00E808D6">
      <w:pPr>
        <w:pStyle w:val="Heading5"/>
      </w:pPr>
      <w:r>
        <w:t xml:space="preserve">Kan de Huurschatter een </w:t>
      </w:r>
      <w:r w:rsidRPr="00122963">
        <w:t xml:space="preserve">markthuurwaarde schatten voor alle </w:t>
      </w:r>
      <w:r>
        <w:t xml:space="preserve">soorten </w:t>
      </w:r>
      <w:r w:rsidRPr="00122963">
        <w:t>sociale woningen</w:t>
      </w:r>
      <w:r>
        <w:t>?</w:t>
      </w:r>
    </w:p>
    <w:p w:rsidR="0008544A" w:rsidRDefault="0008544A" w:rsidP="00711296">
      <w:pPr>
        <w:spacing w:before="120"/>
      </w:pPr>
      <w:r>
        <w:t>De onderzoeksvraag is speciaal gericht naar h</w:t>
      </w:r>
      <w:r w:rsidR="0024544F">
        <w:t>et onderste segment. Er zijn 16 </w:t>
      </w:r>
      <w:r>
        <w:t>464</w:t>
      </w:r>
      <w:r w:rsidR="0024544F">
        <w:t> </w:t>
      </w:r>
      <w:r>
        <w:t>sociale woningen die op 31</w:t>
      </w:r>
      <w:r w:rsidR="0024544F">
        <w:t> </w:t>
      </w:r>
      <w:r>
        <w:t>december</w:t>
      </w:r>
      <w:r w:rsidR="0024544F">
        <w:t> </w:t>
      </w:r>
      <w:r>
        <w:t>2013 een huurmarktwaarde hebben onder de 400</w:t>
      </w:r>
      <w:r w:rsidR="0024544F">
        <w:t> euro</w:t>
      </w:r>
      <w:r>
        <w:t xml:space="preserve">. </w:t>
      </w:r>
    </w:p>
    <w:p w:rsidR="0008544A" w:rsidRDefault="0008544A" w:rsidP="0008544A">
      <w:pPr>
        <w:pStyle w:val="NormalIndent"/>
      </w:pPr>
      <w:r>
        <w:lastRenderedPageBreak/>
        <w:t>In tegenstelling tot de sociale huisvesting zijn er in de private huurmarkt weinig woningen met een huurmarktwaarde onder de 400</w:t>
      </w:r>
      <w:r w:rsidR="0024544F">
        <w:t> euro</w:t>
      </w:r>
      <w:r>
        <w:t>. Dit heeft diverse redenen. (1)</w:t>
      </w:r>
      <w:r w:rsidR="0024544F">
        <w:t> </w:t>
      </w:r>
      <w:r>
        <w:t xml:space="preserve">De actuele huurmarktwaarde is veelal lager dan de actuele huurprijs omdat de huurprijsindex </w:t>
      </w:r>
      <w:r w:rsidR="0024544F">
        <w:noBreakHyphen/>
        <w:t> </w:t>
      </w:r>
      <w:r>
        <w:t>met uitzondering van de laatste jaren</w:t>
      </w:r>
      <w:r w:rsidR="0024544F">
        <w:t> </w:t>
      </w:r>
      <w:r w:rsidR="0024544F">
        <w:noBreakHyphen/>
      </w:r>
      <w:r>
        <w:t xml:space="preserve"> sterker gestegen is dan de gezondheidsindex waarmee lopende contracten geïndexeerd worden. Mogelijk zijn huurprijzen van de goedkopere huurwoningen ook sterker gestegen in verge</w:t>
      </w:r>
      <w:r w:rsidR="00711296">
        <w:softHyphen/>
      </w:r>
      <w:r>
        <w:t>lijking met de duurdere huurwoningen. (2)</w:t>
      </w:r>
      <w:r w:rsidR="0024544F">
        <w:t> </w:t>
      </w:r>
      <w:r>
        <w:t xml:space="preserve">De </w:t>
      </w:r>
      <w:proofErr w:type="spellStart"/>
      <w:r>
        <w:t>hedonische</w:t>
      </w:r>
      <w:proofErr w:type="spellEnd"/>
      <w:r>
        <w:t xml:space="preserve"> huurprijsschatting zal veelal eerder naar een gemiddelde tenderen. Dit komt omdat elk positief woningkenmerk dat niet als variabele mee opge</w:t>
      </w:r>
      <w:r w:rsidR="00711296">
        <w:softHyphen/>
      </w:r>
      <w:r>
        <w:t xml:space="preserve">nomen is in het model, niet mee de huurwaardebepaling van de </w:t>
      </w:r>
      <w:proofErr w:type="spellStart"/>
      <w:r>
        <w:t>hedonische</w:t>
      </w:r>
      <w:proofErr w:type="spellEnd"/>
      <w:r>
        <w:t xml:space="preserve"> huurprijsschatting zit, waardoor het model de waarde te laag schat. Voor negatieve kenmerken zal het model dan eerder te hoog schatten. Het effect hiervan wordt wel ten dele gecompenseerd door mogelijke andere woning</w:t>
      </w:r>
      <w:r w:rsidR="00711296">
        <w:softHyphen/>
      </w:r>
      <w:r>
        <w:t xml:space="preserve">kenmerken die een sterke samenhang vertonen met de niet bevraagde variabelen, of ten dele onder dezelfde noemer vallen. Zo zal de variabele </w:t>
      </w:r>
      <w:r w:rsidR="0024544F">
        <w:t>‘</w:t>
      </w:r>
      <w:r>
        <w:t>interne staat van de woning</w:t>
      </w:r>
      <w:r w:rsidR="0024544F">
        <w:t>’</w:t>
      </w:r>
      <w:r>
        <w:t xml:space="preserve"> als een soort container fun</w:t>
      </w:r>
      <w:r w:rsidR="00711296">
        <w:softHyphen/>
      </w:r>
      <w:r>
        <w:t xml:space="preserve">geren waaronder dan niet-bevraagde variabelen zoals </w:t>
      </w:r>
      <w:r w:rsidR="0024544F">
        <w:t>‘</w:t>
      </w:r>
      <w:r>
        <w:t>barsten in de muren</w:t>
      </w:r>
      <w:r w:rsidR="0024544F">
        <w:t>’ mee opgenomen worden. (3) </w:t>
      </w:r>
      <w:r>
        <w:t>Een laatste element dat meespeelt is de schattingsfout. Men kan verwachten dat in de steekproef bij de lagere werkelijke huurprijzen er meer woningen zitten waarvan de objectieve huurmarktwaarde hoger is en omgekeerd. Indien de actuele huurprijs van 300</w:t>
      </w:r>
      <w:r w:rsidR="0024544F">
        <w:t> euro</w:t>
      </w:r>
      <w:r>
        <w:t xml:space="preserve"> 50</w:t>
      </w:r>
      <w:r w:rsidR="0024544F">
        <w:t> euro</w:t>
      </w:r>
      <w:r>
        <w:t xml:space="preserve"> verschilt van de niet gekende objectieve huurmarktwaarde, dan zal de objectieve huurmarktwaarde eerder 350</w:t>
      </w:r>
      <w:r w:rsidR="0024544F">
        <w:t> euro</w:t>
      </w:r>
      <w:r>
        <w:t xml:space="preserve"> zijn, dan wel 250</w:t>
      </w:r>
      <w:r w:rsidR="0024544F">
        <w:t> euro</w:t>
      </w:r>
      <w:r>
        <w:t>, omdat 250</w:t>
      </w:r>
      <w:r w:rsidR="0024544F">
        <w:t> euro</w:t>
      </w:r>
      <w:r>
        <w:t xml:space="preserve"> zeer zelden voorkomt. Hoewel dit lagere segment belangrijk is voor de sociale huurmarkt is het moeilijk om na te gaan indien de lagere huurprijzen door de Huurschatter systematisch overschat worden.</w:t>
      </w:r>
    </w:p>
    <w:p w:rsidR="0008544A" w:rsidRPr="00960F6E" w:rsidRDefault="0008544A" w:rsidP="0008544A">
      <w:pPr>
        <w:pStyle w:val="NormalIndent"/>
      </w:pPr>
      <w:r>
        <w:t>Wel is het zo dat de impact van een verhoging van de sociale huurmarktwaarde niet volledig door</w:t>
      </w:r>
      <w:r w:rsidR="00711296">
        <w:softHyphen/>
      </w:r>
      <w:r>
        <w:t>gerekend wordt naar de sociale huurder. Zo stijgt de minimale huurprijs (de minimale huurprijs die huurders dienen te bepalen indien hun inkomen beneden een bepaald minimum valt) met ongeveer 30% van de stijging van de sociale huurmarktwaarde. Voor de grootste groep, wiens sociale huurprijs voornamelijk bepaald wordt door het inkomen, zal een stijging van de sociale huurmarktwaarde zorgen voor een daling van de patrimoniumkorting die ongeveer 30% van de stijging van de sociale huurmarktwaarde bedraagt.</w:t>
      </w:r>
      <w:r w:rsidR="0024544F">
        <w:t xml:space="preserve"> </w:t>
      </w:r>
      <w:r>
        <w:t>Het is enkel in de hogere groep van inkomens en huurprijzen waarbij een stijging van de sociale huurmarktwaarde zich volledig vertaalt in een sociale huurprijs. Dus indien de sociale huurder de markthuurwaarde betaalt, zal een hogere geschatte huurmarktwaarde voor 100% vertaald worden in de huurprijs.</w:t>
      </w:r>
    </w:p>
    <w:p w:rsidR="0008544A" w:rsidRDefault="0008544A" w:rsidP="00E808D6">
      <w:pPr>
        <w:pStyle w:val="Heading5"/>
      </w:pPr>
      <w:r>
        <w:t xml:space="preserve">Kan de huurmarktwaarde herschat worden </w:t>
      </w:r>
      <w:r w:rsidRPr="00122963">
        <w:t>na verbouwingen</w:t>
      </w:r>
      <w:r>
        <w:t>?</w:t>
      </w:r>
    </w:p>
    <w:p w:rsidR="007559E4" w:rsidRDefault="0008544A" w:rsidP="00711296">
      <w:pPr>
        <w:spacing w:before="120"/>
        <w:sectPr w:rsidR="007559E4" w:rsidSect="00301DB0">
          <w:footerReference w:type="default" r:id="rId23"/>
          <w:headerReference w:type="first" r:id="rId24"/>
          <w:footerReference w:type="first" r:id="rId25"/>
          <w:type w:val="oddPage"/>
          <w:pgSz w:w="11906" w:h="16838" w:code="9"/>
          <w:pgMar w:top="1418" w:right="1418" w:bottom="1418" w:left="1418" w:header="709" w:footer="709" w:gutter="0"/>
          <w:pgNumType w:fmt="lowerRoman"/>
          <w:cols w:space="708"/>
          <w:titlePg/>
          <w:docGrid w:linePitch="360"/>
        </w:sectPr>
      </w:pPr>
      <w:r>
        <w:t xml:space="preserve">Voor het schattingsmodel van de </w:t>
      </w:r>
      <w:r w:rsidR="0024544F">
        <w:t>Huurschatter</w:t>
      </w:r>
      <w:r>
        <w:t xml:space="preserve"> dienen de kenmerken van de woningen gekend te zijn op de manier zoals die in de </w:t>
      </w:r>
      <w:r w:rsidR="0024544F">
        <w:t>Huurschatter</w:t>
      </w:r>
      <w:r>
        <w:t xml:space="preserve"> gebruikt zijn. Indien deze kenmerken veranderen kan men ook een nieuwe schatting van de huurmarktwaarde maken met de Huurschatter. Zo zien we een stij</w:t>
      </w:r>
      <w:r w:rsidR="00711296">
        <w:softHyphen/>
      </w:r>
      <w:r>
        <w:t xml:space="preserve">ging van de huurmarktwaarde indien men aangeeft dat de woning niet langer </w:t>
      </w:r>
      <w:r w:rsidR="0024544F">
        <w:t>‘</w:t>
      </w:r>
      <w:r>
        <w:t>enkele beglazing</w:t>
      </w:r>
      <w:r w:rsidR="0024544F">
        <w:t>’</w:t>
      </w:r>
      <w:r>
        <w:t xml:space="preserve"> heeft, maar </w:t>
      </w:r>
      <w:r w:rsidR="0024544F">
        <w:t>‘</w:t>
      </w:r>
      <w:r>
        <w:t>recent dubbele beglazing</w:t>
      </w:r>
      <w:r w:rsidR="0024544F">
        <w:t>’</w:t>
      </w:r>
      <w:r>
        <w:t>. Bij diverse energievariabelen zien we wel dat de impact op de huur</w:t>
      </w:r>
      <w:r w:rsidR="00711296">
        <w:softHyphen/>
      </w:r>
      <w:r>
        <w:t>prijs redelijk zwart wit is. Dit wil zeggen dat er wel een duidelijk onderscheid is in de geschatte huur</w:t>
      </w:r>
      <w:r w:rsidR="00711296">
        <w:softHyphen/>
      </w:r>
      <w:r>
        <w:t>waarde van enkele en dubbele beglazing, maar dat het onderscheid tussen recente volledige dubbele beglazing en overwegend dubbele beglazing haast onbestaand is. Dit is enerzijds opvallend omdat het verschil tussen overwegend dubbele beglazing en recent volledige dubbele beglazing wel duideli</w:t>
      </w:r>
      <w:r w:rsidR="0024544F">
        <w:t xml:space="preserve">jk weerspiegeld wordt in de EPC </w:t>
      </w:r>
      <w:r>
        <w:t xml:space="preserve">score. </w:t>
      </w:r>
    </w:p>
    <w:p w:rsidR="0008544A" w:rsidRDefault="0008544A" w:rsidP="001618AE">
      <w:pPr>
        <w:pStyle w:val="Heading1"/>
        <w:numPr>
          <w:ilvl w:val="0"/>
          <w:numId w:val="20"/>
        </w:numPr>
      </w:pPr>
      <w:bookmarkStart w:id="5" w:name="_Toc464122165"/>
      <w:r w:rsidRPr="00E44A15">
        <w:lastRenderedPageBreak/>
        <w:t>Inleiding</w:t>
      </w:r>
      <w:bookmarkEnd w:id="5"/>
    </w:p>
    <w:p w:rsidR="0008544A" w:rsidRPr="00694D69" w:rsidRDefault="0008544A" w:rsidP="0008544A">
      <w:pPr>
        <w:pStyle w:val="Heading2"/>
      </w:pPr>
      <w:bookmarkStart w:id="6" w:name="_Toc464122166"/>
      <w:r w:rsidRPr="00694D69">
        <w:t>Situering in de beleidscontext</w:t>
      </w:r>
      <w:bookmarkEnd w:id="6"/>
    </w:p>
    <w:p w:rsidR="0008544A" w:rsidRPr="00694D69" w:rsidRDefault="0008544A" w:rsidP="0008544A">
      <w:r w:rsidRPr="00694D69">
        <w:t xml:space="preserve">In het voorjaar van 2013 werd de </w:t>
      </w:r>
      <w:r w:rsidR="0024544F">
        <w:t>Huurschatter</w:t>
      </w:r>
      <w:r w:rsidRPr="00694D69">
        <w:t xml:space="preserve"> succesvol gelanceerd waarmee beoogd werd de trans</w:t>
      </w:r>
      <w:r w:rsidR="00711296">
        <w:softHyphen/>
      </w:r>
      <w:r w:rsidRPr="00694D69">
        <w:t xml:space="preserve">parantie van huurprijzen te verhogen. De webapplicatie is gebaseerd op de </w:t>
      </w:r>
      <w:proofErr w:type="spellStart"/>
      <w:r w:rsidRPr="00694D69">
        <w:t>hedonische</w:t>
      </w:r>
      <w:proofErr w:type="spellEnd"/>
      <w:r w:rsidRPr="00694D69">
        <w:t xml:space="preserve"> huurprijs</w:t>
      </w:r>
      <w:r w:rsidR="00711296">
        <w:softHyphen/>
      </w:r>
      <w:r w:rsidRPr="00694D69">
        <w:t>analyse uit het onderzoek ‘Huurprijzen en Richthuurprijzen’. De belangrijkste variabelen uit deze ana</w:t>
      </w:r>
      <w:r w:rsidR="00711296">
        <w:softHyphen/>
      </w:r>
      <w:r w:rsidRPr="00694D69">
        <w:t>lyse werden weerhouden voor het gebruik in een webapplicatie, waarbij naar een evenwicht gezocht werd tussen gebruiksvriendelijkheid en de voorspelkracht van de opgevraagde informatie van de gebruiker. Het model werd verder verfijnd met gedetailleerde statistische sectorinformatie.</w:t>
      </w:r>
    </w:p>
    <w:p w:rsidR="0008544A" w:rsidRPr="00694D69" w:rsidRDefault="0008544A" w:rsidP="0008544A">
      <w:r w:rsidRPr="00694D69">
        <w:t>Eind 2014</w:t>
      </w:r>
      <w:r w:rsidR="0024544F">
        <w:t>/</w:t>
      </w:r>
      <w:r w:rsidRPr="00694D69">
        <w:t>begin 2015 we</w:t>
      </w:r>
      <w:r w:rsidR="0024544F">
        <w:t xml:space="preserve">rd </w:t>
      </w:r>
      <w:r w:rsidR="0024544F">
        <w:noBreakHyphen/>
        <w:t> </w:t>
      </w:r>
      <w:r w:rsidRPr="00694D69">
        <w:t>binnen het kader van een ad</w:t>
      </w:r>
      <w:r w:rsidR="00804CBF">
        <w:t>-</w:t>
      </w:r>
      <w:proofErr w:type="spellStart"/>
      <w:r w:rsidRPr="00694D69">
        <w:t>hocopdracht</w:t>
      </w:r>
      <w:proofErr w:type="spellEnd"/>
      <w:r w:rsidRPr="00694D69">
        <w:t xml:space="preserve"> voor het Steunpunt Wonen</w:t>
      </w:r>
      <w:r w:rsidR="0024544F">
        <w:t> </w:t>
      </w:r>
      <w:r w:rsidR="0024544F">
        <w:noBreakHyphen/>
      </w:r>
      <w:r w:rsidRPr="00694D69">
        <w:t xml:space="preserve"> de accuraatheid van de </w:t>
      </w:r>
      <w:r w:rsidR="0024544F">
        <w:t>Huurschatter</w:t>
      </w:r>
      <w:r w:rsidRPr="00694D69">
        <w:t xml:space="preserve"> geëvalueerd en werd het achterliggende statistische model geactualiseerd en verfijnd. Dit onderzoek bevatte onderstaande elementen:</w:t>
      </w:r>
    </w:p>
    <w:p w:rsidR="0008544A" w:rsidRPr="00694D69" w:rsidRDefault="0024544F" w:rsidP="0024544F">
      <w:pPr>
        <w:pStyle w:val="ListNumber"/>
      </w:pPr>
      <w:r>
        <w:t>v</w:t>
      </w:r>
      <w:r w:rsidR="0008544A" w:rsidRPr="00694D69">
        <w:t xml:space="preserve">erkenning van de databank van de </w:t>
      </w:r>
      <w:r>
        <w:t>Huurschatter;</w:t>
      </w:r>
    </w:p>
    <w:p w:rsidR="0008544A" w:rsidRPr="00694D69" w:rsidRDefault="0024544F" w:rsidP="0024544F">
      <w:pPr>
        <w:pStyle w:val="ListNumber"/>
      </w:pPr>
      <w:r>
        <w:t>u</w:t>
      </w:r>
      <w:r w:rsidR="0008544A" w:rsidRPr="00694D69">
        <w:t>pdate van het huidige model</w:t>
      </w:r>
      <w:r>
        <w:t>;</w:t>
      </w:r>
    </w:p>
    <w:p w:rsidR="0008544A" w:rsidRPr="00694D69" w:rsidRDefault="0024544F" w:rsidP="0024544F">
      <w:pPr>
        <w:pStyle w:val="ListNumber"/>
      </w:pPr>
      <w:r>
        <w:t>uitbreiding van het model;</w:t>
      </w:r>
    </w:p>
    <w:p w:rsidR="0008544A" w:rsidRPr="00694D69" w:rsidRDefault="0024544F" w:rsidP="0024544F">
      <w:pPr>
        <w:pStyle w:val="ListNumber"/>
      </w:pPr>
      <w:r>
        <w:t>b</w:t>
      </w:r>
      <w:r w:rsidR="0008544A" w:rsidRPr="00694D69">
        <w:t>ijkomende analyses over de private huurmarkt</w:t>
      </w:r>
      <w:r>
        <w:t>;</w:t>
      </w:r>
    </w:p>
    <w:p w:rsidR="0008544A" w:rsidRPr="00694D69" w:rsidRDefault="0024544F" w:rsidP="0024544F">
      <w:pPr>
        <w:pStyle w:val="ListNumber"/>
      </w:pPr>
      <w:r>
        <w:t>v</w:t>
      </w:r>
      <w:r w:rsidR="0008544A" w:rsidRPr="00694D69">
        <w:t>ergelijking met huurgegevens van Groot Woononderzoek 2013</w:t>
      </w:r>
      <w:r>
        <w:t xml:space="preserve"> (dekking, kwaliteitskenmerken);</w:t>
      </w:r>
    </w:p>
    <w:p w:rsidR="0008544A" w:rsidRPr="00694D69" w:rsidRDefault="0024544F" w:rsidP="0024544F">
      <w:pPr>
        <w:pStyle w:val="ListNumber"/>
      </w:pPr>
      <w:r>
        <w:t>h</w:t>
      </w:r>
      <w:r w:rsidR="0008544A" w:rsidRPr="00694D69">
        <w:t>et berekenen van een nieuwe huurindex</w:t>
      </w:r>
      <w:r>
        <w:t>.</w:t>
      </w:r>
    </w:p>
    <w:p w:rsidR="0008544A" w:rsidRPr="00694D69" w:rsidRDefault="0008544A" w:rsidP="0008544A">
      <w:pPr>
        <w:pStyle w:val="Heading2"/>
      </w:pPr>
      <w:bookmarkStart w:id="7" w:name="_Toc432586863"/>
      <w:bookmarkStart w:id="8" w:name="_Toc464122167"/>
      <w:r w:rsidRPr="00694D69">
        <w:t>Doel van het onderzoek</w:t>
      </w:r>
      <w:bookmarkEnd w:id="7"/>
      <w:bookmarkEnd w:id="8"/>
    </w:p>
    <w:p w:rsidR="0008544A" w:rsidRPr="00694D69" w:rsidRDefault="0008544A" w:rsidP="0008544A">
      <w:r>
        <w:t>Eind 2015</w:t>
      </w:r>
      <w:r w:rsidR="0024544F">
        <w:t>/</w:t>
      </w:r>
      <w:r>
        <w:t>begin 2016 wordt nog een verder onderzoek gepland dat drie luiken bevat. (1)</w:t>
      </w:r>
      <w:r w:rsidR="0024544F">
        <w:t> </w:t>
      </w:r>
      <w:r>
        <w:t xml:space="preserve">Waar in 2015 voornamelijk de accuraatheid van de </w:t>
      </w:r>
      <w:r w:rsidR="0024544F">
        <w:t>Huurschatter</w:t>
      </w:r>
      <w:r>
        <w:t xml:space="preserve"> geanalyseerd werd, is het gebruik van de </w:t>
      </w:r>
      <w:r w:rsidR="0024544F">
        <w:t>Huur</w:t>
      </w:r>
      <w:r w:rsidR="00711296">
        <w:softHyphen/>
      </w:r>
      <w:r w:rsidR="0024544F">
        <w:t>schatter</w:t>
      </w:r>
      <w:r>
        <w:t xml:space="preserve"> nog onderbelicht en dient dit verder in kaart gebracht te worden. (2)</w:t>
      </w:r>
      <w:r w:rsidR="0024544F">
        <w:t> </w:t>
      </w:r>
      <w:r>
        <w:t>Bovendien is het inte</w:t>
      </w:r>
      <w:r w:rsidR="00711296">
        <w:softHyphen/>
      </w:r>
      <w:r>
        <w:t xml:space="preserve">ressant om na te gaan in welke mate de modellering van de </w:t>
      </w:r>
      <w:r w:rsidR="0024544F">
        <w:t>Huurschatter</w:t>
      </w:r>
      <w:r>
        <w:t xml:space="preserve"> niet op een andere manier gemodelleerd kan worden (log-lineair). In de verdere ontwikkeling van de webapplicatie is deze mogelijkheid alvast mee opgenomen zodat in de toekomst op een flexibele manier deze modellering kan geïmplementeerd worden, afhankelijk van de resultaten. (3)</w:t>
      </w:r>
      <w:r w:rsidR="0024544F">
        <w:t> </w:t>
      </w:r>
      <w:r>
        <w:t xml:space="preserve">In dit onderzoeksrapport staat de derde component centraal, en dat is de analyse waarbij de </w:t>
      </w:r>
      <w:r w:rsidR="0024544F">
        <w:t>Huurschatter</w:t>
      </w:r>
      <w:r>
        <w:t xml:space="preserve"> gebruikt wordt om de huur</w:t>
      </w:r>
      <w:r w:rsidR="00711296">
        <w:softHyphen/>
      </w:r>
      <w:r>
        <w:t xml:space="preserve">marktwaarden van sociale woningen te schatten. </w:t>
      </w:r>
    </w:p>
    <w:p w:rsidR="0008544A" w:rsidRPr="00694D69" w:rsidRDefault="0008544A" w:rsidP="0008544A">
      <w:pPr>
        <w:pStyle w:val="Heading3"/>
      </w:pPr>
      <w:bookmarkStart w:id="9" w:name="_Toc464122168"/>
      <w:r w:rsidRPr="00694D69">
        <w:t>Sociale huurmarktwaarden</w:t>
      </w:r>
      <w:bookmarkEnd w:id="9"/>
    </w:p>
    <w:p w:rsidR="0008544A" w:rsidRPr="00694D69" w:rsidRDefault="0008544A" w:rsidP="0008544A">
      <w:pPr>
        <w:rPr>
          <w:rFonts w:ascii="FlandersArtSerif-Regular" w:hAnsi="FlandersArtSerif-Regular"/>
          <w:lang w:eastAsia="en-US"/>
        </w:rPr>
      </w:pPr>
      <w:r w:rsidRPr="00694D69">
        <w:t>De markthuurwaarden van sociale huurwoningen van sociale huisvestingsmaatschappijen zijn momen</w:t>
      </w:r>
      <w:r w:rsidR="00711296">
        <w:softHyphen/>
      </w:r>
      <w:r w:rsidRPr="00694D69">
        <w:t>teel bepaald op basis van schattingen door notarissen. In 2008 werden zo’n 2</w:t>
      </w:r>
      <w:r w:rsidR="0024544F">
        <w:t> </w:t>
      </w:r>
      <w:r w:rsidRPr="00694D69">
        <w:t>400</w:t>
      </w:r>
      <w:r w:rsidR="0024544F">
        <w:t> </w:t>
      </w:r>
      <w:r w:rsidRPr="00694D69">
        <w:t>woningen gedetail</w:t>
      </w:r>
      <w:r w:rsidR="00711296">
        <w:softHyphen/>
      </w:r>
      <w:r w:rsidRPr="00694D69">
        <w:t xml:space="preserve">leerd geschat door notarissen. Deze schattingen werden vervolgens </w:t>
      </w:r>
      <w:proofErr w:type="spellStart"/>
      <w:r w:rsidRPr="00694D69">
        <w:t>doorvertaald</w:t>
      </w:r>
      <w:proofErr w:type="spellEnd"/>
      <w:r w:rsidRPr="00694D69">
        <w:t xml:space="preserve"> naar markthuur</w:t>
      </w:r>
      <w:r w:rsidR="00711296">
        <w:softHyphen/>
      </w:r>
      <w:r w:rsidRPr="00694D69">
        <w:t>waarden voor alle sociale woningen via extrapolaties van dit referentiestaal. Vermits bepaald is dat de (geïndexeerde) schattingen 9</w:t>
      </w:r>
      <w:r w:rsidR="0024544F">
        <w:t> </w:t>
      </w:r>
      <w:r w:rsidRPr="00694D69">
        <w:t>jaar gebruikt mogen worden, moeten er vanaf 1</w:t>
      </w:r>
      <w:r w:rsidR="0024544F">
        <w:t> </w:t>
      </w:r>
      <w:r w:rsidRPr="00694D69">
        <w:t>januari</w:t>
      </w:r>
      <w:r w:rsidR="0024544F">
        <w:t> </w:t>
      </w:r>
      <w:r w:rsidRPr="00694D69">
        <w:t xml:space="preserve">2017 nieuwe markthuurwaarden bepaald worden voor nieuwe verhuringen. Op basis van de marktwaarde wordt </w:t>
      </w:r>
      <w:r w:rsidRPr="00694D69">
        <w:lastRenderedPageBreak/>
        <w:t>ook de minimale huurprijs en een patrimoniumkorting bepaald. De marktwaarde, minimale huurprijs en patrimoniumkorting blijven voor negen jaar geldig, tenzij de marktwaarde is gedaald met 5%, of gestegen met 10% (op voorwaarde dat er grondige verbouwingswerken hebben plaatsgevonden). In 2017 moeten de initiële schattingen uit het staal verwijderd worden (2</w:t>
      </w:r>
      <w:r w:rsidR="0024544F">
        <w:t> </w:t>
      </w:r>
      <w:r w:rsidRPr="00694D69">
        <w:t xml:space="preserve">400). Het is onduidelijk hoeveel schattingen er na 2008 nog werden uitgevoerd. De vraag is gesteld of de </w:t>
      </w:r>
      <w:r w:rsidR="0024544F">
        <w:t>Huurschatter</w:t>
      </w:r>
      <w:r w:rsidRPr="00694D69">
        <w:t xml:space="preserve"> het principe van het representatief staal kan vervangen als objectief instrument ter bepaling van een correcte markt</w:t>
      </w:r>
      <w:r w:rsidR="00711296">
        <w:softHyphen/>
      </w:r>
      <w:r w:rsidRPr="00694D69">
        <w:t xml:space="preserve">waarde. Daarnaast kan de </w:t>
      </w:r>
      <w:r w:rsidR="0024544F">
        <w:t>Huurschatter</w:t>
      </w:r>
      <w:r w:rsidRPr="00694D69">
        <w:t xml:space="preserve"> ook een huurindex opleveren, waardoor uitvoering wordt gegeven aan artikel</w:t>
      </w:r>
      <w:r w:rsidR="00E44A15">
        <w:t> </w:t>
      </w:r>
      <w:r w:rsidRPr="00694D69">
        <w:t xml:space="preserve">40 van het Kaderbesluit Sociale Huur. Om de </w:t>
      </w:r>
      <w:r w:rsidR="0024544F">
        <w:t>Huurschatter</w:t>
      </w:r>
      <w:r w:rsidRPr="00694D69">
        <w:t xml:space="preserve"> te gebruiken voor de berekening van markthuurwaarden moeten echter enkele elementen nader onderzocht worden</w:t>
      </w:r>
      <w:r w:rsidR="00E44A15">
        <w:t>.</w:t>
      </w:r>
    </w:p>
    <w:p w:rsidR="0008544A" w:rsidRPr="00694D69" w:rsidRDefault="0008544A" w:rsidP="00E44A15">
      <w:pPr>
        <w:pStyle w:val="ListNumber"/>
        <w:numPr>
          <w:ilvl w:val="0"/>
          <w:numId w:val="13"/>
        </w:numPr>
        <w:ind w:left="284" w:hanging="284"/>
      </w:pPr>
      <w:r w:rsidRPr="00694D69">
        <w:t xml:space="preserve">Er moet gecontroleerd worden hoe de huidige markthuurwaarden (berekend op basis van de set van schattingen door notarissen) overeenkomen met de actuele schattingen van de </w:t>
      </w:r>
      <w:r w:rsidR="0024544F">
        <w:t>Huurschatter</w:t>
      </w:r>
      <w:r w:rsidRPr="00694D69">
        <w:t xml:space="preserve">. Hierbij wordt best gekeken naar hoeveel de schattingen van de </w:t>
      </w:r>
      <w:r w:rsidR="0024544F">
        <w:t>Huurschatter</w:t>
      </w:r>
      <w:r w:rsidRPr="00694D69">
        <w:t xml:space="preserve"> afwijken van de huidige markthuurwaarden en hoe die afwijking gespreid is, of die te ‘verantwoorden’ is, wat het effect is op de berekende huurprijs, welke do</w:t>
      </w:r>
      <w:r w:rsidR="00E44A15">
        <w:t xml:space="preserve">elgroepen </w:t>
      </w:r>
      <w:proofErr w:type="spellStart"/>
      <w:r w:rsidR="00E44A15">
        <w:t>geïmpacteerd</w:t>
      </w:r>
      <w:proofErr w:type="spellEnd"/>
      <w:r w:rsidR="00E44A15">
        <w:t xml:space="preserve"> worden, …</w:t>
      </w:r>
      <w:r w:rsidRPr="009F478F">
        <w:t xml:space="preserve"> </w:t>
      </w:r>
      <w:r>
        <w:t xml:space="preserve">Alsook of de </w:t>
      </w:r>
      <w:r w:rsidRPr="009F478F">
        <w:t>markthuurwaarden voldoende de regionale verschillen reflecteren? En kan ook bekeken worden in welke mate deze regionale verschillen ook hun vertaling kr</w:t>
      </w:r>
      <w:r>
        <w:t>ijgen in de sociale huurprijzen.</w:t>
      </w:r>
    </w:p>
    <w:p w:rsidR="0008544A" w:rsidRPr="00694D69" w:rsidRDefault="0008544A" w:rsidP="00E44A15">
      <w:pPr>
        <w:pStyle w:val="ListNumber"/>
        <w:numPr>
          <w:ilvl w:val="0"/>
          <w:numId w:val="13"/>
        </w:numPr>
        <w:ind w:left="284" w:hanging="284"/>
      </w:pPr>
      <w:r w:rsidRPr="00694D69">
        <w:t xml:space="preserve">Momenteel is de bewoonbare oppervlakte van de sociale woningen niet gekend. Er zijn een paar pistes te bekijken om deze te weten te komen. </w:t>
      </w:r>
      <w:r w:rsidR="00E44A15">
        <w:t>(</w:t>
      </w:r>
      <w:r w:rsidRPr="00694D69">
        <w:t>1)</w:t>
      </w:r>
      <w:r w:rsidR="00E44A15">
        <w:t> </w:t>
      </w:r>
      <w:r w:rsidRPr="00694D69">
        <w:t xml:space="preserve">Inbreng door </w:t>
      </w:r>
      <w:proofErr w:type="spellStart"/>
      <w:r w:rsidRPr="00694D69">
        <w:t>SHM</w:t>
      </w:r>
      <w:r>
        <w:t>’</w:t>
      </w:r>
      <w:r w:rsidRPr="00694D69">
        <w:t>s</w:t>
      </w:r>
      <w:proofErr w:type="spellEnd"/>
      <w:r w:rsidRPr="00694D69">
        <w:t xml:space="preserve"> zelf</w:t>
      </w:r>
      <w:r>
        <w:t xml:space="preserve">. De vraag is echter wie deze inbreng </w:t>
      </w:r>
      <w:r w:rsidRPr="00694D69">
        <w:t>controleert</w:t>
      </w:r>
      <w:r>
        <w:t>. Een meer objectieve manier zou een benadering zijn van de oppervlakte op basis van het aantal slaapkamers. Sociale woningen worden immers veelal volgens bepaalde normen gebouwd, zodat deze benadering goed kan werken.</w:t>
      </w:r>
      <w:r w:rsidRPr="00694D69">
        <w:t xml:space="preserve"> </w:t>
      </w:r>
      <w:r w:rsidR="00E44A15">
        <w:t>(</w:t>
      </w:r>
      <w:r w:rsidRPr="00694D69">
        <w:t>2)</w:t>
      </w:r>
      <w:r w:rsidR="00E44A15">
        <w:t> U</w:t>
      </w:r>
      <w:r w:rsidRPr="00694D69">
        <w:t>it het Grootschalig Referentie</w:t>
      </w:r>
      <w:r w:rsidR="00711296">
        <w:softHyphen/>
      </w:r>
      <w:r w:rsidRPr="00694D69">
        <w:t xml:space="preserve">bestand (GRB) kan men de </w:t>
      </w:r>
      <w:proofErr w:type="spellStart"/>
      <w:r w:rsidRPr="00694D69">
        <w:t>perceelsoppervlakte</w:t>
      </w:r>
      <w:proofErr w:type="spellEnd"/>
      <w:r w:rsidRPr="00694D69">
        <w:t xml:space="preserve"> en de bebouwde oppervlakte van het gebouw halen. Indien de </w:t>
      </w:r>
      <w:proofErr w:type="spellStart"/>
      <w:r w:rsidRPr="00694D69">
        <w:t>SHM’s</w:t>
      </w:r>
      <w:proofErr w:type="spellEnd"/>
      <w:r w:rsidRPr="00694D69">
        <w:t xml:space="preserve"> nog enkele extra data kunnen aanleveren omtrent bouwlagen, aantal kamers, </w:t>
      </w:r>
      <w:proofErr w:type="spellStart"/>
      <w:r w:rsidRPr="00694D69">
        <w:t>dakverdieping</w:t>
      </w:r>
      <w:proofErr w:type="spellEnd"/>
      <w:r w:rsidRPr="00694D69">
        <w:t xml:space="preserve"> kan men voor huizen waarschijnlijk een goede benadering krijgen. Voor appartementen dient men het gebouw verder op te splitsen in woningen en wordt de analyse iets complexer. </w:t>
      </w:r>
      <w:r w:rsidR="00E44A15">
        <w:t>(</w:t>
      </w:r>
      <w:r w:rsidRPr="00694D69">
        <w:t>3)</w:t>
      </w:r>
      <w:r w:rsidR="00E44A15">
        <w:t> </w:t>
      </w:r>
      <w:r w:rsidRPr="00694D69">
        <w:t xml:space="preserve">Een andere optie is een export te gebruiken uit het kadaster (AAPD) waar ook de nuttige woonoppervlakte gegeven is. Daarnaast is een belangrijk element om vervolgens na te gaan hoe deze oppervlakte zich verhoudt tot de ingeschatte woonoppervlakte bij de </w:t>
      </w:r>
      <w:r w:rsidR="0024544F">
        <w:t>Huurschatter</w:t>
      </w:r>
      <w:r w:rsidRPr="00694D69">
        <w:t>.</w:t>
      </w:r>
    </w:p>
    <w:p w:rsidR="0008544A" w:rsidRPr="00694D69" w:rsidRDefault="0008544A" w:rsidP="00E44A15">
      <w:pPr>
        <w:pStyle w:val="ListNumber"/>
        <w:numPr>
          <w:ilvl w:val="0"/>
          <w:numId w:val="13"/>
        </w:numPr>
        <w:ind w:left="284" w:hanging="284"/>
      </w:pPr>
      <w:r w:rsidRPr="00694D69">
        <w:t>Een aanvullende interessante analyse is om na te gaan wat de relatie is tussen de liggingskenmer</w:t>
      </w:r>
      <w:r w:rsidR="00711296">
        <w:softHyphen/>
      </w:r>
      <w:r w:rsidRPr="00694D69">
        <w:t>ken van statistische sectoren en de aanwezigheid van sociale woningen. Zorgen grote sociale huis</w:t>
      </w:r>
      <w:r w:rsidR="00711296">
        <w:softHyphen/>
      </w:r>
      <w:r w:rsidRPr="00694D69">
        <w:t xml:space="preserve">vestingprojecten bijvoorbeeld voor een meer uniform en meer geapprecieerd geheel, of heeft het eerder een negatieve impact? Het voordeel van de </w:t>
      </w:r>
      <w:r w:rsidR="0024544F">
        <w:t>Huurschatter</w:t>
      </w:r>
      <w:r w:rsidRPr="00694D69">
        <w:t xml:space="preserve"> is dat er kan nagegaan worden welke impact dit heeft op de huurprijzen. Momenteel wegen immers de data uit de private huur</w:t>
      </w:r>
      <w:r w:rsidR="00711296">
        <w:softHyphen/>
      </w:r>
      <w:r w:rsidRPr="00694D69">
        <w:t>markt door in de nieuwe update, waardoor een mogelijke vertekening kan ontstaan bij sociale woningen. Dit volgt ook deels uit de analyse van punt a.</w:t>
      </w:r>
    </w:p>
    <w:p w:rsidR="0008544A" w:rsidRPr="00694D69" w:rsidRDefault="0008544A" w:rsidP="00E44A15">
      <w:pPr>
        <w:pStyle w:val="ListNumber"/>
        <w:numPr>
          <w:ilvl w:val="0"/>
          <w:numId w:val="13"/>
        </w:numPr>
        <w:ind w:left="284" w:hanging="284"/>
      </w:pPr>
      <w:r w:rsidRPr="00694D69">
        <w:t>Er moet voor gezorgd worden dat het model een markthuurwaarde kan schatten voor alle sociale woningen. Bijvoorbeeld: door de te lage aanwezigheid van markthuurwaarden onder de 400</w:t>
      </w:r>
      <w:r w:rsidR="0024544F">
        <w:t> euro</w:t>
      </w:r>
      <w:r w:rsidRPr="00694D69">
        <w:t xml:space="preserve"> in de steekproef van de </w:t>
      </w:r>
      <w:r w:rsidR="0024544F">
        <w:t>Huurschatter</w:t>
      </w:r>
      <w:r w:rsidRPr="00694D69">
        <w:t>, dient de accuraatheid van dit lagere segment in het bijzonder nagegaan te worden voor sociale woningen. Er zijn 16</w:t>
      </w:r>
      <w:r w:rsidR="00FA284C">
        <w:t> </w:t>
      </w:r>
      <w:r w:rsidR="00E44A15">
        <w:t>464</w:t>
      </w:r>
      <w:r w:rsidR="00FA284C">
        <w:t> </w:t>
      </w:r>
      <w:r w:rsidR="00E44A15">
        <w:t>sociale woningen die op 31 </w:t>
      </w:r>
      <w:r w:rsidRPr="00694D69">
        <w:t>decem</w:t>
      </w:r>
      <w:r w:rsidR="00711296">
        <w:softHyphen/>
      </w:r>
      <w:r w:rsidRPr="00694D69">
        <w:t>ber</w:t>
      </w:r>
      <w:r w:rsidR="00E44A15">
        <w:t> </w:t>
      </w:r>
      <w:r w:rsidRPr="00694D69">
        <w:t xml:space="preserve">2013 een </w:t>
      </w:r>
      <w:r>
        <w:t>huurprijs</w:t>
      </w:r>
      <w:r w:rsidRPr="00694D69">
        <w:t xml:space="preserve"> hadden onder de 400</w:t>
      </w:r>
      <w:r w:rsidR="00FA284C">
        <w:t> euro</w:t>
      </w:r>
      <w:r w:rsidRPr="00694D69">
        <w:t>, hetgeen 12% van het totale patrimonium uit</w:t>
      </w:r>
      <w:r w:rsidR="00FA284C">
        <w:softHyphen/>
      </w:r>
      <w:r w:rsidRPr="00694D69">
        <w:t>maakt.</w:t>
      </w:r>
    </w:p>
    <w:p w:rsidR="0008544A" w:rsidRPr="00694D69" w:rsidRDefault="0008544A" w:rsidP="00E44A15">
      <w:pPr>
        <w:pStyle w:val="ListNumber"/>
        <w:numPr>
          <w:ilvl w:val="0"/>
          <w:numId w:val="13"/>
        </w:numPr>
        <w:ind w:left="284" w:hanging="284"/>
      </w:pPr>
      <w:r w:rsidRPr="00694D69">
        <w:t>De praktische invulling van het schatten zal ook erg belangrijk zijn: bijvoorbeeld wie zal dit uitvoe</w:t>
      </w:r>
      <w:r w:rsidR="00711296">
        <w:softHyphen/>
      </w:r>
      <w:r w:rsidRPr="00694D69">
        <w:t xml:space="preserve">ren? Op zich zijn de </w:t>
      </w:r>
      <w:proofErr w:type="spellStart"/>
      <w:r w:rsidRPr="00694D69">
        <w:t>SHM’s</w:t>
      </w:r>
      <w:proofErr w:type="spellEnd"/>
      <w:r w:rsidRPr="00694D69">
        <w:t xml:space="preserve"> het best geplaatst omdat zij hun woningen beter kennen, maar ze heb</w:t>
      </w:r>
      <w:r w:rsidR="00711296">
        <w:softHyphen/>
      </w:r>
      <w:r w:rsidRPr="00694D69">
        <w:t xml:space="preserve">ben natuurlijk ook (financieel) belang bij een hogere markthuurprijs. Het lijkt belangrijk om de schattingen zo uniform mogelijk uit te voeren voor de hele sector (niet altijd evident gezien de </w:t>
      </w:r>
      <w:r w:rsidRPr="00694D69">
        <w:lastRenderedPageBreak/>
        <w:t xml:space="preserve">subjectieve elementen in de </w:t>
      </w:r>
      <w:r w:rsidR="0024544F">
        <w:t>Huurschatter</w:t>
      </w:r>
      <w:r w:rsidRPr="00694D69">
        <w:t xml:space="preserve">). Op basis van de update van de </w:t>
      </w:r>
      <w:r w:rsidR="0024544F">
        <w:t>Huurschatter</w:t>
      </w:r>
      <w:r w:rsidRPr="00694D69">
        <w:t xml:space="preserve"> blijkt dat verhuurders de kenmerken van eenzelfde woning positiever invullen dan huurders.</w:t>
      </w:r>
    </w:p>
    <w:p w:rsidR="0008544A" w:rsidRDefault="0008544A" w:rsidP="00E44A15">
      <w:pPr>
        <w:pStyle w:val="ListNumber"/>
        <w:numPr>
          <w:ilvl w:val="0"/>
          <w:numId w:val="13"/>
        </w:numPr>
        <w:ind w:left="284" w:hanging="284"/>
      </w:pPr>
      <w:r w:rsidRPr="00694D69">
        <w:t xml:space="preserve">Het moet ook mogelijk zijn dat na verbouwingen de marktwaarde herschat wordt en aanleiding geeft tot een andere marktwaarde. Bij de weging van bepaalde factoren moet hier rekening mee worden gehouden. </w:t>
      </w:r>
    </w:p>
    <w:p w:rsidR="0008544A" w:rsidRDefault="0008544A" w:rsidP="00E44A15">
      <w:pPr>
        <w:pStyle w:val="ListNumber"/>
        <w:numPr>
          <w:ilvl w:val="0"/>
          <w:numId w:val="13"/>
        </w:numPr>
        <w:ind w:left="284" w:hanging="284"/>
      </w:pPr>
      <w:r>
        <w:t xml:space="preserve">Een laatste element dat gevraagd is, met betrekking tot de </w:t>
      </w:r>
      <w:r w:rsidR="00804CBF">
        <w:t>praktische</w:t>
      </w:r>
      <w:r>
        <w:t xml:space="preserve"> toepassing van de </w:t>
      </w:r>
      <w:r w:rsidR="0024544F">
        <w:t>Huurschat</w:t>
      </w:r>
      <w:r w:rsidR="00711296">
        <w:softHyphen/>
      </w:r>
      <w:r w:rsidR="0024544F">
        <w:t>ter</w:t>
      </w:r>
      <w:r>
        <w:t xml:space="preserve"> is een weergave van het belang van elke variabele. Het is immers niet haast onmogelijk om voor elke sociale woning al de gevraagde elementen in de </w:t>
      </w:r>
      <w:r w:rsidR="0024544F">
        <w:t>Huurschatter</w:t>
      </w:r>
      <w:r>
        <w:t xml:space="preserve"> administratief op te volgen. Op die manier kan nagegaan worden welke elementen op een default </w:t>
      </w:r>
      <w:proofErr w:type="spellStart"/>
      <w:r>
        <w:t>value</w:t>
      </w:r>
      <w:proofErr w:type="spellEnd"/>
      <w:r>
        <w:t xml:space="preserve"> gezet kunnen worden zonder al te veel aan accuraatheid in te boeten. </w:t>
      </w:r>
    </w:p>
    <w:p w:rsidR="0008544A" w:rsidRDefault="0008544A" w:rsidP="0008544A">
      <w:pPr>
        <w:spacing w:before="0" w:line="240" w:lineRule="auto"/>
        <w:jc w:val="left"/>
        <w:rPr>
          <w:rFonts w:ascii="Candara" w:hAnsi="Candara" w:cs="Arial"/>
          <w:b/>
          <w:bCs/>
          <w:color w:val="491469"/>
          <w:sz w:val="40"/>
          <w:szCs w:val="34"/>
        </w:rPr>
      </w:pPr>
      <w:r>
        <w:br w:type="page"/>
      </w:r>
    </w:p>
    <w:p w:rsidR="0008544A" w:rsidRDefault="0008544A" w:rsidP="0008544A">
      <w:pPr>
        <w:pStyle w:val="Heading1"/>
      </w:pPr>
      <w:bookmarkStart w:id="10" w:name="_Toc464122169"/>
      <w:r>
        <w:lastRenderedPageBreak/>
        <w:t>Interpretatie van het model en zijn resultaten</w:t>
      </w:r>
      <w:bookmarkEnd w:id="10"/>
    </w:p>
    <w:p w:rsidR="0008544A" w:rsidRDefault="0008544A" w:rsidP="0008544A">
      <w:r>
        <w:t xml:space="preserve">We starten met een bespreking van het model en de resultaten hiervan, zoals die ook grotendeels terug te vinden zijn Helgers en Vastmans (2016). We nemen als uitgangspunt de resultaten van het log-lineair model. Centraal in deze bespreking is het evenwicht tussen enerzijds een eenvoudig en transparante berekening en anderzijds een accurate schatting van de huurmarktwaarde. </w:t>
      </w:r>
    </w:p>
    <w:p w:rsidR="0008544A" w:rsidRDefault="0008544A" w:rsidP="0008544A">
      <w:r>
        <w:t>Niet alle variabelen van woningkenmerken zijn beschikbaar voor de hele voorraad van sociale wonin</w:t>
      </w:r>
      <w:r w:rsidR="00711296">
        <w:softHyphen/>
      </w:r>
      <w:r>
        <w:t>gen. Dit hoofdstuk biedt dan ook een inzicht welke variabelen met een default waarde in het model gebracht kunnen worden omdat ze enerzijds moeilijk te bevragen zijn en anderzijds een minder grote voorspelkracht hebben.</w:t>
      </w:r>
    </w:p>
    <w:p w:rsidR="0008544A" w:rsidRDefault="00FA284C" w:rsidP="0008544A">
      <w:pPr>
        <w:pStyle w:val="Heading2"/>
      </w:pPr>
      <w:bookmarkStart w:id="11" w:name="_Toc464122170"/>
      <w:r>
        <w:t>V</w:t>
      </w:r>
      <w:r w:rsidR="0008544A">
        <w:t>ergelijking woningwaardestelsel Nederland</w:t>
      </w:r>
      <w:bookmarkEnd w:id="11"/>
    </w:p>
    <w:p w:rsidR="0008544A" w:rsidRDefault="0008544A" w:rsidP="0008544A">
      <w:r>
        <w:t xml:space="preserve">Kan de </w:t>
      </w:r>
      <w:r w:rsidR="0024544F">
        <w:t>Huurschatter</w:t>
      </w:r>
      <w:r>
        <w:t xml:space="preserve"> niet eenvoudiger toegepast worden, met minder woningkenmerken? Zo is er in Nederland een redelijk eenvoudig puntensysteem van </w:t>
      </w:r>
      <w:r w:rsidR="00804CBF">
        <w:t>toepassing.</w:t>
      </w:r>
      <w:r>
        <w:t xml:space="preserve"> Dit woningwaardestelsel (WWS) wordt gebruikt om maximale huurprijzen te bepalen en is dus verschillend in opzet van de </w:t>
      </w:r>
      <w:r w:rsidR="0024544F">
        <w:t>Huurschat</w:t>
      </w:r>
      <w:r w:rsidR="00711296">
        <w:softHyphen/>
      </w:r>
      <w:r w:rsidR="0024544F">
        <w:t>ter</w:t>
      </w:r>
      <w:r>
        <w:t xml:space="preserve"> die huurmarktwaarden schat om op die manier de transparantie te verhogen. Het is evenwel inte</w:t>
      </w:r>
      <w:r w:rsidR="00711296">
        <w:softHyphen/>
      </w:r>
      <w:r>
        <w:t>ressant om beide systemen met elkaar te vergelijken wat betreft de werkwijze om de respectievelijke huurprijzen (maximaal versus huurmarktwaarde) te bepalen.</w:t>
      </w:r>
      <w:r w:rsidR="0024544F">
        <w:t xml:space="preserve"> </w:t>
      </w:r>
    </w:p>
    <w:p w:rsidR="0008544A" w:rsidRDefault="0008544A" w:rsidP="00E44A15">
      <w:r>
        <w:t xml:space="preserve">Het puntensysteem in Nederland was eerder normatief. Dit </w:t>
      </w:r>
      <w:r w:rsidR="00804CBF">
        <w:t>zorgde</w:t>
      </w:r>
      <w:r>
        <w:t xml:space="preserve"> voor een zekere rigiditeit. Huur</w:t>
      </w:r>
      <w:r w:rsidR="00711296">
        <w:softHyphen/>
      </w:r>
      <w:r>
        <w:t xml:space="preserve">woningen in Amsterdam kenden dezelfde maximale huurprijzen als in meer perifere gemeenten. Later is er een </w:t>
      </w:r>
      <w:proofErr w:type="spellStart"/>
      <w:r>
        <w:t>schaarstepremie</w:t>
      </w:r>
      <w:proofErr w:type="spellEnd"/>
      <w:r>
        <w:t xml:space="preserve"> toegevoegd, maar deze was ook nog niet fijnmazig genoeg om lokale ver</w:t>
      </w:r>
      <w:r w:rsidR="00711296">
        <w:softHyphen/>
      </w:r>
      <w:r>
        <w:t>schillen op te nemen. De laatste aanpassing van het WWS</w:t>
      </w:r>
      <w:r>
        <w:rPr>
          <w:rStyle w:val="FootnoteReference"/>
        </w:rPr>
        <w:footnoteReference w:id="1"/>
      </w:r>
      <w:r>
        <w:t xml:space="preserve"> is </w:t>
      </w:r>
      <w:r w:rsidR="00E44A15">
        <w:t xml:space="preserve">erop gericht om de WOZ-waarde </w:t>
      </w:r>
      <w:r w:rsidR="00E44A15">
        <w:noBreakHyphen/>
        <w:t> </w:t>
      </w:r>
      <w:r>
        <w:t>de verkoopwaarde van de woning</w:t>
      </w:r>
      <w:r w:rsidR="00E44A15">
        <w:t> </w:t>
      </w:r>
      <w:r w:rsidR="00E44A15">
        <w:noBreakHyphen/>
      </w:r>
      <w:r>
        <w:t xml:space="preserve"> gemiddeld ca. 25% van de maximale huurprijs te laten bepalen. </w:t>
      </w:r>
      <w:r w:rsidRPr="004F2CC4">
        <w:t xml:space="preserve">De </w:t>
      </w:r>
      <w:r w:rsidR="00E44A15">
        <w:t>WOZ-waarde</w:t>
      </w:r>
      <w:r w:rsidRPr="004F2CC4">
        <w:t xml:space="preserve"> is de waarde van onroerende zaken in Nederland, vergelijkbaar met het Belgische kadas</w:t>
      </w:r>
      <w:r w:rsidR="00711296">
        <w:softHyphen/>
      </w:r>
      <w:r w:rsidRPr="004F2CC4">
        <w:t>trale inkomen, maar dan met als basis de verkoopwaarde in plaats van de huurwaarde</w:t>
      </w:r>
      <w:r>
        <w:t>, en met als grote verschil dat de WOZ-waarde wordt geactualiseerd.</w:t>
      </w:r>
      <w:r w:rsidRPr="004F2CC4">
        <w:t xml:space="preserve"> </w:t>
      </w:r>
      <w:r>
        <w:t>In eerste instantie is ze de administratieve belastbare basis van een woning in Nederland, maar ondertussen wordt ze gebruikt voor diverse toe</w:t>
      </w:r>
      <w:r w:rsidR="00711296">
        <w:softHyphen/>
      </w:r>
      <w:r>
        <w:t xml:space="preserve">passingen. Ze wordt met </w:t>
      </w:r>
      <w:proofErr w:type="spellStart"/>
      <w:r>
        <w:t>hedonische</w:t>
      </w:r>
      <w:proofErr w:type="spellEnd"/>
      <w:r>
        <w:t xml:space="preserve"> prijsmodellen berekend, net gelijk de </w:t>
      </w:r>
      <w:r w:rsidR="0024544F">
        <w:t>Huurschatter</w:t>
      </w:r>
      <w:r>
        <w:t xml:space="preserve"> gebaseerd is op </w:t>
      </w:r>
      <w:proofErr w:type="spellStart"/>
      <w:r>
        <w:t>hedonische</w:t>
      </w:r>
      <w:proofErr w:type="spellEnd"/>
      <w:r>
        <w:t xml:space="preserve"> prijsmodellen. Deze berekeningen gebruiken de marktwaarden die gebaseerd zijn op de resultaten van vraag en aanbod, op werkelijke prijzen in de woningmarkt. </w:t>
      </w:r>
    </w:p>
    <w:p w:rsidR="0008544A" w:rsidRDefault="0008544A" w:rsidP="00E44A15">
      <w:r>
        <w:t xml:space="preserve">De uitbreiding van het WWS met de </w:t>
      </w:r>
      <w:r w:rsidR="00E44A15">
        <w:t>WOZ-waarde</w:t>
      </w:r>
      <w:r>
        <w:t xml:space="preserve"> in Nederland zorgt ervoor dat het puntensysteem niet meer zo eenvoudig is als in het begin. De WOZ-waarde is weliswaar een ingeburgerd begrip in Nederland, maar de berekening is complex. Een puntensysteem opzetten op basis van de WOZ-waarde oogt dan ook eenvoudig, maar is het rekenkundig niet. Bovendien worden deze punten vervolgens nog eens </w:t>
      </w:r>
      <w:proofErr w:type="spellStart"/>
      <w:r>
        <w:t>doorvertaald</w:t>
      </w:r>
      <w:proofErr w:type="spellEnd"/>
      <w:r>
        <w:t xml:space="preserve"> naar m</w:t>
      </w:r>
      <w:r w:rsidR="00E44A15">
        <w:t>aximale huurprijzen. In bijlage </w:t>
      </w:r>
      <w:r>
        <w:t xml:space="preserve">1 vindt u hiervan een overzicht. De </w:t>
      </w:r>
      <w:r w:rsidR="0024544F">
        <w:t>Huurschat</w:t>
      </w:r>
      <w:r w:rsidR="00711296">
        <w:softHyphen/>
      </w:r>
      <w:r w:rsidR="0024544F">
        <w:t>ter</w:t>
      </w:r>
      <w:r>
        <w:t xml:space="preserve"> voert deze berekening in één stap uit omdat deze dadelijk van de woningkenmerken de doorver</w:t>
      </w:r>
      <w:r w:rsidR="00711296">
        <w:softHyphen/>
      </w:r>
      <w:r>
        <w:lastRenderedPageBreak/>
        <w:t>taling maakt naar de huurmarktwaarde. De regionale verscheidenheid wordt op het niveau van statis</w:t>
      </w:r>
      <w:r w:rsidR="00711296">
        <w:softHyphen/>
      </w:r>
      <w:r>
        <w:t>tische sectoren berekend. Daarnaast hangt de waarde van een woningkenmerk vaak af van andere woningkenmerken: De huurwaarde van een tuin en een garage is hoger in dichtbevolkte gebieden, hoe hoger de verdieping in een appartement hoe lager de huurmarktwaarde indien er geen lift aan</w:t>
      </w:r>
      <w:r w:rsidR="00711296">
        <w:softHyphen/>
      </w:r>
      <w:r>
        <w:t>wezig is, en omgekeerd indien er wel een lift aanwezig is</w:t>
      </w:r>
      <w:r w:rsidR="00E44A15">
        <w:t>, ...</w:t>
      </w:r>
      <w:r>
        <w:t xml:space="preserve"> Dergelijke elementen zorgen ervoor dat een eenvoudig puntensysteem gelijk in Nederland niet toepasbaar is. Een te eenvoudig systeem zorgt er immers voor dat het andere belangrijke criterium, de accuraatheid van de schatting te veel aan belang zou inboeten. Dit wil niet zeg</w:t>
      </w:r>
      <w:r w:rsidR="00E44A15">
        <w:t xml:space="preserve">gen dat de berekening een </w:t>
      </w:r>
      <w:r w:rsidR="00804CBF">
        <w:t>black box</w:t>
      </w:r>
      <w:r>
        <w:t xml:space="preserve"> is. In het volgende punt worden diverse woningkenmerken en hun respectievelijke huurmarktwaarden daartoe in detail besproken.</w:t>
      </w:r>
    </w:p>
    <w:p w:rsidR="0008544A" w:rsidRDefault="0008544A" w:rsidP="0008544A">
      <w:pPr>
        <w:pStyle w:val="Heading2"/>
      </w:pPr>
      <w:bookmarkStart w:id="12" w:name="_Toc464122171"/>
      <w:r>
        <w:t>Log-lineaire benadering</w:t>
      </w:r>
      <w:bookmarkEnd w:id="12"/>
    </w:p>
    <w:p w:rsidR="0008544A" w:rsidRDefault="0008544A" w:rsidP="00E44A15">
      <w:r>
        <w:t xml:space="preserve">In een laatste update van de </w:t>
      </w:r>
      <w:r w:rsidR="0024544F">
        <w:t>Huurschatter</w:t>
      </w:r>
      <w:r>
        <w:t xml:space="preserve"> is gekozen voor de log-lineaire benadering. We bespreken deze hier kort, maar verwijzen voor meer detail naar </w:t>
      </w:r>
      <w:r w:rsidR="0024544F">
        <w:t>‘</w:t>
      </w:r>
      <w:r>
        <w:t>De Huurschatter</w:t>
      </w:r>
      <w:r w:rsidR="00E44A15">
        <w:t>.</w:t>
      </w:r>
      <w:r>
        <w:t xml:space="preserve"> </w:t>
      </w:r>
      <w:r w:rsidR="00E44A15">
        <w:t>D</w:t>
      </w:r>
      <w:r>
        <w:t>eel 3</w:t>
      </w:r>
      <w:r w:rsidR="00E44A15">
        <w:t>.</w:t>
      </w:r>
      <w:r>
        <w:t xml:space="preserve"> </w:t>
      </w:r>
      <w:r w:rsidR="00E44A15">
        <w:t>D</w:t>
      </w:r>
      <w:r>
        <w:t>e log-lineaire benade</w:t>
      </w:r>
      <w:r w:rsidR="00711296">
        <w:softHyphen/>
      </w:r>
      <w:r>
        <w:t>ring</w:t>
      </w:r>
      <w:r w:rsidR="0024544F">
        <w:t>’</w:t>
      </w:r>
      <w:r>
        <w:t xml:space="preserve">. Deze gaf de beste resultaten in vergelijking met twee andere basisvarianten (de lineaire, en de prijs per m²-benadering) en laat toe om op een eenvoudige manier de resultaten te interpreteren. </w:t>
      </w:r>
    </w:p>
    <w:p w:rsidR="0008544A" w:rsidRDefault="0008544A" w:rsidP="00E44A15">
      <w:r>
        <w:t>Hoe ziet deze log-lineaire benadering eruit</w:t>
      </w:r>
      <w:r w:rsidR="0024544F">
        <w:t>?</w:t>
      </w:r>
    </w:p>
    <w:p w:rsidR="0008544A" w:rsidRPr="005A0078" w:rsidRDefault="0008544A" w:rsidP="00E44A15">
      <w:pPr>
        <w:rPr>
          <w:rFonts w:eastAsiaTheme="minorEastAsia"/>
          <w:lang w:val="nl-NL"/>
        </w:rPr>
      </w:pPr>
      <w:r>
        <w:rPr>
          <w:rFonts w:eastAsiaTheme="minorEastAsia"/>
          <w:lang w:val="nl-NL"/>
        </w:rPr>
        <w:t xml:space="preserve">In </w:t>
      </w:r>
      <w:r w:rsidRPr="005A0078">
        <w:rPr>
          <w:rFonts w:eastAsiaTheme="minorEastAsia"/>
          <w:lang w:val="nl-NL"/>
        </w:rPr>
        <w:t xml:space="preserve">de praktijk </w:t>
      </w:r>
      <w:r>
        <w:rPr>
          <w:rFonts w:eastAsiaTheme="minorEastAsia"/>
          <w:lang w:val="nl-NL"/>
        </w:rPr>
        <w:t xml:space="preserve">wordt </w:t>
      </w:r>
      <w:r w:rsidRPr="005A0078">
        <w:rPr>
          <w:rFonts w:eastAsiaTheme="minorEastAsia"/>
          <w:lang w:val="nl-NL"/>
        </w:rPr>
        <w:t>veelvuldig gebruik gemaakt van zogenaamde log-lineaire of log-log regressie</w:t>
      </w:r>
      <w:r w:rsidR="00711296">
        <w:rPr>
          <w:rFonts w:eastAsiaTheme="minorEastAsia"/>
          <w:lang w:val="nl-NL"/>
        </w:rPr>
        <w:softHyphen/>
      </w:r>
      <w:r w:rsidRPr="005A0078">
        <w:rPr>
          <w:rFonts w:eastAsiaTheme="minorEastAsia"/>
          <w:lang w:val="nl-NL"/>
        </w:rPr>
        <w:t xml:space="preserve">specificaties waarbij de afhankelijke variabele, </w:t>
      </w:r>
      <m:oMath>
        <m:sSubSup>
          <m:sSubSupPr>
            <m:ctrlPr>
              <w:rPr>
                <w:rFonts w:ascii="Cambria Math" w:hAnsi="Cambria Math"/>
                <w:i/>
                <w:lang w:val="nl-NL"/>
              </w:rPr>
            </m:ctrlPr>
          </m:sSubSupPr>
          <m:e>
            <m:r>
              <w:rPr>
                <w:rFonts w:ascii="Cambria Math" w:hAnsi="Cambria Math"/>
                <w:lang w:val="nl-NL"/>
              </w:rPr>
              <m:t>P</m:t>
            </m:r>
          </m:e>
          <m:sub>
            <m:r>
              <w:rPr>
                <w:rFonts w:ascii="Cambria Math" w:hAnsi="Cambria Math"/>
                <w:lang w:val="nl-NL"/>
              </w:rPr>
              <m:t>i</m:t>
            </m:r>
          </m:sub>
          <m:sup>
            <m:r>
              <w:rPr>
                <w:rFonts w:ascii="Cambria Math" w:hAnsi="Cambria Math"/>
                <w:lang w:val="nl-NL"/>
              </w:rPr>
              <m:t>h</m:t>
            </m:r>
          </m:sup>
        </m:sSubSup>
      </m:oMath>
      <w:r w:rsidRPr="005A0078">
        <w:rPr>
          <w:rFonts w:eastAsiaTheme="minorEastAsia"/>
          <w:lang w:val="nl-NL"/>
        </w:rPr>
        <w:t xml:space="preserve">, en/of onafhankelijke variabele logaritmisch getransformeerd1 worden. Dit leidt tot de volgende regressievergelijking: </w:t>
      </w:r>
    </w:p>
    <w:p w:rsidR="0008544A" w:rsidRPr="00E44A15" w:rsidRDefault="008D437F" w:rsidP="00FA284C">
      <w:pPr>
        <w:spacing w:before="120"/>
        <w:rPr>
          <w:rFonts w:eastAsiaTheme="minorEastAsia"/>
          <w:lang w:val="nl-NL"/>
        </w:rPr>
      </w:pPr>
      <m:oMathPara>
        <m:oMathParaPr>
          <m:jc m:val="center"/>
        </m:oMathParaPr>
        <m:oMath>
          <m:sSubSup>
            <m:sSubSupPr>
              <m:ctrlPr>
                <w:rPr>
                  <w:rFonts w:ascii="Cambria Math" w:hAnsi="Cambria Math"/>
                  <w:i/>
                  <w:lang w:val="nl-NL"/>
                </w:rPr>
              </m:ctrlPr>
            </m:sSubSupPr>
            <m:e>
              <m:r>
                <m:rPr>
                  <m:sty m:val="p"/>
                </m:rPr>
                <w:rPr>
                  <w:rFonts w:ascii="Cambria Math" w:hAnsi="Cambria Math"/>
                  <w:lang w:val="nl-NL"/>
                </w:rPr>
                <m:t>ln⁡</m:t>
              </m:r>
              <m:r>
                <w:rPr>
                  <w:rFonts w:ascii="Cambria Math" w:hAnsi="Cambria Math"/>
                  <w:lang w:val="nl-NL"/>
                </w:rPr>
                <m:t>(P</m:t>
              </m:r>
            </m:e>
            <m:sub>
              <m:r>
                <w:rPr>
                  <w:rFonts w:ascii="Cambria Math" w:hAnsi="Cambria Math"/>
                  <w:lang w:val="nl-NL"/>
                </w:rPr>
                <m:t>i</m:t>
              </m:r>
            </m:sub>
            <m:sup>
              <m:r>
                <w:rPr>
                  <w:rFonts w:ascii="Cambria Math" w:hAnsi="Cambria Math"/>
                  <w:lang w:val="nl-NL"/>
                </w:rPr>
                <m:t>h</m:t>
              </m:r>
            </m:sup>
          </m:sSubSup>
          <m:r>
            <w:rPr>
              <w:rFonts w:ascii="Cambria Math" w:hAnsi="Cambria Math"/>
              <w:lang w:val="nl-NL"/>
            </w:rPr>
            <m:t>)=α+</m:t>
          </m:r>
          <m:sSub>
            <m:sSubPr>
              <m:ctrlPr>
                <w:rPr>
                  <w:rFonts w:ascii="Cambria Math" w:hAnsi="Cambria Math"/>
                  <w:i/>
                  <w:lang w:val="nl-NL"/>
                </w:rPr>
              </m:ctrlPr>
            </m:sSubPr>
            <m:e>
              <m:r>
                <w:rPr>
                  <w:rFonts w:ascii="Cambria Math" w:hAnsi="Cambria Math"/>
                  <w:lang w:val="nl-NL"/>
                </w:rPr>
                <m:t>β*</m:t>
              </m:r>
              <m:r>
                <m:rPr>
                  <m:sty m:val="p"/>
                </m:rPr>
                <w:rPr>
                  <w:rFonts w:ascii="Cambria Math" w:hAnsi="Cambria Math"/>
                  <w:lang w:val="nl-NL"/>
                </w:rPr>
                <m:t>ln⁡</m:t>
              </m:r>
              <m:r>
                <w:rPr>
                  <w:rFonts w:ascii="Cambria Math" w:hAnsi="Cambria Math"/>
                  <w:lang w:val="nl-NL"/>
                </w:rPr>
                <m:t>(oppbew</m:t>
              </m:r>
            </m:e>
            <m:sub>
              <m:r>
                <w:rPr>
                  <w:rFonts w:ascii="Cambria Math" w:hAnsi="Cambria Math"/>
                  <w:lang w:val="nl-NL"/>
                </w:rPr>
                <m:t>i</m:t>
              </m:r>
            </m:sub>
          </m:sSub>
          <m:r>
            <w:rPr>
              <w:rFonts w:ascii="Cambria Math" w:hAnsi="Cambria Math"/>
              <w:lang w:val="nl-NL"/>
            </w:rPr>
            <m:t>)+γ*</m:t>
          </m:r>
          <m:sSub>
            <m:sSubPr>
              <m:ctrlPr>
                <w:rPr>
                  <w:rFonts w:ascii="Cambria Math" w:hAnsi="Cambria Math"/>
                  <w:i/>
                  <w:lang w:val="nl-NL"/>
                </w:rPr>
              </m:ctrlPr>
            </m:sSubPr>
            <m:e>
              <m:r>
                <w:rPr>
                  <w:rFonts w:ascii="Cambria Math" w:hAnsi="Cambria Math"/>
                  <w:lang w:val="nl-NL"/>
                </w:rPr>
                <m:t>ac</m:t>
              </m:r>
            </m:e>
            <m:sub>
              <m:r>
                <w:rPr>
                  <w:rFonts w:ascii="Cambria Math" w:hAnsi="Cambria Math"/>
                  <w:lang w:val="nl-NL"/>
                </w:rPr>
                <m:t>i</m:t>
              </m:r>
            </m:sub>
          </m:sSub>
          <m:r>
            <w:rPr>
              <w:rFonts w:ascii="Cambria Math" w:hAnsi="Cambria Math"/>
              <w:lang w:val="nl-NL"/>
            </w:rPr>
            <m:t>+δ*</m:t>
          </m:r>
          <m:sSub>
            <m:sSubPr>
              <m:ctrlPr>
                <w:rPr>
                  <w:rFonts w:ascii="Cambria Math" w:hAnsi="Cambria Math"/>
                  <w:i/>
                  <w:lang w:val="nl-NL"/>
                </w:rPr>
              </m:ctrlPr>
            </m:sSubPr>
            <m:e>
              <m:r>
                <w:rPr>
                  <w:rFonts w:ascii="Cambria Math" w:hAnsi="Cambria Math"/>
                  <w:lang w:val="nl-NL"/>
                </w:rPr>
                <m:t>jh</m:t>
              </m:r>
            </m:e>
            <m:sub>
              <m:r>
                <w:rPr>
                  <w:rFonts w:ascii="Cambria Math" w:hAnsi="Cambria Math"/>
                  <w:lang w:val="nl-NL"/>
                </w:rPr>
                <m:t>i</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ε</m:t>
              </m:r>
            </m:e>
            <m:sub>
              <m:r>
                <w:rPr>
                  <w:rFonts w:ascii="Cambria Math" w:hAnsi="Cambria Math"/>
                  <w:lang w:val="nl-NL"/>
                </w:rPr>
                <m:t>i</m:t>
              </m:r>
            </m:sub>
          </m:sSub>
        </m:oMath>
      </m:oMathPara>
    </w:p>
    <w:p w:rsidR="0008544A" w:rsidRPr="005A0078" w:rsidRDefault="0008544A" w:rsidP="00FA284C">
      <w:pPr>
        <w:spacing w:before="120"/>
        <w:rPr>
          <w:rFonts w:eastAsiaTheme="minorEastAsia"/>
          <w:lang w:val="nl-NL"/>
        </w:rPr>
      </w:pPr>
      <w:r w:rsidRPr="005A0078">
        <w:rPr>
          <w:rFonts w:eastAsiaTheme="minorEastAsia"/>
          <w:lang w:val="nl-NL"/>
        </w:rPr>
        <w:t xml:space="preserve">Waarbij de variabelen </w:t>
      </w:r>
      <m:oMath>
        <m:sSubSup>
          <m:sSubSupPr>
            <m:ctrlPr>
              <w:rPr>
                <w:rFonts w:ascii="Cambria Math" w:hAnsi="Cambria Math"/>
                <w:i/>
                <w:lang w:val="nl-NL"/>
              </w:rPr>
            </m:ctrlPr>
          </m:sSubSupPr>
          <m:e>
            <m:r>
              <w:rPr>
                <w:rFonts w:ascii="Cambria Math" w:hAnsi="Cambria Math"/>
                <w:lang w:val="nl-NL"/>
              </w:rPr>
              <m:t>P</m:t>
            </m:r>
          </m:e>
          <m:sub>
            <m:r>
              <w:rPr>
                <w:rFonts w:ascii="Cambria Math" w:hAnsi="Cambria Math"/>
                <w:lang w:val="nl-NL"/>
              </w:rPr>
              <m:t>i</m:t>
            </m:r>
          </m:sub>
          <m:sup>
            <m:r>
              <w:rPr>
                <w:rFonts w:ascii="Cambria Math" w:hAnsi="Cambria Math"/>
                <w:lang w:val="nl-NL"/>
              </w:rPr>
              <m:t>h</m:t>
            </m:r>
          </m:sup>
        </m:sSubSup>
      </m:oMath>
      <w:r w:rsidRPr="005A0078">
        <w:rPr>
          <w:rFonts w:eastAsiaTheme="minorEastAsia"/>
          <w:lang w:val="nl-NL"/>
        </w:rPr>
        <w:t xml:space="preserve"> en </w:t>
      </w:r>
      <m:oMath>
        <m:sSub>
          <m:sSubPr>
            <m:ctrlPr>
              <w:rPr>
                <w:rFonts w:ascii="Cambria Math" w:hAnsi="Cambria Math"/>
                <w:i/>
                <w:lang w:val="nl-NL"/>
              </w:rPr>
            </m:ctrlPr>
          </m:sSubPr>
          <m:e>
            <m:r>
              <w:rPr>
                <w:rFonts w:ascii="Cambria Math" w:hAnsi="Cambria Math"/>
                <w:lang w:val="nl-NL"/>
              </w:rPr>
              <m:t>oppbew</m:t>
            </m:r>
          </m:e>
          <m:sub>
            <m:r>
              <w:rPr>
                <w:rFonts w:ascii="Cambria Math" w:hAnsi="Cambria Math"/>
                <w:lang w:val="nl-NL"/>
              </w:rPr>
              <m:t>i</m:t>
            </m:r>
          </m:sub>
        </m:sSub>
      </m:oMath>
      <w:r w:rsidRPr="005A0078">
        <w:rPr>
          <w:rFonts w:eastAsiaTheme="minorEastAsia"/>
          <w:lang w:val="nl-NL"/>
        </w:rPr>
        <w:t xml:space="preserve"> nu logaritmisch getransformeerd zijn. Een toename van de getransformeerde variabele </w:t>
      </w:r>
      <m:oMath>
        <m:sSubSup>
          <m:sSubSupPr>
            <m:ctrlPr>
              <w:rPr>
                <w:rFonts w:ascii="Cambria Math" w:hAnsi="Cambria Math"/>
                <w:i/>
                <w:lang w:val="nl-NL"/>
              </w:rPr>
            </m:ctrlPr>
          </m:sSubSupPr>
          <m:e>
            <m:r>
              <m:rPr>
                <m:sty m:val="p"/>
              </m:rPr>
              <w:rPr>
                <w:rFonts w:ascii="Cambria Math" w:hAnsi="Cambria Math"/>
                <w:lang w:val="nl-NL"/>
              </w:rPr>
              <m:t>ln⁡</m:t>
            </m:r>
            <m:r>
              <w:rPr>
                <w:rFonts w:ascii="Cambria Math" w:hAnsi="Cambria Math"/>
                <w:lang w:val="nl-NL"/>
              </w:rPr>
              <m:t>(P</m:t>
            </m:r>
          </m:e>
          <m:sub>
            <m:r>
              <w:rPr>
                <w:rFonts w:ascii="Cambria Math" w:hAnsi="Cambria Math"/>
                <w:lang w:val="nl-NL"/>
              </w:rPr>
              <m:t>i</m:t>
            </m:r>
          </m:sub>
          <m:sup>
            <m:r>
              <w:rPr>
                <w:rFonts w:ascii="Cambria Math" w:hAnsi="Cambria Math"/>
                <w:lang w:val="nl-NL"/>
              </w:rPr>
              <m:t>h</m:t>
            </m:r>
          </m:sup>
        </m:sSubSup>
        <m:r>
          <w:rPr>
            <w:rFonts w:ascii="Cambria Math" w:hAnsi="Cambria Math"/>
            <w:lang w:val="nl-NL"/>
          </w:rPr>
          <m:t>)</m:t>
        </m:r>
      </m:oMath>
      <w:r w:rsidRPr="005A0078">
        <w:rPr>
          <w:rFonts w:eastAsiaTheme="minorEastAsia"/>
          <w:lang w:val="nl-NL"/>
        </w:rPr>
        <w:t xml:space="preserve"> met 0,01 komt ruwweg overeen met een toename van 1% van de niet-getransformeerde variabele. Aangezien de huurprijs van ieder pand logaritmisch getransformeerd wordt vertegenwoordigen de coëfficiënten </w:t>
      </w:r>
      <m:oMath>
        <m:r>
          <w:rPr>
            <w:rFonts w:ascii="Cambria Math" w:hAnsi="Cambria Math"/>
            <w:lang w:val="nl-NL"/>
          </w:rPr>
          <m:t>α</m:t>
        </m:r>
      </m:oMath>
      <w:r w:rsidRPr="005A0078">
        <w:rPr>
          <w:rFonts w:eastAsiaTheme="minorEastAsia"/>
          <w:lang w:val="nl-NL"/>
        </w:rPr>
        <w:t xml:space="preserve">, </w:t>
      </w:r>
      <m:oMath>
        <m:r>
          <w:rPr>
            <w:rFonts w:ascii="Cambria Math" w:hAnsi="Cambria Math"/>
            <w:lang w:val="nl-NL"/>
          </w:rPr>
          <m:t>β</m:t>
        </m:r>
      </m:oMath>
      <w:r w:rsidRPr="005A0078">
        <w:rPr>
          <w:rFonts w:eastAsiaTheme="minorEastAsia"/>
          <w:lang w:val="nl-NL"/>
        </w:rPr>
        <w:t xml:space="preserve"> en </w:t>
      </w:r>
      <m:oMath>
        <m:r>
          <w:rPr>
            <w:rFonts w:ascii="Cambria Math" w:eastAsiaTheme="minorEastAsia" w:hAnsi="Cambria Math"/>
            <w:lang w:val="nl-NL"/>
          </w:rPr>
          <m:t>γ</m:t>
        </m:r>
      </m:oMath>
      <w:r w:rsidRPr="005A0078">
        <w:rPr>
          <w:rFonts w:eastAsiaTheme="minorEastAsia"/>
          <w:lang w:val="nl-NL"/>
        </w:rPr>
        <w:t xml:space="preserve"> en </w:t>
      </w:r>
      <m:oMath>
        <m:r>
          <w:rPr>
            <w:rFonts w:ascii="Cambria Math" w:eastAsiaTheme="minorEastAsia" w:hAnsi="Cambria Math"/>
            <w:lang w:val="nl-NL"/>
          </w:rPr>
          <m:t>δ</m:t>
        </m:r>
      </m:oMath>
      <w:r w:rsidRPr="005A0078">
        <w:rPr>
          <w:rFonts w:eastAsiaTheme="minorEastAsia"/>
          <w:lang w:val="nl-NL"/>
        </w:rPr>
        <w:t xml:space="preserve"> niet langer bedragen in euro’s, maar kunnen zijn geïnterpreteerd worden als percentages. Bemerk wel het verschil tussen enerzijds</w:t>
      </w:r>
      <w:r w:rsidR="0024544F">
        <w:rPr>
          <w:rFonts w:eastAsiaTheme="minorEastAsia"/>
          <w:lang w:val="nl-NL"/>
        </w:rPr>
        <w:t xml:space="preserve"> </w:t>
      </w:r>
      <m:oMath>
        <m:sSub>
          <m:sSubPr>
            <m:ctrlPr>
              <w:rPr>
                <w:rFonts w:ascii="Cambria Math" w:hAnsi="Cambria Math"/>
                <w:i/>
                <w:lang w:val="nl-NL"/>
              </w:rPr>
            </m:ctrlPr>
          </m:sSubPr>
          <m:e>
            <m:r>
              <m:rPr>
                <m:sty m:val="p"/>
              </m:rPr>
              <w:rPr>
                <w:rFonts w:ascii="Cambria Math" w:hAnsi="Cambria Math"/>
                <w:lang w:val="nl-NL"/>
              </w:rPr>
              <m:t>ln⁡</m:t>
            </m:r>
            <m:r>
              <w:rPr>
                <w:rFonts w:ascii="Cambria Math" w:hAnsi="Cambria Math"/>
                <w:lang w:val="nl-NL"/>
              </w:rPr>
              <m:t>(oppbew</m:t>
            </m:r>
          </m:e>
          <m:sub>
            <m:r>
              <w:rPr>
                <w:rFonts w:ascii="Cambria Math" w:hAnsi="Cambria Math"/>
                <w:lang w:val="nl-NL"/>
              </w:rPr>
              <m:t>i</m:t>
            </m:r>
          </m:sub>
        </m:sSub>
        <m:r>
          <w:rPr>
            <w:rFonts w:ascii="Cambria Math" w:hAnsi="Cambria Math"/>
            <w:lang w:val="nl-NL"/>
          </w:rPr>
          <m:t>)</m:t>
        </m:r>
      </m:oMath>
      <w:r w:rsidRPr="005A0078">
        <w:rPr>
          <w:rFonts w:eastAsiaTheme="minorEastAsia"/>
          <w:lang w:val="nl-NL"/>
        </w:rPr>
        <w:t xml:space="preserve"> waar de bewoonbare oppervlakte ook logaritmisch getransformeerd is en anderzijds </w:t>
      </w:r>
      <m:oMath>
        <m:sSub>
          <m:sSubPr>
            <m:ctrlPr>
              <w:rPr>
                <w:rFonts w:ascii="Cambria Math" w:hAnsi="Cambria Math"/>
                <w:i/>
                <w:lang w:val="nl-NL"/>
              </w:rPr>
            </m:ctrlPr>
          </m:sSubPr>
          <m:e>
            <m:r>
              <w:rPr>
                <w:rFonts w:ascii="Cambria Math" w:hAnsi="Cambria Math"/>
                <w:lang w:val="nl-NL"/>
              </w:rPr>
              <m:t>ac</m:t>
            </m:r>
          </m:e>
          <m:sub>
            <m:r>
              <w:rPr>
                <w:rFonts w:ascii="Cambria Math" w:hAnsi="Cambria Math"/>
                <w:lang w:val="nl-NL"/>
              </w:rPr>
              <m:t>i</m:t>
            </m:r>
          </m:sub>
        </m:sSub>
      </m:oMath>
      <w:r w:rsidRPr="005A0078">
        <w:rPr>
          <w:rFonts w:eastAsiaTheme="minorEastAsia"/>
          <w:lang w:val="nl-NL"/>
        </w:rPr>
        <w:t>, de afstand tot het stadscentrum, dat niet getransformeerd is. Zo leidt een stijging van de bewoonbare oppervlakte met 1%</w:t>
      </w:r>
      <w:r w:rsidR="0024544F">
        <w:rPr>
          <w:rFonts w:eastAsiaTheme="minorEastAsia"/>
          <w:lang w:val="nl-NL"/>
        </w:rPr>
        <w:t xml:space="preserve"> </w:t>
      </w:r>
      <w:r w:rsidRPr="005A0078">
        <w:rPr>
          <w:rFonts w:eastAsiaTheme="minorEastAsia"/>
          <w:lang w:val="nl-NL"/>
        </w:rPr>
        <w:t xml:space="preserve">(ofwel 0,01) tot een prijsstijging </w:t>
      </w:r>
      <m:oMath>
        <m:r>
          <w:rPr>
            <w:rFonts w:ascii="Cambria Math" w:hAnsi="Cambria Math"/>
            <w:lang w:val="nl-NL"/>
          </w:rPr>
          <m:t>β</m:t>
        </m:r>
      </m:oMath>
      <w:r w:rsidRPr="005A0078">
        <w:rPr>
          <w:rFonts w:eastAsiaTheme="minorEastAsia"/>
          <w:lang w:val="nl-NL"/>
        </w:rPr>
        <w:t>*100%. Een toename van de afstand tot het stadscentrum met 1</w:t>
      </w:r>
      <w:r w:rsidR="00E44A15">
        <w:rPr>
          <w:rFonts w:eastAsiaTheme="minorEastAsia"/>
          <w:lang w:val="nl-NL"/>
        </w:rPr>
        <w:t> km</w:t>
      </w:r>
      <w:r w:rsidRPr="005A0078">
        <w:rPr>
          <w:rFonts w:eastAsiaTheme="minorEastAsia"/>
          <w:lang w:val="nl-NL"/>
        </w:rPr>
        <w:t xml:space="preserve">, en dus niet 1%, leidt tot een stijging/daling van de huurprijs met </w:t>
      </w:r>
      <m:oMath>
        <m:r>
          <w:rPr>
            <w:rFonts w:ascii="Cambria Math" w:hAnsi="Cambria Math"/>
            <w:lang w:val="nl-NL"/>
          </w:rPr>
          <m:t>γ</m:t>
        </m:r>
      </m:oMath>
      <w:r w:rsidRPr="005A0078">
        <w:rPr>
          <w:rFonts w:eastAsiaTheme="minorEastAsia"/>
          <w:lang w:val="nl-NL"/>
        </w:rPr>
        <w:t xml:space="preserve">*100%. </w:t>
      </w:r>
    </w:p>
    <w:p w:rsidR="0008544A" w:rsidRDefault="0008544A" w:rsidP="00E44A15">
      <w:pPr>
        <w:rPr>
          <w:rFonts w:eastAsiaTheme="minorEastAsia"/>
          <w:lang w:val="nl-NL"/>
        </w:rPr>
      </w:pPr>
      <w:r w:rsidRPr="005A0078">
        <w:rPr>
          <w:rFonts w:eastAsiaTheme="minorEastAsia"/>
          <w:lang w:val="nl-NL"/>
        </w:rPr>
        <w:t>De log-lineaire (of log-log) specificatie wordt veelal gebruikt in de academische literatuur omwille van een aantal interessante eigenschappen. Zo zijn de resultaten bijvoorbeeld, net als in de lineair-lineaire specificatie, makkelijk te interpreteren. Ook heeft deze specificatie het voordeel dat zij mogelijke niet-lineaire effecten beter kan capteren. Zo impliceert het lineair-lineaire model dat de p</w:t>
      </w:r>
      <w:r w:rsidR="003348FE">
        <w:rPr>
          <w:rFonts w:eastAsiaTheme="minorEastAsia"/>
          <w:lang w:val="nl-NL"/>
        </w:rPr>
        <w:t>rijs van 1 m</w:t>
      </w:r>
      <w:r w:rsidR="003348FE" w:rsidRPr="003348FE">
        <w:rPr>
          <w:rFonts w:eastAsiaTheme="minorEastAsia"/>
          <w:vertAlign w:val="superscript"/>
          <w:lang w:val="nl-NL"/>
        </w:rPr>
        <w:t>2</w:t>
      </w:r>
      <w:r w:rsidRPr="005A0078">
        <w:rPr>
          <w:rFonts w:eastAsiaTheme="minorEastAsia"/>
          <w:lang w:val="nl-NL"/>
        </w:rPr>
        <w:t xml:space="preserve"> bewoonbare oppervlakte altijd leidt tot een prijsstijging met </w:t>
      </w:r>
      <m:oMath>
        <m:r>
          <w:rPr>
            <w:rFonts w:ascii="Cambria Math" w:hAnsi="Cambria Math"/>
            <w:lang w:val="nl-NL"/>
          </w:rPr>
          <m:t>β</m:t>
        </m:r>
      </m:oMath>
      <w:r w:rsidRPr="005A0078">
        <w:rPr>
          <w:rFonts w:eastAsiaTheme="minorEastAsia"/>
          <w:lang w:val="nl-NL"/>
        </w:rPr>
        <w:t xml:space="preserve"> euro, onafhankelijk van de reeds aan</w:t>
      </w:r>
      <w:r w:rsidR="00711296">
        <w:rPr>
          <w:rFonts w:eastAsiaTheme="minorEastAsia"/>
          <w:lang w:val="nl-NL"/>
        </w:rPr>
        <w:softHyphen/>
      </w:r>
      <w:r w:rsidRPr="005A0078">
        <w:rPr>
          <w:rFonts w:eastAsiaTheme="minorEastAsia"/>
          <w:lang w:val="nl-NL"/>
        </w:rPr>
        <w:t>wezige hoeveelheid woonoppervlakte. In de log-log specificatie zoals hierboven gepresenteerd</w:t>
      </w:r>
      <w:r w:rsidR="0024544F">
        <w:rPr>
          <w:rFonts w:eastAsiaTheme="minorEastAsia"/>
          <w:lang w:val="nl-NL"/>
        </w:rPr>
        <w:t xml:space="preserve"> </w:t>
      </w:r>
      <w:r w:rsidRPr="005A0078">
        <w:rPr>
          <w:rFonts w:eastAsiaTheme="minorEastAsia"/>
          <w:lang w:val="nl-NL"/>
        </w:rPr>
        <w:t>daar</w:t>
      </w:r>
      <w:r w:rsidR="00711296">
        <w:rPr>
          <w:rFonts w:eastAsiaTheme="minorEastAsia"/>
          <w:lang w:val="nl-NL"/>
        </w:rPr>
        <w:softHyphen/>
      </w:r>
      <w:r w:rsidRPr="005A0078">
        <w:rPr>
          <w:rFonts w:eastAsiaTheme="minorEastAsia"/>
          <w:lang w:val="nl-NL"/>
        </w:rPr>
        <w:t>entegen is een stijging van de bewoonbare oppervlakte met 1</w:t>
      </w:r>
      <w:r w:rsidR="003348FE">
        <w:rPr>
          <w:rFonts w:eastAsiaTheme="minorEastAsia"/>
          <w:lang w:val="nl-NL"/>
        </w:rPr>
        <w:t> m</w:t>
      </w:r>
      <w:r w:rsidR="003348FE" w:rsidRPr="003348FE">
        <w:rPr>
          <w:rFonts w:eastAsiaTheme="minorEastAsia"/>
          <w:vertAlign w:val="superscript"/>
          <w:lang w:val="nl-NL"/>
        </w:rPr>
        <w:t>2</w:t>
      </w:r>
      <w:r w:rsidRPr="005A0078">
        <w:rPr>
          <w:rFonts w:eastAsiaTheme="minorEastAsia"/>
          <w:lang w:val="nl-NL"/>
        </w:rPr>
        <w:t xml:space="preserve"> meer waard indien er weinig woon</w:t>
      </w:r>
      <w:r w:rsidR="00711296">
        <w:rPr>
          <w:rFonts w:eastAsiaTheme="minorEastAsia"/>
          <w:lang w:val="nl-NL"/>
        </w:rPr>
        <w:softHyphen/>
      </w:r>
      <w:r w:rsidRPr="005A0078">
        <w:rPr>
          <w:rFonts w:eastAsiaTheme="minorEastAsia"/>
          <w:lang w:val="nl-NL"/>
        </w:rPr>
        <w:t xml:space="preserve">ruimte voorradig is. Aangezien het model niet lineair is zal de waarde van </w:t>
      </w:r>
      <w:r w:rsidR="003348FE">
        <w:rPr>
          <w:rFonts w:eastAsiaTheme="minorEastAsia"/>
          <w:lang w:val="nl-NL"/>
        </w:rPr>
        <w:t>1 m</w:t>
      </w:r>
      <w:r w:rsidR="003348FE" w:rsidRPr="003348FE">
        <w:rPr>
          <w:rFonts w:eastAsiaTheme="minorEastAsia"/>
          <w:vertAlign w:val="superscript"/>
          <w:lang w:val="nl-NL"/>
        </w:rPr>
        <w:t>2</w:t>
      </w:r>
      <w:r w:rsidRPr="005A0078">
        <w:rPr>
          <w:rFonts w:eastAsiaTheme="minorEastAsia"/>
          <w:lang w:val="nl-NL"/>
        </w:rPr>
        <w:t xml:space="preserve"> in het log-lineaire model bijvoorbeeld ook afhangen van de waarde van de locatie. Zo is de waarde van </w:t>
      </w:r>
      <w:r w:rsidR="003348FE">
        <w:rPr>
          <w:rFonts w:eastAsiaTheme="minorEastAsia"/>
          <w:lang w:val="nl-NL"/>
        </w:rPr>
        <w:t>1 m</w:t>
      </w:r>
      <w:r w:rsidR="003348FE" w:rsidRPr="003348FE">
        <w:rPr>
          <w:rFonts w:eastAsiaTheme="minorEastAsia"/>
          <w:vertAlign w:val="superscript"/>
          <w:lang w:val="nl-NL"/>
        </w:rPr>
        <w:t>2</w:t>
      </w:r>
      <w:r w:rsidRPr="005A0078">
        <w:rPr>
          <w:rFonts w:eastAsiaTheme="minorEastAsia"/>
          <w:lang w:val="nl-NL"/>
        </w:rPr>
        <w:t xml:space="preserve"> woonoppervlakte (voor een gelijke woonoppervlakte) meer waard wanneer de woning gelegen is op een aangenamere en dus duurdere locatie.</w:t>
      </w:r>
    </w:p>
    <w:p w:rsidR="0008544A" w:rsidRDefault="0008544A" w:rsidP="0008544A">
      <w:pPr>
        <w:pStyle w:val="Heading2"/>
      </w:pPr>
      <w:bookmarkStart w:id="13" w:name="_Toc464122172"/>
      <w:r>
        <w:lastRenderedPageBreak/>
        <w:t>Coëfficiënten en resultaten</w:t>
      </w:r>
      <w:bookmarkEnd w:id="13"/>
    </w:p>
    <w:p w:rsidR="0008544A" w:rsidRDefault="0008544A" w:rsidP="0008544A">
      <w:r>
        <w:t xml:space="preserve">Niet alle coëfficiënten van de variabelen zijn eenduidig te interpreteren. Variabelen hangen immers onderling samen, waardoor bepaalde kenmerken door verschillende variabelen opgevangen worden in het model. Deze samenhang tussen variabelen kan verklaard worden omwille van drie redenen: het gebruik van transformaties, de wederzijdse interactie tussen twee variabelen, en de samenhang tussen twee variabelen. </w:t>
      </w:r>
    </w:p>
    <w:p w:rsidR="0008544A" w:rsidRPr="003348FE" w:rsidRDefault="0008544A" w:rsidP="001618AE">
      <w:pPr>
        <w:pStyle w:val="ListNumber"/>
        <w:numPr>
          <w:ilvl w:val="0"/>
          <w:numId w:val="21"/>
        </w:numPr>
        <w:ind w:left="284" w:hanging="284"/>
      </w:pPr>
      <w:r>
        <w:t>Transformaties</w:t>
      </w:r>
      <w:r w:rsidRPr="003348FE">
        <w:t>. De oppervlakte variabele is een belangrijke variabele. Daarom loont het om deze in meer detail te modelleren. Zo worden er div</w:t>
      </w:r>
      <w:r w:rsidR="003348FE">
        <w:t>erse transformaties (kwadraten, …</w:t>
      </w:r>
      <w:r w:rsidRPr="003348FE">
        <w:t xml:space="preserve">) en </w:t>
      </w:r>
      <w:r w:rsidR="00804CBF" w:rsidRPr="003348FE">
        <w:t>klasse varia</w:t>
      </w:r>
      <w:r w:rsidR="00711296">
        <w:softHyphen/>
      </w:r>
      <w:r w:rsidR="00804CBF" w:rsidRPr="003348FE">
        <w:t>belen</w:t>
      </w:r>
      <w:r w:rsidRPr="003348FE">
        <w:t xml:space="preserve"> (60-80</w:t>
      </w:r>
      <w:r w:rsidR="003348FE">
        <w:t> </w:t>
      </w:r>
      <w:r w:rsidRPr="003348FE">
        <w:t xml:space="preserve">m²) geconstrueerd op basis deze basisvariabele. Deze worden allen in het model gebracht. Het zorgt ervoor dat de lezer het beeld minder scherp krijgt gepresenteerd, terwijl op die manier net de relatie tussen huurmarktwaarde en oppervlakte verfijnder gemodelleerd wordt. </w:t>
      </w:r>
    </w:p>
    <w:p w:rsidR="0008544A" w:rsidRPr="003348FE" w:rsidRDefault="0008544A" w:rsidP="001618AE">
      <w:pPr>
        <w:pStyle w:val="ListNumber"/>
        <w:numPr>
          <w:ilvl w:val="0"/>
          <w:numId w:val="21"/>
        </w:numPr>
        <w:ind w:left="284" w:hanging="284"/>
      </w:pPr>
      <w:r w:rsidRPr="003348FE">
        <w:t xml:space="preserve">Daarnaast wordt de oppervlakte variabele niet altijd even accuraat ingevuld, omwille van het feit dat deze niet altijd gekend is, en ook voor interpretatie vatbaar is. Daardoor zal de variabele die het aantal slaapkamers weergeeft ook sterk samenhangen met de totale oppervlakte. In de mate dat oppervlakte zeer goed is ingevuld, zal het aantal slaapkamers aan belang inboeten. In de mate dat de oppervlakte slechts is ingevuld, zal de variabele ‘aantal slaapkamers’ aan belang winnen en zo een deel van de rol van oppervlakte overnemen. In het algemeen is </w:t>
      </w:r>
      <w:r w:rsidR="00804CBF" w:rsidRPr="003348FE">
        <w:t>multicollineariteit</w:t>
      </w:r>
      <w:r w:rsidRPr="003348FE">
        <w:t xml:space="preserve"> (samenhang tussen variabelen) voordelig voor </w:t>
      </w:r>
      <w:r w:rsidR="00804CBF" w:rsidRPr="003348FE">
        <w:t>accurate</w:t>
      </w:r>
      <w:r w:rsidRPr="003348FE">
        <w:t xml:space="preserve"> schattingen maar nadelig voor de interpretatie van de resultaten.</w:t>
      </w:r>
    </w:p>
    <w:p w:rsidR="0008544A" w:rsidRDefault="0008544A" w:rsidP="001618AE">
      <w:pPr>
        <w:pStyle w:val="ListNumber"/>
        <w:numPr>
          <w:ilvl w:val="0"/>
          <w:numId w:val="21"/>
        </w:numPr>
        <w:ind w:left="284" w:hanging="284"/>
      </w:pPr>
      <w:r w:rsidRPr="003348FE">
        <w:t>Daarnaast is het belang van een parameter conditioneel op een andere variabele. De waarde van een garage hangt af van de woondichtheid. Het is dan ook moeilijk om de gemiddelde waarde van een garage weer te geven. Voor de waarde van een tuin geldt dezelfde bemerking</w:t>
      </w:r>
      <w:r>
        <w:t>.</w:t>
      </w:r>
    </w:p>
    <w:p w:rsidR="0008544A" w:rsidRDefault="0008544A" w:rsidP="0008544A">
      <w:r>
        <w:t>Voor diverse andere parameters is dit in grotere mate mogelijk, zoals de klassen voor keuken, sanitair, verwarming, beglazing. Al zien we in tabel</w:t>
      </w:r>
      <w:r w:rsidR="00FA284C">
        <w:t> 1</w:t>
      </w:r>
      <w:r>
        <w:t xml:space="preserve"> dat het bouwjaar een grote rol speelt en in sterke mate samenhangt met diverse kwaliteitsvariabelen.</w:t>
      </w:r>
    </w:p>
    <w:p w:rsidR="0008544A" w:rsidRDefault="0008544A" w:rsidP="003348FE">
      <w:pPr>
        <w:pStyle w:val="NormalIndent"/>
        <w:rPr>
          <w:lang w:val="nl-NL"/>
        </w:rPr>
      </w:pPr>
      <w:r>
        <w:rPr>
          <w:lang w:val="nl-NL"/>
        </w:rPr>
        <w:t xml:space="preserve">Om de </w:t>
      </w:r>
      <w:r w:rsidRPr="003348FE">
        <w:t>interpretatie</w:t>
      </w:r>
      <w:r>
        <w:rPr>
          <w:lang w:val="nl-NL"/>
        </w:rPr>
        <w:t xml:space="preserve"> van de coëfficiënten duidelijk te maken nemen we een typisch appartement met een huurprijs van 600</w:t>
      </w:r>
      <w:r w:rsidR="0024544F">
        <w:rPr>
          <w:lang w:val="nl-NL"/>
        </w:rPr>
        <w:t> euro</w:t>
      </w:r>
      <w:r>
        <w:rPr>
          <w:lang w:val="nl-NL"/>
        </w:rPr>
        <w:t>. De coëfficiënten van de log-lineaire benadering kunnen dan benade</w:t>
      </w:r>
      <w:r w:rsidR="00711296">
        <w:rPr>
          <w:lang w:val="nl-NL"/>
        </w:rPr>
        <w:softHyphen/>
      </w:r>
      <w:r>
        <w:rPr>
          <w:lang w:val="nl-NL"/>
        </w:rPr>
        <w:t xml:space="preserve">rend </w:t>
      </w:r>
      <w:proofErr w:type="spellStart"/>
      <w:r>
        <w:rPr>
          <w:lang w:val="nl-NL"/>
        </w:rPr>
        <w:t>multiplicatief</w:t>
      </w:r>
      <w:proofErr w:type="spellEnd"/>
      <w:r>
        <w:rPr>
          <w:lang w:val="nl-NL"/>
        </w:rPr>
        <w:t xml:space="preserve"> toegepast worden, waarbij de huurprijs vermenigvuldigd met de coëfficiënt van het woningkenmerk de waarde van het woningkenmerk geeft. In </w:t>
      </w:r>
      <w:r w:rsidR="003348FE">
        <w:rPr>
          <w:lang w:val="nl-NL"/>
        </w:rPr>
        <w:t>tabel 1</w:t>
      </w:r>
      <w:r>
        <w:rPr>
          <w:lang w:val="nl-NL"/>
        </w:rPr>
        <w:t xml:space="preserve"> hebben we enkele coëfficiënten voor woningkenmerken uit </w:t>
      </w:r>
      <w:r w:rsidR="003348FE">
        <w:rPr>
          <w:lang w:val="nl-NL"/>
        </w:rPr>
        <w:t>tabel 2</w:t>
      </w:r>
      <w:r>
        <w:rPr>
          <w:lang w:val="nl-NL"/>
        </w:rPr>
        <w:t xml:space="preserve"> genomen. Indien we de coëfficiënt van het log-</w:t>
      </w:r>
      <w:r w:rsidR="00804CBF">
        <w:rPr>
          <w:lang w:val="nl-NL"/>
        </w:rPr>
        <w:t>lineaire</w:t>
      </w:r>
      <w:r>
        <w:rPr>
          <w:lang w:val="nl-NL"/>
        </w:rPr>
        <w:t xml:space="preserve"> model </w:t>
      </w:r>
      <w:r w:rsidR="00804CBF">
        <w:rPr>
          <w:lang w:val="nl-NL"/>
        </w:rPr>
        <w:t>ver</w:t>
      </w:r>
      <w:r w:rsidR="00711296">
        <w:rPr>
          <w:lang w:val="nl-NL"/>
        </w:rPr>
        <w:softHyphen/>
      </w:r>
      <w:r w:rsidR="00804CBF">
        <w:rPr>
          <w:lang w:val="nl-NL"/>
        </w:rPr>
        <w:t>menigvuldigen</w:t>
      </w:r>
      <w:r>
        <w:rPr>
          <w:lang w:val="nl-NL"/>
        </w:rPr>
        <w:t xml:space="preserve"> met 600 vinden we wat de waarde in euro’s is van de variabele voor dit appartement. </w:t>
      </w:r>
    </w:p>
    <w:p w:rsidR="0008544A" w:rsidRPr="00FA284C" w:rsidRDefault="003348FE" w:rsidP="00FA284C">
      <w:pPr>
        <w:pStyle w:val="Caption"/>
      </w:pPr>
      <w:bookmarkStart w:id="14" w:name="_Ref450573272"/>
      <w:r w:rsidRPr="00FA284C">
        <w:t xml:space="preserve">Tabel </w:t>
      </w:r>
      <w:r w:rsidR="00301DB0">
        <w:fldChar w:fldCharType="begin"/>
      </w:r>
      <w:r w:rsidR="00301DB0">
        <w:instrText xml:space="preserve"> SEQ Tabel \* ARABIC </w:instrText>
      </w:r>
      <w:r w:rsidR="00301DB0">
        <w:fldChar w:fldCharType="separate"/>
      </w:r>
      <w:r w:rsidR="00A65B8D">
        <w:rPr>
          <w:noProof/>
        </w:rPr>
        <w:t>1</w:t>
      </w:r>
      <w:r w:rsidR="00301DB0">
        <w:fldChar w:fldCharType="end"/>
      </w:r>
      <w:r w:rsidRPr="00FA284C">
        <w:tab/>
      </w:r>
      <w:r w:rsidR="00862D40" w:rsidRPr="00FA284C">
        <w:t>Benaderende vergelijking van de waarde van enkele woningkenmerken voor een appartement met een huurprijs van 600 euro op basis van geschatte coëfficiënten</w:t>
      </w:r>
      <w:bookmarkEnd w:id="14"/>
    </w:p>
    <w:tbl>
      <w:tblPr>
        <w:tblStyle w:val="LightShading1"/>
        <w:tblW w:w="5018" w:type="pct"/>
        <w:tblLayout w:type="fixed"/>
        <w:tblLook w:val="04A0" w:firstRow="1" w:lastRow="0" w:firstColumn="1" w:lastColumn="0" w:noHBand="0" w:noVBand="1"/>
      </w:tblPr>
      <w:tblGrid>
        <w:gridCol w:w="5671"/>
        <w:gridCol w:w="1702"/>
        <w:gridCol w:w="1700"/>
      </w:tblGrid>
      <w:tr w:rsidR="0008544A" w:rsidRPr="00014331" w:rsidTr="00DA5E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25" w:type="pct"/>
            <w:noWrap/>
            <w:vAlign w:val="top"/>
            <w:hideMark/>
          </w:tcPr>
          <w:p w:rsidR="0008544A" w:rsidRPr="00014331" w:rsidRDefault="0008544A" w:rsidP="00E808D6">
            <w:pPr>
              <w:pStyle w:val="Tabel-Tekst"/>
              <w:rPr>
                <w:lang w:eastAsia="nl-BE"/>
              </w:rPr>
            </w:pPr>
            <w:r>
              <w:rPr>
                <w:lang w:val="nl-NL"/>
              </w:rPr>
              <w:br w:type="page"/>
            </w:r>
          </w:p>
        </w:tc>
        <w:tc>
          <w:tcPr>
            <w:tcW w:w="938" w:type="pct"/>
            <w:noWrap/>
            <w:vAlign w:val="top"/>
            <w:hideMark/>
          </w:tcPr>
          <w:p w:rsidR="0008544A" w:rsidRPr="00014331" w:rsidRDefault="00DA5E0D" w:rsidP="00DA5E0D">
            <w:pPr>
              <w:pStyle w:val="Tabel-Tekst"/>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eastAsia="nl-BE"/>
              </w:rPr>
            </w:pPr>
            <w:r>
              <w:rPr>
                <w:rFonts w:ascii="Calibri" w:hAnsi="Calibri"/>
                <w:color w:val="000000"/>
                <w:szCs w:val="22"/>
                <w:lang w:eastAsia="nl-BE"/>
              </w:rPr>
              <w:t>C</w:t>
            </w:r>
            <w:r w:rsidR="0008544A" w:rsidRPr="00014331">
              <w:rPr>
                <w:rFonts w:ascii="Calibri" w:hAnsi="Calibri"/>
                <w:color w:val="000000"/>
                <w:szCs w:val="22"/>
                <w:lang w:eastAsia="nl-BE"/>
              </w:rPr>
              <w:t>o</w:t>
            </w:r>
            <w:r w:rsidR="0008544A">
              <w:rPr>
                <w:rFonts w:ascii="Calibri" w:hAnsi="Calibri"/>
                <w:color w:val="000000"/>
                <w:szCs w:val="22"/>
                <w:lang w:eastAsia="nl-BE"/>
              </w:rPr>
              <w:t>ë</w:t>
            </w:r>
            <w:r w:rsidR="0008544A" w:rsidRPr="00014331">
              <w:rPr>
                <w:rFonts w:ascii="Calibri" w:hAnsi="Calibri"/>
                <w:color w:val="000000"/>
                <w:szCs w:val="22"/>
                <w:lang w:eastAsia="nl-BE"/>
              </w:rPr>
              <w:t>ff</w:t>
            </w:r>
            <w:r w:rsidR="0008544A">
              <w:rPr>
                <w:rFonts w:ascii="Calibri" w:hAnsi="Calibri"/>
                <w:color w:val="000000"/>
                <w:szCs w:val="22"/>
                <w:lang w:eastAsia="nl-BE"/>
              </w:rPr>
              <w:t>iciënt</w:t>
            </w:r>
            <w:r w:rsidR="0008544A" w:rsidRPr="00014331">
              <w:rPr>
                <w:rFonts w:ascii="Calibri" w:hAnsi="Calibri"/>
                <w:color w:val="000000"/>
                <w:szCs w:val="22"/>
                <w:lang w:eastAsia="nl-BE"/>
              </w:rPr>
              <w:t xml:space="preserve"> </w:t>
            </w:r>
            <w:r>
              <w:rPr>
                <w:rFonts w:ascii="Calibri" w:hAnsi="Calibri"/>
                <w:color w:val="000000"/>
                <w:szCs w:val="22"/>
                <w:lang w:eastAsia="nl-BE"/>
              </w:rPr>
              <w:br/>
            </w:r>
            <w:r w:rsidR="0008544A" w:rsidRPr="00014331">
              <w:rPr>
                <w:rFonts w:ascii="Calibri" w:hAnsi="Calibri"/>
                <w:color w:val="000000"/>
                <w:szCs w:val="22"/>
                <w:lang w:eastAsia="nl-BE"/>
              </w:rPr>
              <w:t>log-lineair</w:t>
            </w:r>
          </w:p>
        </w:tc>
        <w:tc>
          <w:tcPr>
            <w:tcW w:w="938" w:type="pct"/>
            <w:noWrap/>
            <w:vAlign w:val="top"/>
            <w:hideMark/>
          </w:tcPr>
          <w:p w:rsidR="0008544A" w:rsidRPr="00014331" w:rsidRDefault="0008544A" w:rsidP="00DA5E0D">
            <w:pPr>
              <w:pStyle w:val="Tabel-Tekst"/>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Log</w:t>
            </w:r>
            <w:r>
              <w:rPr>
                <w:rFonts w:ascii="Calibri" w:hAnsi="Calibri"/>
                <w:color w:val="000000"/>
                <w:szCs w:val="22"/>
                <w:lang w:eastAsia="nl-BE"/>
              </w:rPr>
              <w:t>-</w:t>
            </w:r>
            <w:r w:rsidRPr="00014331">
              <w:rPr>
                <w:rFonts w:ascii="Calibri" w:hAnsi="Calibri"/>
                <w:color w:val="000000"/>
                <w:szCs w:val="22"/>
                <w:lang w:eastAsia="nl-BE"/>
              </w:rPr>
              <w:t xml:space="preserve">lineair </w:t>
            </w:r>
            <w:r w:rsidR="00DA5E0D">
              <w:rPr>
                <w:rFonts w:ascii="Calibri" w:hAnsi="Calibri"/>
                <w:color w:val="000000"/>
                <w:szCs w:val="22"/>
                <w:lang w:eastAsia="nl-BE"/>
              </w:rPr>
              <w:br/>
              <w:t>in euro</w:t>
            </w:r>
          </w:p>
        </w:tc>
      </w:tr>
      <w:tr w:rsidR="0008544A" w:rsidRPr="00014331" w:rsidTr="00DA5E0D">
        <w:trPr>
          <w:trHeight w:val="227"/>
        </w:trPr>
        <w:tc>
          <w:tcPr>
            <w:cnfStyle w:val="001000000000" w:firstRow="0" w:lastRow="0" w:firstColumn="1" w:lastColumn="0" w:oddVBand="0" w:evenVBand="0" w:oddHBand="0" w:evenHBand="0" w:firstRowFirstColumn="0" w:firstRowLastColumn="0" w:lastRowFirstColumn="0" w:lastRowLastColumn="0"/>
            <w:tcW w:w="3125" w:type="pct"/>
            <w:noWrap/>
            <w:vAlign w:val="top"/>
            <w:hideMark/>
          </w:tcPr>
          <w:p w:rsidR="0008544A" w:rsidRPr="00014331" w:rsidRDefault="00DA5E0D" w:rsidP="00E808D6">
            <w:pPr>
              <w:pStyle w:val="Tabel-Tekst"/>
              <w:rPr>
                <w:rFonts w:ascii="Calibri" w:hAnsi="Calibri"/>
                <w:color w:val="000000"/>
                <w:szCs w:val="22"/>
                <w:lang w:eastAsia="nl-BE"/>
              </w:rPr>
            </w:pPr>
            <w:r>
              <w:rPr>
                <w:rFonts w:ascii="Calibri" w:hAnsi="Calibri"/>
                <w:color w:val="000000"/>
                <w:szCs w:val="22"/>
                <w:lang w:eastAsia="nl-BE"/>
              </w:rPr>
              <w:t>B</w:t>
            </w:r>
            <w:r w:rsidR="0008544A" w:rsidRPr="00014331">
              <w:rPr>
                <w:rFonts w:ascii="Calibri" w:hAnsi="Calibri"/>
                <w:color w:val="000000"/>
                <w:szCs w:val="22"/>
                <w:lang w:eastAsia="nl-BE"/>
              </w:rPr>
              <w:t>ouwjaar</w:t>
            </w:r>
            <w:r w:rsidR="0024544F">
              <w:rPr>
                <w:rFonts w:ascii="Calibri" w:hAnsi="Calibri"/>
                <w:color w:val="000000"/>
                <w:szCs w:val="22"/>
                <w:lang w:eastAsia="nl-BE"/>
              </w:rPr>
              <w:t xml:space="preserve"> </w:t>
            </w:r>
            <w:r w:rsidR="0008544A" w:rsidRPr="00014331">
              <w:rPr>
                <w:rFonts w:ascii="Calibri" w:hAnsi="Calibri"/>
                <w:color w:val="000000"/>
                <w:szCs w:val="22"/>
                <w:lang w:eastAsia="nl-BE"/>
              </w:rPr>
              <w:t>na</w:t>
            </w:r>
            <w:r w:rsidR="0024544F">
              <w:rPr>
                <w:rFonts w:ascii="Calibri" w:hAnsi="Calibri"/>
                <w:color w:val="000000"/>
                <w:szCs w:val="22"/>
                <w:lang w:eastAsia="nl-BE"/>
              </w:rPr>
              <w:t xml:space="preserve"> </w:t>
            </w:r>
            <w:r w:rsidR="0008544A" w:rsidRPr="00014331">
              <w:rPr>
                <w:rFonts w:ascii="Calibri" w:hAnsi="Calibri"/>
                <w:color w:val="000000"/>
                <w:szCs w:val="22"/>
                <w:lang w:eastAsia="nl-BE"/>
              </w:rPr>
              <w:t>2010 (t</w:t>
            </w:r>
            <w:r>
              <w:rPr>
                <w:rFonts w:ascii="Calibri" w:hAnsi="Calibri"/>
                <w:color w:val="000000"/>
                <w:szCs w:val="22"/>
                <w:lang w:eastAsia="nl-BE"/>
              </w:rPr>
              <w:t>.</w:t>
            </w:r>
            <w:r w:rsidR="0008544A" w:rsidRPr="00014331">
              <w:rPr>
                <w:rFonts w:ascii="Calibri" w:hAnsi="Calibri"/>
                <w:color w:val="000000"/>
                <w:szCs w:val="22"/>
                <w:lang w:eastAsia="nl-BE"/>
              </w:rPr>
              <w:t>o</w:t>
            </w:r>
            <w:r>
              <w:rPr>
                <w:rFonts w:ascii="Calibri" w:hAnsi="Calibri"/>
                <w:color w:val="000000"/>
                <w:szCs w:val="22"/>
                <w:lang w:eastAsia="nl-BE"/>
              </w:rPr>
              <w:t>.</w:t>
            </w:r>
            <w:r w:rsidR="0008544A" w:rsidRPr="00014331">
              <w:rPr>
                <w:rFonts w:ascii="Calibri" w:hAnsi="Calibri"/>
                <w:color w:val="000000"/>
                <w:szCs w:val="22"/>
                <w:lang w:eastAsia="nl-BE"/>
              </w:rPr>
              <w:t>v</w:t>
            </w:r>
            <w:r>
              <w:rPr>
                <w:rFonts w:ascii="Calibri" w:hAnsi="Calibri"/>
                <w:color w:val="000000"/>
                <w:szCs w:val="22"/>
                <w:lang w:eastAsia="nl-BE"/>
              </w:rPr>
              <w:t>.</w:t>
            </w:r>
            <w:r w:rsidR="0008544A" w:rsidRPr="00014331">
              <w:rPr>
                <w:rFonts w:ascii="Calibri" w:hAnsi="Calibri"/>
                <w:color w:val="000000"/>
                <w:szCs w:val="22"/>
                <w:lang w:eastAsia="nl-BE"/>
              </w:rPr>
              <w:t xml:space="preserve"> 1950-1960)</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0</w:t>
            </w:r>
            <w:r w:rsidR="00DA5E0D">
              <w:rPr>
                <w:rFonts w:ascii="Calibri" w:hAnsi="Calibri"/>
                <w:color w:val="000000"/>
                <w:szCs w:val="22"/>
                <w:lang w:eastAsia="nl-BE"/>
              </w:rPr>
              <w:t>,</w:t>
            </w:r>
            <w:r w:rsidRPr="00014331">
              <w:rPr>
                <w:rFonts w:ascii="Calibri" w:hAnsi="Calibri"/>
                <w:color w:val="000000"/>
                <w:szCs w:val="22"/>
                <w:lang w:eastAsia="nl-BE"/>
              </w:rPr>
              <w:t>11</w:t>
            </w:r>
            <w:r>
              <w:rPr>
                <w:rFonts w:ascii="Calibri" w:hAnsi="Calibri"/>
                <w:color w:val="000000"/>
                <w:szCs w:val="22"/>
                <w:lang w:eastAsia="nl-BE"/>
              </w:rPr>
              <w:t>5</w:t>
            </w:r>
          </w:p>
        </w:tc>
        <w:tc>
          <w:tcPr>
            <w:tcW w:w="938" w:type="pct"/>
            <w:noWrap/>
            <w:vAlign w:val="top"/>
            <w:hideMark/>
          </w:tcPr>
          <w:p w:rsidR="0008544A" w:rsidRPr="00014331" w:rsidRDefault="00DA5E0D"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Pr>
                <w:rFonts w:ascii="Calibri" w:hAnsi="Calibri"/>
                <w:color w:val="000000"/>
                <w:szCs w:val="22"/>
                <w:lang w:eastAsia="nl-BE"/>
              </w:rPr>
              <w:t>70,80</w:t>
            </w:r>
          </w:p>
        </w:tc>
      </w:tr>
      <w:tr w:rsidR="0008544A" w:rsidRPr="00014331" w:rsidTr="00DA5E0D">
        <w:trPr>
          <w:trHeight w:val="227"/>
        </w:trPr>
        <w:tc>
          <w:tcPr>
            <w:cnfStyle w:val="001000000000" w:firstRow="0" w:lastRow="0" w:firstColumn="1" w:lastColumn="0" w:oddVBand="0" w:evenVBand="0" w:oddHBand="0" w:evenHBand="0" w:firstRowFirstColumn="0" w:firstRowLastColumn="0" w:lastRowFirstColumn="0" w:lastRowLastColumn="0"/>
            <w:tcW w:w="3125" w:type="pct"/>
            <w:noWrap/>
            <w:vAlign w:val="top"/>
            <w:hideMark/>
          </w:tcPr>
          <w:p w:rsidR="0008544A" w:rsidRPr="00014331" w:rsidRDefault="00DA5E0D" w:rsidP="00E808D6">
            <w:pPr>
              <w:pStyle w:val="Tabel-Tekst"/>
              <w:rPr>
                <w:rFonts w:ascii="Calibri" w:hAnsi="Calibri"/>
                <w:color w:val="000000"/>
                <w:szCs w:val="22"/>
                <w:lang w:eastAsia="nl-BE"/>
              </w:rPr>
            </w:pPr>
            <w:r>
              <w:rPr>
                <w:rFonts w:ascii="Calibri" w:hAnsi="Calibri"/>
                <w:color w:val="000000"/>
                <w:szCs w:val="22"/>
                <w:lang w:eastAsia="nl-BE"/>
              </w:rPr>
              <w:t>K</w:t>
            </w:r>
            <w:r w:rsidR="0008544A" w:rsidRPr="00014331">
              <w:rPr>
                <w:rFonts w:ascii="Calibri" w:hAnsi="Calibri"/>
                <w:color w:val="000000"/>
                <w:szCs w:val="22"/>
                <w:lang w:eastAsia="nl-BE"/>
              </w:rPr>
              <w:t>euken primitief (t</w:t>
            </w:r>
            <w:r>
              <w:rPr>
                <w:rFonts w:ascii="Calibri" w:hAnsi="Calibri"/>
                <w:color w:val="000000"/>
                <w:szCs w:val="22"/>
                <w:lang w:eastAsia="nl-BE"/>
              </w:rPr>
              <w:t>.</w:t>
            </w:r>
            <w:r w:rsidR="0008544A" w:rsidRPr="00014331">
              <w:rPr>
                <w:rFonts w:ascii="Calibri" w:hAnsi="Calibri"/>
                <w:color w:val="000000"/>
                <w:szCs w:val="22"/>
                <w:lang w:eastAsia="nl-BE"/>
              </w:rPr>
              <w:t>o</w:t>
            </w:r>
            <w:r>
              <w:rPr>
                <w:rFonts w:ascii="Calibri" w:hAnsi="Calibri"/>
                <w:color w:val="000000"/>
                <w:szCs w:val="22"/>
                <w:lang w:eastAsia="nl-BE"/>
              </w:rPr>
              <w:t>.</w:t>
            </w:r>
            <w:r w:rsidR="0008544A" w:rsidRPr="00014331">
              <w:rPr>
                <w:rFonts w:ascii="Calibri" w:hAnsi="Calibri"/>
                <w:color w:val="000000"/>
                <w:szCs w:val="22"/>
                <w:lang w:eastAsia="nl-BE"/>
              </w:rPr>
              <w:t>v</w:t>
            </w:r>
            <w:r>
              <w:rPr>
                <w:rFonts w:ascii="Calibri" w:hAnsi="Calibri"/>
                <w:color w:val="000000"/>
                <w:szCs w:val="22"/>
                <w:lang w:eastAsia="nl-BE"/>
              </w:rPr>
              <w:t>.</w:t>
            </w:r>
            <w:r w:rsidR="0008544A" w:rsidRPr="00014331">
              <w:rPr>
                <w:rFonts w:ascii="Calibri" w:hAnsi="Calibri"/>
                <w:color w:val="000000"/>
                <w:szCs w:val="22"/>
                <w:lang w:eastAsia="nl-BE"/>
              </w:rPr>
              <w:t xml:space="preserve"> licht verouderd, volledig)</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-0</w:t>
            </w:r>
            <w:r w:rsidR="00DA5E0D">
              <w:rPr>
                <w:rFonts w:ascii="Calibri" w:hAnsi="Calibri"/>
                <w:color w:val="000000"/>
                <w:szCs w:val="22"/>
                <w:lang w:eastAsia="nl-BE"/>
              </w:rPr>
              <w:t>,</w:t>
            </w:r>
            <w:r w:rsidRPr="00014331">
              <w:rPr>
                <w:rFonts w:ascii="Calibri" w:hAnsi="Calibri"/>
                <w:color w:val="000000"/>
                <w:szCs w:val="22"/>
                <w:lang w:eastAsia="nl-BE"/>
              </w:rPr>
              <w:t>0391</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-23</w:t>
            </w:r>
            <w:r w:rsidR="00DA5E0D">
              <w:rPr>
                <w:rFonts w:ascii="Calibri" w:hAnsi="Calibri"/>
                <w:color w:val="000000"/>
                <w:szCs w:val="22"/>
                <w:lang w:eastAsia="nl-BE"/>
              </w:rPr>
              <w:t>,</w:t>
            </w:r>
            <w:r w:rsidRPr="00014331">
              <w:rPr>
                <w:rFonts w:ascii="Calibri" w:hAnsi="Calibri"/>
                <w:color w:val="000000"/>
                <w:szCs w:val="22"/>
                <w:lang w:eastAsia="nl-BE"/>
              </w:rPr>
              <w:t>46</w:t>
            </w:r>
          </w:p>
        </w:tc>
      </w:tr>
      <w:tr w:rsidR="0008544A" w:rsidRPr="00014331" w:rsidTr="00DA5E0D">
        <w:trPr>
          <w:trHeight w:val="227"/>
        </w:trPr>
        <w:tc>
          <w:tcPr>
            <w:cnfStyle w:val="001000000000" w:firstRow="0" w:lastRow="0" w:firstColumn="1" w:lastColumn="0" w:oddVBand="0" w:evenVBand="0" w:oddHBand="0" w:evenHBand="0" w:firstRowFirstColumn="0" w:firstRowLastColumn="0" w:lastRowFirstColumn="0" w:lastRowLastColumn="0"/>
            <w:tcW w:w="3125" w:type="pct"/>
            <w:noWrap/>
            <w:vAlign w:val="top"/>
            <w:hideMark/>
          </w:tcPr>
          <w:p w:rsidR="0008544A" w:rsidRPr="00014331" w:rsidRDefault="00DA5E0D" w:rsidP="00DA5E0D">
            <w:pPr>
              <w:pStyle w:val="Tabel-Tekst"/>
              <w:rPr>
                <w:rFonts w:ascii="Calibri" w:hAnsi="Calibri"/>
                <w:color w:val="000000"/>
                <w:szCs w:val="22"/>
                <w:lang w:eastAsia="nl-BE"/>
              </w:rPr>
            </w:pPr>
            <w:r>
              <w:rPr>
                <w:rFonts w:ascii="Calibri" w:hAnsi="Calibri"/>
                <w:color w:val="000000"/>
                <w:szCs w:val="22"/>
                <w:lang w:eastAsia="nl-BE"/>
              </w:rPr>
              <w:t>C</w:t>
            </w:r>
            <w:r w:rsidR="0008544A" w:rsidRPr="00014331">
              <w:rPr>
                <w:rFonts w:ascii="Calibri" w:hAnsi="Calibri"/>
                <w:color w:val="000000"/>
                <w:szCs w:val="22"/>
                <w:lang w:eastAsia="nl-BE"/>
              </w:rPr>
              <w:t>ondenserende ketel (t</w:t>
            </w:r>
            <w:r>
              <w:rPr>
                <w:rFonts w:ascii="Calibri" w:hAnsi="Calibri"/>
                <w:color w:val="000000"/>
                <w:szCs w:val="22"/>
                <w:lang w:eastAsia="nl-BE"/>
              </w:rPr>
              <w:t>.</w:t>
            </w:r>
            <w:r w:rsidR="0008544A" w:rsidRPr="00014331">
              <w:rPr>
                <w:rFonts w:ascii="Calibri" w:hAnsi="Calibri"/>
                <w:color w:val="000000"/>
                <w:szCs w:val="22"/>
                <w:lang w:eastAsia="nl-BE"/>
              </w:rPr>
              <w:t>o</w:t>
            </w:r>
            <w:r>
              <w:rPr>
                <w:rFonts w:ascii="Calibri" w:hAnsi="Calibri"/>
                <w:color w:val="000000"/>
                <w:szCs w:val="22"/>
                <w:lang w:eastAsia="nl-BE"/>
              </w:rPr>
              <w:t>.</w:t>
            </w:r>
            <w:r w:rsidR="0008544A" w:rsidRPr="00014331">
              <w:rPr>
                <w:rFonts w:ascii="Calibri" w:hAnsi="Calibri"/>
                <w:color w:val="000000"/>
                <w:szCs w:val="22"/>
                <w:lang w:eastAsia="nl-BE"/>
              </w:rPr>
              <w:t>v</w:t>
            </w:r>
            <w:r>
              <w:rPr>
                <w:rFonts w:ascii="Calibri" w:hAnsi="Calibri"/>
                <w:color w:val="000000"/>
                <w:szCs w:val="22"/>
                <w:lang w:eastAsia="nl-BE"/>
              </w:rPr>
              <w:t>.</w:t>
            </w:r>
            <w:r w:rsidR="0008544A" w:rsidRPr="00014331">
              <w:rPr>
                <w:rFonts w:ascii="Calibri" w:hAnsi="Calibri"/>
                <w:color w:val="000000"/>
                <w:szCs w:val="22"/>
                <w:lang w:eastAsia="nl-BE"/>
              </w:rPr>
              <w:t xml:space="preserve"> </w:t>
            </w:r>
            <w:r>
              <w:rPr>
                <w:rFonts w:ascii="Calibri" w:hAnsi="Calibri"/>
                <w:color w:val="000000"/>
                <w:szCs w:val="22"/>
                <w:lang w:eastAsia="nl-BE"/>
              </w:rPr>
              <w:t>centrale verwarming</w:t>
            </w:r>
            <w:r w:rsidR="0008544A" w:rsidRPr="00014331">
              <w:rPr>
                <w:rFonts w:ascii="Calibri" w:hAnsi="Calibri"/>
                <w:color w:val="000000"/>
                <w:szCs w:val="22"/>
                <w:lang w:eastAsia="nl-BE"/>
              </w:rPr>
              <w:t xml:space="preserve"> ouder model</w:t>
            </w:r>
            <w:r w:rsidR="0008544A">
              <w:rPr>
                <w:rFonts w:ascii="Calibri" w:hAnsi="Calibri"/>
                <w:color w:val="000000"/>
                <w:szCs w:val="22"/>
                <w:lang w:eastAsia="nl-BE"/>
              </w:rPr>
              <w:t>)</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0</w:t>
            </w:r>
            <w:r w:rsidR="00DA5E0D">
              <w:rPr>
                <w:rFonts w:ascii="Calibri" w:hAnsi="Calibri"/>
                <w:color w:val="000000"/>
                <w:szCs w:val="22"/>
                <w:lang w:eastAsia="nl-BE"/>
              </w:rPr>
              <w:t>,</w:t>
            </w:r>
            <w:r w:rsidRPr="00014331">
              <w:rPr>
                <w:rFonts w:ascii="Calibri" w:hAnsi="Calibri"/>
                <w:color w:val="000000"/>
                <w:szCs w:val="22"/>
                <w:lang w:eastAsia="nl-BE"/>
              </w:rPr>
              <w:t>00746</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4</w:t>
            </w:r>
            <w:r w:rsidR="00DA5E0D">
              <w:rPr>
                <w:rFonts w:ascii="Calibri" w:hAnsi="Calibri"/>
                <w:color w:val="000000"/>
                <w:szCs w:val="22"/>
                <w:lang w:eastAsia="nl-BE"/>
              </w:rPr>
              <w:t>,</w:t>
            </w:r>
            <w:r w:rsidRPr="00014331">
              <w:rPr>
                <w:rFonts w:ascii="Calibri" w:hAnsi="Calibri"/>
                <w:color w:val="000000"/>
                <w:szCs w:val="22"/>
                <w:lang w:eastAsia="nl-BE"/>
              </w:rPr>
              <w:t>48</w:t>
            </w:r>
          </w:p>
        </w:tc>
      </w:tr>
      <w:tr w:rsidR="0008544A" w:rsidRPr="00014331" w:rsidTr="00DA5E0D">
        <w:trPr>
          <w:trHeight w:val="227"/>
        </w:trPr>
        <w:tc>
          <w:tcPr>
            <w:cnfStyle w:val="001000000000" w:firstRow="0" w:lastRow="0" w:firstColumn="1" w:lastColumn="0" w:oddVBand="0" w:evenVBand="0" w:oddHBand="0" w:evenHBand="0" w:firstRowFirstColumn="0" w:firstRowLastColumn="0" w:lastRowFirstColumn="0" w:lastRowLastColumn="0"/>
            <w:tcW w:w="3125" w:type="pct"/>
            <w:noWrap/>
            <w:vAlign w:val="top"/>
            <w:hideMark/>
          </w:tcPr>
          <w:p w:rsidR="0008544A" w:rsidRPr="00014331" w:rsidRDefault="00DA5E0D" w:rsidP="00E808D6">
            <w:pPr>
              <w:pStyle w:val="Tabel-Tekst"/>
              <w:rPr>
                <w:rFonts w:ascii="Calibri" w:hAnsi="Calibri"/>
                <w:color w:val="000000"/>
                <w:szCs w:val="22"/>
                <w:lang w:eastAsia="nl-BE"/>
              </w:rPr>
            </w:pPr>
            <w:r>
              <w:rPr>
                <w:rFonts w:ascii="Calibri" w:hAnsi="Calibri"/>
                <w:color w:val="000000"/>
                <w:szCs w:val="22"/>
                <w:lang w:eastAsia="nl-BE"/>
              </w:rPr>
              <w:t>V</w:t>
            </w:r>
            <w:r w:rsidR="0008544A" w:rsidRPr="00014331">
              <w:rPr>
                <w:rFonts w:ascii="Calibri" w:hAnsi="Calibri"/>
                <w:color w:val="000000"/>
                <w:szCs w:val="22"/>
                <w:lang w:eastAsia="nl-BE"/>
              </w:rPr>
              <w:t>olledig enkel</w:t>
            </w:r>
            <w:r w:rsidR="0008544A">
              <w:rPr>
                <w:rFonts w:ascii="Calibri" w:hAnsi="Calibri"/>
                <w:color w:val="000000"/>
                <w:szCs w:val="22"/>
                <w:lang w:eastAsia="nl-BE"/>
              </w:rPr>
              <w:t>glas</w:t>
            </w:r>
            <w:r w:rsidR="0008544A" w:rsidRPr="00014331">
              <w:rPr>
                <w:rFonts w:ascii="Calibri" w:hAnsi="Calibri"/>
                <w:color w:val="000000"/>
                <w:szCs w:val="22"/>
                <w:lang w:eastAsia="nl-BE"/>
              </w:rPr>
              <w:t xml:space="preserve"> (t</w:t>
            </w:r>
            <w:r>
              <w:rPr>
                <w:rFonts w:ascii="Calibri" w:hAnsi="Calibri"/>
                <w:color w:val="000000"/>
                <w:szCs w:val="22"/>
                <w:lang w:eastAsia="nl-BE"/>
              </w:rPr>
              <w:t>.</w:t>
            </w:r>
            <w:r w:rsidR="0008544A" w:rsidRPr="00014331">
              <w:rPr>
                <w:rFonts w:ascii="Calibri" w:hAnsi="Calibri"/>
                <w:color w:val="000000"/>
                <w:szCs w:val="22"/>
                <w:lang w:eastAsia="nl-BE"/>
              </w:rPr>
              <w:t>o</w:t>
            </w:r>
            <w:r>
              <w:rPr>
                <w:rFonts w:ascii="Calibri" w:hAnsi="Calibri"/>
                <w:color w:val="000000"/>
                <w:szCs w:val="22"/>
                <w:lang w:eastAsia="nl-BE"/>
              </w:rPr>
              <w:t>.</w:t>
            </w:r>
            <w:r w:rsidR="0008544A" w:rsidRPr="00014331">
              <w:rPr>
                <w:rFonts w:ascii="Calibri" w:hAnsi="Calibri"/>
                <w:color w:val="000000"/>
                <w:szCs w:val="22"/>
                <w:lang w:eastAsia="nl-BE"/>
              </w:rPr>
              <w:t>v</w:t>
            </w:r>
            <w:r>
              <w:rPr>
                <w:rFonts w:ascii="Calibri" w:hAnsi="Calibri"/>
                <w:color w:val="000000"/>
                <w:szCs w:val="22"/>
                <w:lang w:eastAsia="nl-BE"/>
              </w:rPr>
              <w:t>.</w:t>
            </w:r>
            <w:r w:rsidR="0008544A" w:rsidRPr="00014331">
              <w:rPr>
                <w:rFonts w:ascii="Calibri" w:hAnsi="Calibri"/>
                <w:color w:val="000000"/>
                <w:szCs w:val="22"/>
                <w:lang w:eastAsia="nl-BE"/>
              </w:rPr>
              <w:t xml:space="preserve"> overwegend dubbel)</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-0</w:t>
            </w:r>
            <w:r w:rsidR="00DA5E0D">
              <w:rPr>
                <w:rFonts w:ascii="Calibri" w:hAnsi="Calibri"/>
                <w:color w:val="000000"/>
                <w:szCs w:val="22"/>
                <w:lang w:eastAsia="nl-BE"/>
              </w:rPr>
              <w:t>,</w:t>
            </w:r>
            <w:r w:rsidRPr="00014331">
              <w:rPr>
                <w:rFonts w:ascii="Calibri" w:hAnsi="Calibri"/>
                <w:color w:val="000000"/>
                <w:szCs w:val="22"/>
                <w:lang w:eastAsia="nl-BE"/>
              </w:rPr>
              <w:t>0367</w:t>
            </w:r>
          </w:p>
        </w:tc>
        <w:tc>
          <w:tcPr>
            <w:tcW w:w="938" w:type="pct"/>
            <w:noWrap/>
            <w:vAlign w:val="top"/>
            <w:hideMark/>
          </w:tcPr>
          <w:p w:rsidR="0008544A" w:rsidRPr="00014331" w:rsidRDefault="0008544A" w:rsidP="00DA5E0D">
            <w:pPr>
              <w:pStyle w:val="Tabel-Tekst"/>
              <w:tabs>
                <w:tab w:val="decimal" w:pos="693"/>
              </w:tabs>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nl-BE"/>
              </w:rPr>
            </w:pPr>
            <w:r w:rsidRPr="00014331">
              <w:rPr>
                <w:rFonts w:ascii="Calibri" w:hAnsi="Calibri"/>
                <w:color w:val="000000"/>
                <w:szCs w:val="22"/>
                <w:lang w:eastAsia="nl-BE"/>
              </w:rPr>
              <w:t>-22</w:t>
            </w:r>
            <w:r w:rsidR="00DA5E0D">
              <w:rPr>
                <w:rFonts w:ascii="Calibri" w:hAnsi="Calibri"/>
                <w:color w:val="000000"/>
                <w:szCs w:val="22"/>
                <w:lang w:eastAsia="nl-BE"/>
              </w:rPr>
              <w:t>,</w:t>
            </w:r>
            <w:r w:rsidRPr="00014331">
              <w:rPr>
                <w:rFonts w:ascii="Calibri" w:hAnsi="Calibri"/>
                <w:color w:val="000000"/>
                <w:szCs w:val="22"/>
                <w:lang w:eastAsia="nl-BE"/>
              </w:rPr>
              <w:t>02</w:t>
            </w:r>
          </w:p>
        </w:tc>
      </w:tr>
    </w:tbl>
    <w:p w:rsidR="0008544A" w:rsidRDefault="0008544A" w:rsidP="00862D40">
      <w:pPr>
        <w:rPr>
          <w:lang w:val="nl-NL"/>
        </w:rPr>
      </w:pPr>
      <w:r>
        <w:rPr>
          <w:lang w:val="nl-NL"/>
        </w:rPr>
        <w:t xml:space="preserve">De Huurschatter beschikte over voldoende observaties om zowel woonhuizen als appartementen in een apart model te schatten. Daarnaast is het zo dat bepaalde velden enkel van toepassing zijn voor </w:t>
      </w:r>
      <w:r>
        <w:rPr>
          <w:lang w:val="nl-NL"/>
        </w:rPr>
        <w:lastRenderedPageBreak/>
        <w:t>appartementen, en andere voor huizen. In tabel</w:t>
      </w:r>
      <w:r w:rsidR="00862D40">
        <w:rPr>
          <w:lang w:val="nl-NL"/>
        </w:rPr>
        <w:t> 2</w:t>
      </w:r>
      <w:r>
        <w:rPr>
          <w:lang w:val="nl-NL"/>
        </w:rPr>
        <w:t xml:space="preserve"> vindt u de coëfficiënten voor beide modellen naast elkaar. </w:t>
      </w:r>
    </w:p>
    <w:p w:rsidR="0008544A" w:rsidRDefault="0008544A" w:rsidP="00862D40">
      <w:pPr>
        <w:pStyle w:val="NormalIndent"/>
        <w:rPr>
          <w:lang w:val="nl-NL"/>
        </w:rPr>
      </w:pPr>
      <w:r>
        <w:rPr>
          <w:lang w:val="nl-NL"/>
        </w:rPr>
        <w:t>Voor de meeste variabelen zijn de coëfficiënten eenvoudig te inter</w:t>
      </w:r>
      <w:r w:rsidR="00862D40">
        <w:rPr>
          <w:lang w:val="nl-NL"/>
        </w:rPr>
        <w:t>preteren: een coëfficiënt van 0,</w:t>
      </w:r>
      <w:r>
        <w:rPr>
          <w:lang w:val="nl-NL"/>
        </w:rPr>
        <w:t xml:space="preserve">01 betekent dat de huurwaarde met 1% stijgt indien dit woningkenmerk aanwezig is. Dit geldt voor alle 0/1 dummy variabelen. Enkel voor de logaritmisch getransformeerde variabelen (deze waarvan de naam start met </w:t>
      </w:r>
      <w:r w:rsidR="0024544F">
        <w:rPr>
          <w:lang w:val="nl-NL"/>
        </w:rPr>
        <w:t>‘</w:t>
      </w:r>
      <w:proofErr w:type="spellStart"/>
      <w:r>
        <w:rPr>
          <w:lang w:val="nl-NL"/>
        </w:rPr>
        <w:t>ln</w:t>
      </w:r>
      <w:proofErr w:type="spellEnd"/>
      <w:r w:rsidR="0024544F">
        <w:rPr>
          <w:lang w:val="nl-NL"/>
        </w:rPr>
        <w:t>’</w:t>
      </w:r>
      <w:r>
        <w:rPr>
          <w:lang w:val="nl-NL"/>
        </w:rPr>
        <w:t>) dienen anders geïnterpreteerd te worden, zoals in bovenstaande uitleg over de log-specificatie beschreven.</w:t>
      </w:r>
    </w:p>
    <w:p w:rsidR="0008544A" w:rsidRDefault="00862D40" w:rsidP="0008544A">
      <w:pPr>
        <w:pStyle w:val="Caption"/>
      </w:pPr>
      <w:bookmarkStart w:id="15" w:name="_Ref450573404"/>
      <w:r>
        <w:t>Tabel</w:t>
      </w:r>
      <w:r w:rsidRPr="009E1119">
        <w:t xml:space="preserve"> </w:t>
      </w:r>
      <w:r w:rsidR="00301DB0">
        <w:fldChar w:fldCharType="begin"/>
      </w:r>
      <w:r w:rsidR="00301DB0">
        <w:instrText xml:space="preserve"> SEQ Tabel \* ARABIC </w:instrText>
      </w:r>
      <w:r w:rsidR="00301DB0">
        <w:fldChar w:fldCharType="separate"/>
      </w:r>
      <w:r w:rsidR="00A65B8D">
        <w:rPr>
          <w:noProof/>
        </w:rPr>
        <w:t>2</w:t>
      </w:r>
      <w:r w:rsidR="00301DB0">
        <w:rPr>
          <w:noProof/>
        </w:rPr>
        <w:fldChar w:fldCharType="end"/>
      </w:r>
      <w:r w:rsidRPr="009E1119">
        <w:tab/>
      </w:r>
      <w:r w:rsidRPr="00862D40">
        <w:t>Coëfficiënten en standaarddeviaties van variabelen uit de Huurschatter voor woonhuizen en appartementen</w:t>
      </w:r>
      <w:bookmarkEnd w:id="15"/>
    </w:p>
    <w:tbl>
      <w:tblPr>
        <w:tblStyle w:val="LightShading1"/>
        <w:tblW w:w="9071" w:type="dxa"/>
        <w:tblLayout w:type="fixed"/>
        <w:tblLook w:val="04A0" w:firstRow="1" w:lastRow="0" w:firstColumn="1" w:lastColumn="0" w:noHBand="0" w:noVBand="1"/>
      </w:tblPr>
      <w:tblGrid>
        <w:gridCol w:w="2835"/>
        <w:gridCol w:w="3402"/>
        <w:gridCol w:w="1417"/>
        <w:gridCol w:w="1417"/>
      </w:tblGrid>
      <w:tr w:rsidR="0055203A" w:rsidRPr="00CE4EF1" w:rsidTr="005520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vAlign w:val="top"/>
          </w:tcPr>
          <w:p w:rsidR="0055203A" w:rsidRPr="00A2714B" w:rsidRDefault="0055203A" w:rsidP="0055203A">
            <w:pPr>
              <w:pStyle w:val="Tabel-Tekst"/>
              <w:keepNext w:val="0"/>
              <w:keepLines/>
            </w:pPr>
            <w:r>
              <w:t>Categorie</w:t>
            </w:r>
          </w:p>
        </w:tc>
        <w:tc>
          <w:tcPr>
            <w:tcW w:w="3402" w:type="dxa"/>
            <w:noWrap/>
            <w:vAlign w:val="top"/>
            <w:hideMark/>
          </w:tcPr>
          <w:p w:rsidR="0055203A" w:rsidRPr="00A2714B" w:rsidRDefault="0055203A" w:rsidP="0055203A">
            <w:pPr>
              <w:pStyle w:val="Tabel-Tekst"/>
              <w:keepNext w:val="0"/>
              <w:keepLines/>
              <w:jc w:val="center"/>
              <w:cnfStyle w:val="100000000000" w:firstRow="1" w:lastRow="0" w:firstColumn="0" w:lastColumn="0" w:oddVBand="0" w:evenVBand="0" w:oddHBand="0" w:evenHBand="0" w:firstRowFirstColumn="0" w:firstRowLastColumn="0" w:lastRowFirstColumn="0" w:lastRowLastColumn="0"/>
            </w:pPr>
            <w:r>
              <w:t>Variabele</w:t>
            </w:r>
          </w:p>
        </w:tc>
        <w:tc>
          <w:tcPr>
            <w:tcW w:w="1417" w:type="dxa"/>
            <w:noWrap/>
            <w:vAlign w:val="top"/>
            <w:hideMark/>
          </w:tcPr>
          <w:p w:rsidR="0055203A" w:rsidRPr="00A2714B" w:rsidRDefault="00804CBF" w:rsidP="0055203A">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Appartementen</w:t>
            </w:r>
          </w:p>
        </w:tc>
        <w:tc>
          <w:tcPr>
            <w:tcW w:w="1417" w:type="dxa"/>
            <w:noWrap/>
            <w:vAlign w:val="top"/>
            <w:hideMark/>
          </w:tcPr>
          <w:p w:rsidR="0055203A" w:rsidRPr="007A7302" w:rsidRDefault="0055203A" w:rsidP="0055203A">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pPr>
            <w:r>
              <w:rPr>
                <w:color w:val="000000"/>
              </w:rPr>
              <w:t>Woonhuizen</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vAlign w:val="top"/>
          </w:tcPr>
          <w:p w:rsidR="00A81131" w:rsidRPr="00CE4EF1" w:rsidRDefault="00A81131" w:rsidP="00A81131">
            <w:pPr>
              <w:pStyle w:val="Tabel-Tekst"/>
              <w:keepNext w:val="0"/>
              <w:keepLines/>
              <w:rPr>
                <w:lang w:eastAsia="nl-BE"/>
              </w:rPr>
            </w:pPr>
            <w:r>
              <w:rPr>
                <w:lang w:eastAsia="nl-BE"/>
              </w:rPr>
              <w:t>Type gebruiker (referentie = verhuurder)</w:t>
            </w:r>
          </w:p>
        </w:tc>
        <w:tc>
          <w:tcPr>
            <w:tcW w:w="3402" w:type="dxa"/>
            <w:vMerge w:val="restart"/>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Huurder</w:t>
            </w:r>
          </w:p>
        </w:tc>
        <w:tc>
          <w:tcPr>
            <w:tcW w:w="1417" w:type="dxa"/>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0659***</w:t>
            </w:r>
          </w:p>
        </w:tc>
        <w:tc>
          <w:tcPr>
            <w:tcW w:w="1417" w:type="dxa"/>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0873***</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A81131" w:rsidRPr="00CE4EF1" w:rsidRDefault="00A81131" w:rsidP="00A81131">
            <w:pPr>
              <w:pStyle w:val="Tabel-Tekst"/>
              <w:keepNext w:val="0"/>
              <w:keepLines/>
              <w:rPr>
                <w:lang w:eastAsia="nl-BE"/>
              </w:rPr>
            </w:pPr>
          </w:p>
        </w:tc>
        <w:tc>
          <w:tcPr>
            <w:tcW w:w="3402" w:type="dxa"/>
            <w:vMerge/>
            <w:tcBorders>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00196)</w:t>
            </w:r>
          </w:p>
        </w:tc>
        <w:tc>
          <w:tcPr>
            <w:tcW w:w="1417" w:type="dxa"/>
            <w:tcBorders>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00309)</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bottom w:val="nil"/>
            </w:tcBorders>
            <w:vAlign w:val="top"/>
          </w:tcPr>
          <w:p w:rsidR="00A81131" w:rsidRPr="00CE4EF1" w:rsidRDefault="00A81131" w:rsidP="00A81131">
            <w:pPr>
              <w:pStyle w:val="Tabel-Tekst"/>
              <w:keepNext w:val="0"/>
              <w:keepLines/>
              <w:rPr>
                <w:lang w:eastAsia="nl-BE"/>
              </w:rPr>
            </w:pPr>
            <w:r>
              <w:rPr>
                <w:lang w:eastAsia="nl-BE"/>
              </w:rPr>
              <w:t>Bewoonbare oppervlakte</w:t>
            </w: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roofErr w:type="spellStart"/>
            <w:r>
              <w:rPr>
                <w:lang w:eastAsia="nl-BE"/>
              </w:rPr>
              <w:t>Ln</w:t>
            </w:r>
            <w:proofErr w:type="spellEnd"/>
            <w:r>
              <w:rPr>
                <w:lang w:eastAsia="nl-BE"/>
              </w:rPr>
              <w:t xml:space="preserve"> (Bewoonbare oppervlakte)</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192***</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101***</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0119)</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0301)</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ppbew60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0230***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173***</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00813)</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0240)</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ppbew80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0177</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150***</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0108)</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0280)</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ppbew100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0126</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144***</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0131)</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0329)</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ppbew120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00834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138***</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0149)</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0371)</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ppbew140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00875</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138***</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0168)</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0416)</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ppbew160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00588</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125***</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0190)</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0461)</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ppbew180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00279</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140***</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0207)</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0467)</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ppbew200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0154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166***</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0218)</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0467)</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Pr="00CE4EF1">
              <w:rPr>
                <w:lang w:eastAsia="nl-BE"/>
              </w:rPr>
              <w:t>ppbew250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00342</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167***</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0217)</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0467)</w:t>
            </w:r>
          </w:p>
        </w:tc>
      </w:tr>
      <w:tr w:rsidR="00A81131" w:rsidRPr="00CE4EF1" w:rsidTr="0055203A">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Op</w:t>
            </w:r>
            <w:r w:rsidRPr="00CE4EF1">
              <w:rPr>
                <w:lang w:eastAsia="nl-BE"/>
              </w:rPr>
              <w:t>ppbew250plus</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0,190***</w:t>
            </w:r>
          </w:p>
        </w:tc>
      </w:tr>
      <w:tr w:rsidR="00A81131"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(0,0468)</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A81131" w:rsidRPr="00CE4EF1" w:rsidRDefault="00A81131" w:rsidP="00A81131">
            <w:pPr>
              <w:pStyle w:val="Tabel-Tekst"/>
              <w:keepNext w:val="0"/>
              <w:keepLines/>
              <w:rPr>
                <w:lang w:eastAsia="nl-BE"/>
              </w:rPr>
            </w:pPr>
            <w:r>
              <w:rPr>
                <w:lang w:eastAsia="nl-BE"/>
              </w:rPr>
              <w:t>Tuin</w:t>
            </w: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Dummy tuin</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16</w:t>
            </w:r>
            <w:r>
              <w:rPr>
                <w:lang w:eastAsia="nl-BE"/>
              </w:rPr>
              <w:t>,</w:t>
            </w:r>
            <w:r w:rsidRPr="00CE4EF1">
              <w:rPr>
                <w:lang w:eastAsia="nl-BE"/>
              </w:rPr>
              <w:t>98</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(26</w:t>
            </w:r>
            <w:r>
              <w:rPr>
                <w:lang w:eastAsia="nl-BE"/>
              </w:rPr>
              <w:t>,</w:t>
            </w:r>
            <w:r w:rsidRPr="00CE4EF1">
              <w:rPr>
                <w:lang w:eastAsia="nl-BE"/>
              </w:rPr>
              <w:t>79)</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roofErr w:type="spellStart"/>
            <w:r>
              <w:rPr>
                <w:lang w:eastAsia="nl-BE"/>
              </w:rPr>
              <w:t>Ln</w:t>
            </w:r>
            <w:proofErr w:type="spellEnd"/>
            <w:r>
              <w:rPr>
                <w:lang w:eastAsia="nl-BE"/>
              </w:rPr>
              <w:t xml:space="preserve"> (oppervlakte tuin)</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00719***</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00858***</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00245)</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00164)</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roofErr w:type="spellStart"/>
            <w:r>
              <w:rPr>
                <w:lang w:eastAsia="nl-BE"/>
              </w:rPr>
              <w:t>Ln</w:t>
            </w:r>
            <w:r w:rsidRPr="00CE4EF1">
              <w:rPr>
                <w:lang w:eastAsia="nl-BE"/>
              </w:rPr>
              <w:t>_tuindichtheid</w:t>
            </w:r>
            <w:proofErr w:type="spellEnd"/>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00889***</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-9</w:t>
            </w:r>
            <w:r>
              <w:rPr>
                <w:color w:val="000000"/>
              </w:rPr>
              <w:t>,</w:t>
            </w:r>
            <w:r w:rsidRPr="00A2714B">
              <w:rPr>
                <w:color w:val="000000"/>
              </w:rPr>
              <w:t>72e-07***</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00263)</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(1</w:t>
            </w:r>
            <w:r>
              <w:rPr>
                <w:color w:val="000000"/>
              </w:rPr>
              <w:t>,</w:t>
            </w:r>
            <w:r w:rsidRPr="00A2714B">
              <w:rPr>
                <w:color w:val="000000"/>
              </w:rPr>
              <w:t>79e-07)</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A81131" w:rsidRPr="00CE4EF1" w:rsidRDefault="00A81131" w:rsidP="00A81131">
            <w:pPr>
              <w:pStyle w:val="Tabel-Tekst"/>
              <w:keepNext w:val="0"/>
              <w:keepLines/>
              <w:rPr>
                <w:lang w:eastAsia="nl-BE"/>
              </w:rPr>
            </w:pPr>
            <w:r>
              <w:rPr>
                <w:lang w:eastAsia="nl-BE"/>
              </w:rPr>
              <w:t>Terras</w:t>
            </w: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Dummy terras</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250</w:t>
            </w:r>
            <w:r>
              <w:rPr>
                <w:lang w:eastAsia="nl-BE"/>
              </w:rPr>
              <w:t>,</w:t>
            </w:r>
            <w:r w:rsidRPr="00CE4EF1">
              <w:rPr>
                <w:lang w:eastAsia="nl-BE"/>
              </w:rPr>
              <w:t>4</w:t>
            </w:r>
            <w:r>
              <w:rPr>
                <w:lang w:eastAsia="nl-BE"/>
              </w:rPr>
              <w:t>01</w:t>
            </w:r>
            <w:r w:rsidRPr="00CE4EF1">
              <w:rPr>
                <w:lang w:eastAsia="nl-BE"/>
              </w:rPr>
              <w: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54</w:t>
            </w:r>
            <w:r>
              <w:rPr>
                <w:color w:val="000000"/>
              </w:rPr>
              <w:t>,</w:t>
            </w:r>
            <w:r w:rsidRPr="00A2714B">
              <w:rPr>
                <w:color w:val="000000"/>
              </w:rPr>
              <w:t>74**</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w:t>
            </w:r>
            <w:r>
              <w:rPr>
                <w:lang w:eastAsia="nl-BE"/>
              </w:rPr>
              <w:t>0,00</w:t>
            </w:r>
            <w:r w:rsidRPr="00CE4EF1">
              <w:rPr>
                <w:lang w:eastAsia="nl-BE"/>
              </w:rPr>
              <w:t>1241)</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(23</w:t>
            </w:r>
            <w:r>
              <w:rPr>
                <w:color w:val="000000"/>
              </w:rPr>
              <w:t>,</w:t>
            </w:r>
            <w:r w:rsidRPr="00A2714B">
              <w:rPr>
                <w:color w:val="000000"/>
              </w:rPr>
              <w:t>90)</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roofErr w:type="spellStart"/>
            <w:r>
              <w:rPr>
                <w:lang w:eastAsia="nl-BE"/>
              </w:rPr>
              <w:t>Ln</w:t>
            </w:r>
            <w:proofErr w:type="spellEnd"/>
            <w:r>
              <w:rPr>
                <w:lang w:eastAsia="nl-BE"/>
              </w:rPr>
              <w:t xml:space="preserve"> (oppervlakte terras)</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0250***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00547**</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00124)</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00239)</w:t>
            </w:r>
          </w:p>
        </w:tc>
      </w:tr>
    </w:tbl>
    <w:p w:rsidR="00FA284C" w:rsidRDefault="00FA284C" w:rsidP="00FA284C">
      <w:pPr>
        <w:pStyle w:val="Figuur-RegelafstandEnkel"/>
        <w:rPr>
          <w:sz w:val="20"/>
          <w:lang w:val="nl-NL"/>
        </w:rPr>
      </w:pPr>
      <w:r>
        <w:br w:type="page"/>
      </w:r>
    </w:p>
    <w:p w:rsidR="00FA284C" w:rsidRDefault="00FA284C" w:rsidP="00FA284C">
      <w:pPr>
        <w:pStyle w:val="Caption"/>
      </w:pPr>
      <w:r>
        <w:lastRenderedPageBreak/>
        <w:t>Tabel 2</w:t>
      </w:r>
      <w:r w:rsidRPr="009E1119">
        <w:tab/>
      </w:r>
      <w:r w:rsidRPr="00862D40">
        <w:t>Coëfficiënten en standaarddeviaties van variabelen uit de Huurschatter voor woonhuizen en appartementen</w:t>
      </w:r>
      <w:r>
        <w:t xml:space="preserve"> (vervolg)</w:t>
      </w:r>
    </w:p>
    <w:tbl>
      <w:tblPr>
        <w:tblStyle w:val="LightShading1"/>
        <w:tblW w:w="9071" w:type="dxa"/>
        <w:tblLayout w:type="fixed"/>
        <w:tblLook w:val="04A0" w:firstRow="1" w:lastRow="0" w:firstColumn="1" w:lastColumn="0" w:noHBand="0" w:noVBand="1"/>
      </w:tblPr>
      <w:tblGrid>
        <w:gridCol w:w="2835"/>
        <w:gridCol w:w="3402"/>
        <w:gridCol w:w="1417"/>
        <w:gridCol w:w="1417"/>
      </w:tblGrid>
      <w:tr w:rsidR="00FA284C" w:rsidRPr="00CE4EF1" w:rsidTr="00FA28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vAlign w:val="top"/>
          </w:tcPr>
          <w:p w:rsidR="00FA284C" w:rsidRPr="00A2714B" w:rsidRDefault="00FA284C" w:rsidP="00FA284C">
            <w:pPr>
              <w:pStyle w:val="Tabel-Tekst"/>
              <w:keepNext w:val="0"/>
              <w:keepLines/>
            </w:pPr>
            <w:r>
              <w:t>Categorie</w:t>
            </w:r>
          </w:p>
        </w:tc>
        <w:tc>
          <w:tcPr>
            <w:tcW w:w="3402" w:type="dxa"/>
            <w:noWrap/>
            <w:vAlign w:val="top"/>
            <w:hideMark/>
          </w:tcPr>
          <w:p w:rsidR="00FA284C" w:rsidRPr="00A2714B" w:rsidRDefault="00FA284C" w:rsidP="00FA284C">
            <w:pPr>
              <w:pStyle w:val="Tabel-Tekst"/>
              <w:keepNext w:val="0"/>
              <w:keepLines/>
              <w:jc w:val="center"/>
              <w:cnfStyle w:val="100000000000" w:firstRow="1" w:lastRow="0" w:firstColumn="0" w:lastColumn="0" w:oddVBand="0" w:evenVBand="0" w:oddHBand="0" w:evenHBand="0" w:firstRowFirstColumn="0" w:firstRowLastColumn="0" w:lastRowFirstColumn="0" w:lastRowLastColumn="0"/>
            </w:pPr>
            <w:r>
              <w:t>Variabele</w:t>
            </w:r>
          </w:p>
        </w:tc>
        <w:tc>
          <w:tcPr>
            <w:tcW w:w="1417" w:type="dxa"/>
            <w:noWrap/>
            <w:vAlign w:val="top"/>
            <w:hideMark/>
          </w:tcPr>
          <w:p w:rsidR="00FA284C" w:rsidRPr="00A2714B" w:rsidRDefault="00FA284C" w:rsidP="00FA284C">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Appartementen</w:t>
            </w:r>
          </w:p>
        </w:tc>
        <w:tc>
          <w:tcPr>
            <w:tcW w:w="1417" w:type="dxa"/>
            <w:noWrap/>
            <w:vAlign w:val="top"/>
            <w:hideMark/>
          </w:tcPr>
          <w:p w:rsidR="00FA284C" w:rsidRPr="007A7302" w:rsidRDefault="00FA284C" w:rsidP="00FA284C">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pPr>
            <w:r>
              <w:rPr>
                <w:color w:val="000000"/>
              </w:rPr>
              <w:t>Woonhuizen</w:t>
            </w: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A81131" w:rsidRPr="00CE4EF1" w:rsidRDefault="00A81131" w:rsidP="00A81131">
            <w:pPr>
              <w:pStyle w:val="Tabel-Tekst"/>
              <w:keepNext w:val="0"/>
              <w:keepLines/>
              <w:rPr>
                <w:lang w:eastAsia="nl-BE"/>
              </w:rPr>
            </w:pPr>
            <w:r>
              <w:rPr>
                <w:lang w:eastAsia="nl-BE"/>
              </w:rPr>
              <w:t>Verdieping (referentie: gelijkvloers, geen lift)</w:t>
            </w: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1</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00767**</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00316)</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2</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00841**</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00373)</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3</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0126**</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00536)</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00454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0128)</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5</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00964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0405)</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Gelijkvloers,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0268***</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00432)</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1,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0376***</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00369)</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2,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0380***</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00389)</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3,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0444***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00437)</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4,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0403***</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00545)</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5,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0501***</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00744)</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6,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0556***</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0102)</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7,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0771***</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0117)</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Hoger dan 7, lift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0574***</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single" w:sz="4" w:space="0" w:color="808080"/>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0102)</w:t>
            </w:r>
          </w:p>
        </w:tc>
        <w:tc>
          <w:tcPr>
            <w:tcW w:w="1417" w:type="dxa"/>
            <w:tcBorders>
              <w:top w:val="nil"/>
              <w:bottom w:val="single" w:sz="4" w:space="0" w:color="808080"/>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vAlign w:val="top"/>
          </w:tcPr>
          <w:p w:rsidR="00A81131" w:rsidRPr="00CE4EF1" w:rsidRDefault="00A81131" w:rsidP="00A81131">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Dakappartement</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00299</w:t>
            </w:r>
          </w:p>
        </w:tc>
        <w:tc>
          <w:tcPr>
            <w:tcW w:w="1417" w:type="dxa"/>
            <w:tcBorders>
              <w:top w:val="single" w:sz="4" w:space="0" w:color="808080"/>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A81131" w:rsidRPr="00CE4EF1" w:rsidTr="007559E4">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A81131" w:rsidRPr="00CE4EF1" w:rsidRDefault="00A81131" w:rsidP="00A81131">
            <w:pPr>
              <w:pStyle w:val="Tabel-Tekst"/>
              <w:keepNext w:val="0"/>
              <w:keepLines/>
              <w:rPr>
                <w:lang w:eastAsia="nl-BE"/>
              </w:rPr>
            </w:pPr>
          </w:p>
        </w:tc>
        <w:tc>
          <w:tcPr>
            <w:tcW w:w="3402" w:type="dxa"/>
            <w:vMerge/>
            <w:tcBorders>
              <w:top w:val="nil"/>
              <w:bottom w:val="nil"/>
            </w:tcBorders>
            <w:noWrap/>
            <w:vAlign w:val="top"/>
            <w:hideMark/>
          </w:tcPr>
          <w:p w:rsidR="00A81131" w:rsidRPr="00CE4EF1" w:rsidRDefault="00A81131"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00226)</w:t>
            </w:r>
          </w:p>
        </w:tc>
        <w:tc>
          <w:tcPr>
            <w:tcW w:w="1417" w:type="dxa"/>
            <w:tcBorders>
              <w:top w:val="nil"/>
              <w:bottom w:val="nil"/>
            </w:tcBorders>
            <w:noWrap/>
            <w:vAlign w:val="top"/>
          </w:tcPr>
          <w:p w:rsidR="00A81131" w:rsidRPr="00CE4EF1" w:rsidRDefault="00A81131"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7559E4" w:rsidRPr="00CE4EF1" w:rsidTr="0014477D">
        <w:trPr>
          <w:trHeight w:val="227"/>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808080"/>
            </w:tcBorders>
            <w:vAlign w:val="top"/>
          </w:tcPr>
          <w:p w:rsidR="007559E4" w:rsidRPr="00CE4EF1" w:rsidRDefault="007559E4" w:rsidP="00A81131">
            <w:pPr>
              <w:pStyle w:val="Tabel-Tekst"/>
              <w:keepNext w:val="0"/>
              <w:keepLines/>
              <w:rPr>
                <w:lang w:eastAsia="nl-BE"/>
              </w:rPr>
            </w:pPr>
          </w:p>
        </w:tc>
        <w:tc>
          <w:tcPr>
            <w:tcW w:w="3402" w:type="dxa"/>
            <w:tcBorders>
              <w:top w:val="nil"/>
              <w:bottom w:val="single" w:sz="4" w:space="0" w:color="808080"/>
            </w:tcBorders>
            <w:noWrap/>
            <w:vAlign w:val="top"/>
          </w:tcPr>
          <w:p w:rsidR="007559E4" w:rsidRPr="00CE4EF1" w:rsidRDefault="007559E4" w:rsidP="00A81131">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A81131">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7559E4" w:rsidRPr="00A2714B" w:rsidTr="00E40E36">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tcBorders>
            <w:vAlign w:val="top"/>
          </w:tcPr>
          <w:p w:rsidR="007559E4" w:rsidRDefault="007559E4" w:rsidP="00E40E36">
            <w:pPr>
              <w:pStyle w:val="Tabel-Tekst"/>
              <w:keepNext w:val="0"/>
              <w:keepLines/>
              <w:rPr>
                <w:color w:val="000000"/>
              </w:rPr>
            </w:pPr>
            <w:r>
              <w:rPr>
                <w:color w:val="000000"/>
              </w:rPr>
              <w:t>Bouwlagen (referentie: bouwlagen = 1)</w:t>
            </w:r>
          </w:p>
        </w:tc>
        <w:tc>
          <w:tcPr>
            <w:tcW w:w="3402" w:type="dxa"/>
            <w:vMerge w:val="restart"/>
            <w:tcBorders>
              <w:top w:val="single" w:sz="4" w:space="0" w:color="808080"/>
            </w:tcBorders>
            <w:noWrap/>
            <w:vAlign w:val="top"/>
          </w:tcPr>
          <w:p w:rsidR="007559E4" w:rsidRDefault="007559E4" w:rsidP="00E40E36">
            <w:pPr>
              <w:pStyle w:val="Tabel-Tekst"/>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2</w:t>
            </w:r>
          </w:p>
        </w:tc>
        <w:tc>
          <w:tcPr>
            <w:tcW w:w="1417" w:type="dxa"/>
            <w:tcBorders>
              <w:top w:val="single" w:sz="4" w:space="0" w:color="808080"/>
              <w:bottom w:val="nil"/>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single" w:sz="4" w:space="0" w:color="808080"/>
              <w:bottom w:val="nil"/>
            </w:tcBorders>
            <w:noWrap/>
            <w:vAlign w:val="top"/>
          </w:tcPr>
          <w:p w:rsidR="007559E4" w:rsidRPr="00A2714B"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color w:val="000000"/>
              </w:rPr>
            </w:pPr>
            <w:r w:rsidRPr="00A2714B">
              <w:rPr>
                <w:color w:val="000000"/>
              </w:rPr>
              <w:t>0</w:t>
            </w:r>
            <w:r>
              <w:rPr>
                <w:color w:val="000000"/>
              </w:rPr>
              <w:t>,</w:t>
            </w:r>
            <w:r w:rsidRPr="00A2714B">
              <w:rPr>
                <w:color w:val="000000"/>
              </w:rPr>
              <w:t>00534*</w:t>
            </w:r>
          </w:p>
        </w:tc>
      </w:tr>
      <w:tr w:rsidR="007559E4" w:rsidRPr="00A2714B" w:rsidTr="00E40E36">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7559E4" w:rsidRDefault="007559E4" w:rsidP="00E40E36">
            <w:pPr>
              <w:pStyle w:val="Tabel-Tekst"/>
              <w:keepNext w:val="0"/>
              <w:keepLines/>
              <w:rPr>
                <w:color w:val="000000"/>
              </w:rPr>
            </w:pPr>
          </w:p>
        </w:tc>
        <w:tc>
          <w:tcPr>
            <w:tcW w:w="3402" w:type="dxa"/>
            <w:vMerge/>
            <w:tcBorders>
              <w:bottom w:val="single" w:sz="4" w:space="0" w:color="808080"/>
            </w:tcBorders>
            <w:noWrap/>
            <w:vAlign w:val="top"/>
          </w:tcPr>
          <w:p w:rsidR="007559E4" w:rsidRDefault="007559E4" w:rsidP="00E40E36">
            <w:pPr>
              <w:pStyle w:val="Tabel-Tekst"/>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A2714B"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color w:val="000000"/>
              </w:rPr>
            </w:pPr>
            <w:r w:rsidRPr="00A2714B">
              <w:rPr>
                <w:color w:val="000000"/>
              </w:rPr>
              <w:t>(0</w:t>
            </w:r>
            <w:r>
              <w:rPr>
                <w:color w:val="000000"/>
              </w:rPr>
              <w:t>,</w:t>
            </w:r>
            <w:r w:rsidRPr="00A2714B">
              <w:rPr>
                <w:color w:val="000000"/>
              </w:rPr>
              <w:t>00293)</w:t>
            </w:r>
          </w:p>
        </w:tc>
      </w:tr>
      <w:tr w:rsidR="007559E4" w:rsidRPr="00A2714B" w:rsidTr="00E40E36">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7559E4" w:rsidRDefault="007559E4" w:rsidP="00E40E36">
            <w:pPr>
              <w:pStyle w:val="Tabel-Tekst"/>
              <w:keepNext w:val="0"/>
              <w:keepLines/>
              <w:rPr>
                <w:color w:val="000000"/>
              </w:rPr>
            </w:pPr>
          </w:p>
        </w:tc>
        <w:tc>
          <w:tcPr>
            <w:tcW w:w="3402" w:type="dxa"/>
            <w:vMerge w:val="restart"/>
            <w:tcBorders>
              <w:top w:val="single" w:sz="4" w:space="0" w:color="808080"/>
            </w:tcBorders>
            <w:noWrap/>
            <w:vAlign w:val="top"/>
          </w:tcPr>
          <w:p w:rsidR="007559E4" w:rsidRDefault="007559E4" w:rsidP="00E40E36">
            <w:pPr>
              <w:pStyle w:val="Tabel-Tekst"/>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3</w:t>
            </w:r>
          </w:p>
        </w:tc>
        <w:tc>
          <w:tcPr>
            <w:tcW w:w="1417" w:type="dxa"/>
            <w:tcBorders>
              <w:top w:val="single" w:sz="4" w:space="0" w:color="808080"/>
              <w:bottom w:val="nil"/>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single" w:sz="4" w:space="0" w:color="808080"/>
              <w:bottom w:val="nil"/>
            </w:tcBorders>
            <w:noWrap/>
            <w:vAlign w:val="top"/>
          </w:tcPr>
          <w:p w:rsidR="007559E4" w:rsidRPr="00A2714B"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color w:val="000000"/>
              </w:rPr>
            </w:pPr>
            <w:r w:rsidRPr="00A2714B">
              <w:rPr>
                <w:color w:val="000000"/>
              </w:rPr>
              <w:t>0</w:t>
            </w:r>
            <w:r>
              <w:rPr>
                <w:color w:val="000000"/>
              </w:rPr>
              <w:t>,</w:t>
            </w:r>
            <w:r w:rsidRPr="00A2714B">
              <w:rPr>
                <w:color w:val="000000"/>
              </w:rPr>
              <w:t>0161***</w:t>
            </w:r>
          </w:p>
        </w:tc>
      </w:tr>
      <w:tr w:rsidR="007559E4" w:rsidRPr="00CE4EF1" w:rsidTr="00E40E36">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7559E4" w:rsidRDefault="007559E4" w:rsidP="00E40E36">
            <w:pPr>
              <w:pStyle w:val="Tabel-Tekst"/>
              <w:keepNext w:val="0"/>
              <w:keepLines/>
              <w:rPr>
                <w:color w:val="000000"/>
              </w:rPr>
            </w:pPr>
          </w:p>
        </w:tc>
        <w:tc>
          <w:tcPr>
            <w:tcW w:w="3402" w:type="dxa"/>
            <w:vMerge/>
            <w:tcBorders>
              <w:bottom w:val="single" w:sz="4" w:space="0" w:color="808080"/>
            </w:tcBorders>
            <w:noWrap/>
            <w:vAlign w:val="top"/>
          </w:tcPr>
          <w:p w:rsidR="007559E4" w:rsidRDefault="007559E4" w:rsidP="00E40E36">
            <w:pPr>
              <w:pStyle w:val="Tabel-Tekst"/>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00421)</w:t>
            </w:r>
          </w:p>
        </w:tc>
      </w:tr>
      <w:tr w:rsidR="007559E4" w:rsidRPr="00CE4EF1" w:rsidTr="00E40E36">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7559E4" w:rsidRDefault="007559E4" w:rsidP="00E40E36">
            <w:pPr>
              <w:pStyle w:val="Tabel-Tekst"/>
              <w:keepNext w:val="0"/>
              <w:keepLines/>
              <w:rPr>
                <w:color w:val="000000"/>
              </w:rPr>
            </w:pPr>
          </w:p>
        </w:tc>
        <w:tc>
          <w:tcPr>
            <w:tcW w:w="3402" w:type="dxa"/>
            <w:vMerge w:val="restart"/>
            <w:tcBorders>
              <w:top w:val="single" w:sz="4" w:space="0" w:color="808080"/>
            </w:tcBorders>
            <w:noWrap/>
            <w:vAlign w:val="top"/>
          </w:tcPr>
          <w:p w:rsidR="007559E4" w:rsidRDefault="007559E4" w:rsidP="00E40E36">
            <w:pPr>
              <w:pStyle w:val="Tabel-Tekst"/>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Meer dan 3</w:t>
            </w:r>
          </w:p>
        </w:tc>
        <w:tc>
          <w:tcPr>
            <w:tcW w:w="1417" w:type="dxa"/>
            <w:tcBorders>
              <w:top w:val="single" w:sz="4" w:space="0" w:color="808080"/>
              <w:bottom w:val="nil"/>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single" w:sz="4" w:space="0" w:color="808080"/>
              <w:bottom w:val="nil"/>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0270**</w:t>
            </w:r>
          </w:p>
        </w:tc>
      </w:tr>
      <w:tr w:rsidR="007559E4" w:rsidRPr="00CE4EF1" w:rsidTr="00E40E36">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bottom w:val="single" w:sz="4" w:space="0" w:color="808080"/>
            </w:tcBorders>
            <w:vAlign w:val="top"/>
          </w:tcPr>
          <w:p w:rsidR="007559E4" w:rsidRDefault="007559E4" w:rsidP="00E40E36">
            <w:pPr>
              <w:pStyle w:val="Tabel-Tekst"/>
              <w:keepNext w:val="0"/>
              <w:keepLines/>
              <w:rPr>
                <w:color w:val="000000"/>
              </w:rPr>
            </w:pPr>
          </w:p>
        </w:tc>
        <w:tc>
          <w:tcPr>
            <w:tcW w:w="3402" w:type="dxa"/>
            <w:vMerge/>
            <w:tcBorders>
              <w:bottom w:val="single" w:sz="4" w:space="0" w:color="808080"/>
            </w:tcBorders>
            <w:noWrap/>
            <w:vAlign w:val="top"/>
          </w:tcPr>
          <w:p w:rsidR="007559E4" w:rsidRDefault="007559E4" w:rsidP="00E40E36">
            <w:pPr>
              <w:pStyle w:val="Tabel-Tekst"/>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7559E4" w:rsidRPr="00CE4EF1" w:rsidRDefault="007559E4" w:rsidP="00E40E36">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0121)</w:t>
            </w:r>
          </w:p>
        </w:tc>
      </w:tr>
    </w:tbl>
    <w:p w:rsidR="00FA284C" w:rsidRDefault="00FA284C" w:rsidP="00FA284C">
      <w:pPr>
        <w:pStyle w:val="Figuur-RegelafstandEnkel"/>
        <w:rPr>
          <w:sz w:val="20"/>
          <w:lang w:val="nl-NL"/>
        </w:rPr>
      </w:pPr>
      <w:r>
        <w:br w:type="page"/>
      </w:r>
    </w:p>
    <w:p w:rsidR="00FA284C" w:rsidRDefault="00FA284C" w:rsidP="00FA284C">
      <w:pPr>
        <w:pStyle w:val="Caption"/>
      </w:pPr>
      <w:r>
        <w:lastRenderedPageBreak/>
        <w:t>Tabel 2</w:t>
      </w:r>
      <w:r w:rsidRPr="009E1119">
        <w:tab/>
      </w:r>
      <w:r w:rsidRPr="00862D40">
        <w:t>Coëfficiënten en standaarddeviaties van variabelen uit de Huurschatter voor woonhuizen en appartementen</w:t>
      </w:r>
      <w:r>
        <w:t xml:space="preserve"> (vervolg)</w:t>
      </w:r>
    </w:p>
    <w:tbl>
      <w:tblPr>
        <w:tblStyle w:val="LightShading1"/>
        <w:tblW w:w="9071" w:type="dxa"/>
        <w:tblLayout w:type="fixed"/>
        <w:tblLook w:val="04A0" w:firstRow="1" w:lastRow="0" w:firstColumn="1" w:lastColumn="0" w:noHBand="0" w:noVBand="1"/>
      </w:tblPr>
      <w:tblGrid>
        <w:gridCol w:w="2835"/>
        <w:gridCol w:w="3402"/>
        <w:gridCol w:w="1417"/>
        <w:gridCol w:w="1417"/>
      </w:tblGrid>
      <w:tr w:rsidR="00FA284C" w:rsidRPr="00CE4EF1" w:rsidTr="00FA28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vAlign w:val="top"/>
          </w:tcPr>
          <w:p w:rsidR="00FA284C" w:rsidRPr="00A2714B" w:rsidRDefault="00FA284C" w:rsidP="00FA284C">
            <w:pPr>
              <w:pStyle w:val="Tabel-Tekst"/>
              <w:keepNext w:val="0"/>
              <w:keepLines/>
            </w:pPr>
            <w:r>
              <w:t>Categorie</w:t>
            </w:r>
          </w:p>
        </w:tc>
        <w:tc>
          <w:tcPr>
            <w:tcW w:w="3402" w:type="dxa"/>
            <w:noWrap/>
            <w:vAlign w:val="top"/>
            <w:hideMark/>
          </w:tcPr>
          <w:p w:rsidR="00FA284C" w:rsidRPr="00A2714B" w:rsidRDefault="00FA284C" w:rsidP="00FA284C">
            <w:pPr>
              <w:pStyle w:val="Tabel-Tekst"/>
              <w:keepNext w:val="0"/>
              <w:keepLines/>
              <w:jc w:val="center"/>
              <w:cnfStyle w:val="100000000000" w:firstRow="1" w:lastRow="0" w:firstColumn="0" w:lastColumn="0" w:oddVBand="0" w:evenVBand="0" w:oddHBand="0" w:evenHBand="0" w:firstRowFirstColumn="0" w:firstRowLastColumn="0" w:lastRowFirstColumn="0" w:lastRowLastColumn="0"/>
            </w:pPr>
            <w:r>
              <w:t>Variabele</w:t>
            </w:r>
          </w:p>
        </w:tc>
        <w:tc>
          <w:tcPr>
            <w:tcW w:w="1417" w:type="dxa"/>
            <w:noWrap/>
            <w:vAlign w:val="top"/>
            <w:hideMark/>
          </w:tcPr>
          <w:p w:rsidR="00FA284C" w:rsidRPr="00A2714B" w:rsidRDefault="00FA284C" w:rsidP="00FA284C">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Appartementen</w:t>
            </w:r>
          </w:p>
        </w:tc>
        <w:tc>
          <w:tcPr>
            <w:tcW w:w="1417" w:type="dxa"/>
            <w:noWrap/>
            <w:vAlign w:val="top"/>
            <w:hideMark/>
          </w:tcPr>
          <w:p w:rsidR="00FA284C" w:rsidRPr="007A7302" w:rsidRDefault="00FA284C" w:rsidP="00FA284C">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pPr>
            <w:r>
              <w:rPr>
                <w:color w:val="000000"/>
              </w:rPr>
              <w:t>Woonhuizen</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Bouwjaar (referentie: bouwjaar tussen 1950 en 1960)</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 xml:space="preserve">1914 &gt; bouwjaar </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0154**</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00962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00687)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00693)</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1940 &gt; bouwjaar &gt;= 1914</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00304</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0287***</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00552)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00457)</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1950 &gt; bouwjaar &gt;= 1940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00828</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0234***</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00773)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00604)</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1970 &gt; bouwjaar &gt;= 1960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00486</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0146***</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00393)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00418)</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1980 &gt; bouwjaar &gt;= 1970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000518</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0272***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00393)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00478)</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1990 &gt; bouwjaar &gt;= 1980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0213***</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0477***</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00439)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00588)</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2000 &gt; bouwjaar &gt;= 1990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0547***</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0664***</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00413)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00601)</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2010 &gt; bouwjaar &gt;= 2000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0943***</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0965***</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00401)</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00540)</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lang w:eastAsia="nl-BE"/>
              </w:rPr>
              <w:t xml:space="preserve">2010 &gt;= bouwjaar </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115***</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125***</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00459)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00677)</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tcBorders>
            <w:vAlign w:val="top"/>
          </w:tcPr>
          <w:p w:rsidR="00C55B4B" w:rsidRDefault="00C55B4B" w:rsidP="00C55B4B">
            <w:pPr>
              <w:pStyle w:val="Tabel-Tekst"/>
              <w:keepNext w:val="0"/>
              <w:keepLines/>
              <w:rPr>
                <w:lang w:eastAsia="nl-BE"/>
              </w:rPr>
            </w:pPr>
            <w:r>
              <w:rPr>
                <w:lang w:eastAsia="nl-BE"/>
              </w:rPr>
              <w:t>Type bebouwing (referentie: open bebouwing)</w:t>
            </w:r>
          </w:p>
        </w:tc>
        <w:tc>
          <w:tcPr>
            <w:tcW w:w="3402" w:type="dxa"/>
            <w:vMerge w:val="restart"/>
            <w:tcBorders>
              <w:top w:val="single" w:sz="4" w:space="0" w:color="808080"/>
            </w:tcBorders>
            <w:noWrap/>
            <w:vAlign w:val="top"/>
          </w:tcPr>
          <w:p w:rsidR="00C55B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Gesloten bebouwing</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0764***</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Default="00C55B4B" w:rsidP="00C55B4B">
            <w:pPr>
              <w:pStyle w:val="Tabel-Tekst"/>
              <w:keepNext w:val="0"/>
              <w:keepLines/>
              <w:rPr>
                <w:lang w:eastAsia="nl-BE"/>
              </w:rPr>
            </w:pPr>
          </w:p>
        </w:tc>
        <w:tc>
          <w:tcPr>
            <w:tcW w:w="3402" w:type="dxa"/>
            <w:vMerge/>
            <w:tcBorders>
              <w:bottom w:val="nil"/>
            </w:tcBorders>
            <w:noWrap/>
            <w:vAlign w:val="top"/>
          </w:tcPr>
          <w:p w:rsidR="00C55B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00458)</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Default="00C55B4B" w:rsidP="00C55B4B">
            <w:pPr>
              <w:pStyle w:val="Tabel-Tekst"/>
              <w:keepNext w:val="0"/>
              <w:keepLines/>
              <w:rPr>
                <w:lang w:eastAsia="nl-BE"/>
              </w:rPr>
            </w:pPr>
          </w:p>
        </w:tc>
        <w:tc>
          <w:tcPr>
            <w:tcW w:w="3402" w:type="dxa"/>
            <w:vMerge w:val="restart"/>
            <w:tcBorders>
              <w:top w:val="single" w:sz="4" w:space="0" w:color="808080"/>
            </w:tcBorders>
            <w:noWrap/>
            <w:vAlign w:val="top"/>
          </w:tcPr>
          <w:p w:rsidR="00C55B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Halfopen bebouwing</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0662***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bottom w:val="nil"/>
            </w:tcBorders>
            <w:vAlign w:val="top"/>
          </w:tcPr>
          <w:p w:rsidR="00C55B4B" w:rsidRDefault="00C55B4B" w:rsidP="00C55B4B">
            <w:pPr>
              <w:pStyle w:val="Tabel-Tekst"/>
              <w:keepNext w:val="0"/>
              <w:keepLines/>
              <w:rPr>
                <w:lang w:eastAsia="nl-BE"/>
              </w:rPr>
            </w:pPr>
          </w:p>
        </w:tc>
        <w:tc>
          <w:tcPr>
            <w:tcW w:w="3402" w:type="dxa"/>
            <w:vMerge/>
            <w:tcBorders>
              <w:bottom w:val="nil"/>
            </w:tcBorders>
            <w:noWrap/>
            <w:vAlign w:val="top"/>
          </w:tcPr>
          <w:p w:rsidR="00C55B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00377)</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tcBorders>
            <w:vAlign w:val="top"/>
          </w:tcPr>
          <w:p w:rsidR="00C55B4B" w:rsidRPr="00CE4EF1" w:rsidRDefault="00C55B4B" w:rsidP="00C55B4B">
            <w:pPr>
              <w:pStyle w:val="Tabel-Tekst"/>
              <w:keepNext w:val="0"/>
              <w:keepLines/>
              <w:rPr>
                <w:lang w:eastAsia="nl-BE"/>
              </w:rPr>
            </w:pPr>
            <w:r>
              <w:rPr>
                <w:lang w:eastAsia="nl-BE"/>
              </w:rPr>
              <w:t>Aantal slaapkamers (referentie = 2)</w:t>
            </w:r>
          </w:p>
        </w:tc>
        <w:tc>
          <w:tcPr>
            <w:tcW w:w="3402" w:type="dxa"/>
            <w:vMerge w:val="restart"/>
            <w:tcBorders>
              <w:top w:val="single" w:sz="4" w:space="0" w:color="808080"/>
              <w:bottom w:val="nil"/>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Pr="00CE4EF1">
              <w:rPr>
                <w:lang w:eastAsia="nl-BE"/>
              </w:rPr>
              <w:t>antal</w:t>
            </w:r>
            <w:r>
              <w:rPr>
                <w:lang w:eastAsia="nl-BE"/>
              </w:rPr>
              <w:t xml:space="preserve"> </w:t>
            </w:r>
            <w:r w:rsidRPr="00CE4EF1">
              <w:rPr>
                <w:lang w:eastAsia="nl-BE"/>
              </w:rPr>
              <w:t>slaapkamers</w:t>
            </w:r>
            <w:r>
              <w:rPr>
                <w:lang w:eastAsia="nl-BE"/>
              </w:rPr>
              <w:t xml:space="preserve"> </w:t>
            </w:r>
            <w:r w:rsidRPr="00CE4EF1">
              <w:rPr>
                <w:lang w:eastAsia="nl-BE"/>
              </w:rPr>
              <w:t>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191***</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tcBorders>
              <w:top w:val="nil"/>
              <w:bottom w:val="single" w:sz="4" w:space="0" w:color="808080"/>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00732)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Pr="00CE4EF1">
              <w:rPr>
                <w:lang w:eastAsia="nl-BE"/>
              </w:rPr>
              <w:t>antal</w:t>
            </w:r>
            <w:r>
              <w:rPr>
                <w:lang w:eastAsia="nl-BE"/>
              </w:rPr>
              <w:t xml:space="preserve"> </w:t>
            </w:r>
            <w:r w:rsidRPr="00CE4EF1">
              <w:rPr>
                <w:lang w:eastAsia="nl-BE"/>
              </w:rPr>
              <w:t>slaapkamers</w:t>
            </w:r>
            <w:r>
              <w:rPr>
                <w:lang w:eastAsia="nl-BE"/>
              </w:rPr>
              <w:t xml:space="preserve"> </w:t>
            </w:r>
            <w:r w:rsidRPr="00CE4EF1">
              <w:rPr>
                <w:lang w:eastAsia="nl-BE"/>
              </w:rPr>
              <w:t>1</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0991***</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101***</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tcBorders>
              <w:top w:val="nil"/>
              <w:bottom w:val="single" w:sz="4" w:space="0" w:color="808080"/>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00244)</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00808)</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Pr="00CE4EF1">
              <w:rPr>
                <w:lang w:eastAsia="nl-BE"/>
              </w:rPr>
              <w:t>antal</w:t>
            </w:r>
            <w:r>
              <w:rPr>
                <w:lang w:eastAsia="nl-BE"/>
              </w:rPr>
              <w:t xml:space="preserve"> </w:t>
            </w:r>
            <w:r w:rsidRPr="00CE4EF1">
              <w:rPr>
                <w:lang w:eastAsia="nl-BE"/>
              </w:rPr>
              <w:t>slaapkamers</w:t>
            </w:r>
            <w:r>
              <w:rPr>
                <w:lang w:eastAsia="nl-BE"/>
              </w:rPr>
              <w:t xml:space="preserve"> </w:t>
            </w:r>
            <w:r w:rsidRPr="00CE4EF1">
              <w:rPr>
                <w:lang w:eastAsia="nl-BE"/>
              </w:rPr>
              <w:t>3</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0630***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0758***</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tcBorders>
              <w:top w:val="nil"/>
              <w:bottom w:val="single" w:sz="4" w:space="0" w:color="808080"/>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00272)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00327)</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val="restart"/>
            <w:tcBorders>
              <w:top w:val="single" w:sz="4" w:space="0" w:color="808080"/>
              <w:bottom w:val="nil"/>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Pr="00CE4EF1">
              <w:rPr>
                <w:lang w:eastAsia="nl-BE"/>
              </w:rPr>
              <w:t>antal</w:t>
            </w:r>
            <w:r>
              <w:rPr>
                <w:lang w:eastAsia="nl-BE"/>
              </w:rPr>
              <w:t xml:space="preserve"> </w:t>
            </w:r>
            <w:r w:rsidRPr="00CE4EF1">
              <w:rPr>
                <w:lang w:eastAsia="nl-BE"/>
              </w:rPr>
              <w:t>slaapkamers</w:t>
            </w:r>
            <w:r>
              <w:rPr>
                <w:lang w:eastAsia="nl-BE"/>
              </w:rPr>
              <w:t xml:space="preserve"> </w:t>
            </w:r>
            <w:r w:rsidRPr="00CE4EF1">
              <w:rPr>
                <w:lang w:eastAsia="nl-BE"/>
              </w:rPr>
              <w:t>4</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108***</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121***</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tcBorders>
              <w:top w:val="nil"/>
              <w:bottom w:val="single" w:sz="4" w:space="0" w:color="808080"/>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0109)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00449)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val="restart"/>
            <w:tcBorders>
              <w:top w:val="nil"/>
            </w:tcBorders>
            <w:noWrap/>
            <w:vAlign w:val="top"/>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Pr="00CE4EF1">
              <w:rPr>
                <w:lang w:eastAsia="nl-BE"/>
              </w:rPr>
              <w:t>antal</w:t>
            </w:r>
            <w:r>
              <w:rPr>
                <w:lang w:eastAsia="nl-BE"/>
              </w:rPr>
              <w:t xml:space="preserve"> </w:t>
            </w:r>
            <w:r w:rsidRPr="00CE4EF1">
              <w:rPr>
                <w:lang w:eastAsia="nl-BE"/>
              </w:rPr>
              <w:t>slaapkamers</w:t>
            </w:r>
            <w:r>
              <w:rPr>
                <w:lang w:eastAsia="nl-BE"/>
              </w:rPr>
              <w:t xml:space="preserve"> 5</w:t>
            </w:r>
          </w:p>
        </w:tc>
        <w:tc>
          <w:tcPr>
            <w:tcW w:w="1417" w:type="dxa"/>
            <w:tcBorders>
              <w:top w:val="nil"/>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174***</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tcBorders>
              <w:bottom w:val="single" w:sz="4" w:space="0" w:color="808080"/>
            </w:tcBorders>
            <w:noWrap/>
            <w:vAlign w:val="top"/>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00878)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tcBorders>
            <w:vAlign w:val="top"/>
          </w:tcPr>
          <w:p w:rsidR="00C55B4B" w:rsidRPr="00CE4EF1" w:rsidRDefault="00C55B4B" w:rsidP="00C55B4B">
            <w:pPr>
              <w:pStyle w:val="Tabel-Tekst"/>
              <w:keepNext w:val="0"/>
              <w:keepLines/>
              <w:rPr>
                <w:lang w:eastAsia="nl-BE"/>
              </w:rPr>
            </w:pPr>
          </w:p>
        </w:tc>
        <w:tc>
          <w:tcPr>
            <w:tcW w:w="3402" w:type="dxa"/>
            <w:vMerge w:val="restart"/>
            <w:tcBorders>
              <w:top w:val="nil"/>
            </w:tcBorders>
            <w:noWrap/>
            <w:vAlign w:val="top"/>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Pr="00CE4EF1">
              <w:rPr>
                <w:lang w:eastAsia="nl-BE"/>
              </w:rPr>
              <w:t>antal</w:t>
            </w:r>
            <w:r>
              <w:rPr>
                <w:lang w:eastAsia="nl-BE"/>
              </w:rPr>
              <w:t xml:space="preserve"> </w:t>
            </w:r>
            <w:r w:rsidRPr="00CE4EF1">
              <w:rPr>
                <w:lang w:eastAsia="nl-BE"/>
              </w:rPr>
              <w:t>slaapkamers</w:t>
            </w:r>
            <w:r>
              <w:rPr>
                <w:lang w:eastAsia="nl-BE"/>
              </w:rPr>
              <w:t xml:space="preserve"> 6</w:t>
            </w:r>
          </w:p>
        </w:tc>
        <w:tc>
          <w:tcPr>
            <w:tcW w:w="1417" w:type="dxa"/>
            <w:tcBorders>
              <w:top w:val="nil"/>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189***</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left w:val="single" w:sz="12" w:space="0" w:color="808080"/>
              <w:bottom w:val="single" w:sz="4" w:space="0" w:color="808080"/>
            </w:tcBorders>
            <w:vAlign w:val="top"/>
          </w:tcPr>
          <w:p w:rsidR="00C55B4B" w:rsidRPr="00CE4EF1" w:rsidRDefault="00C55B4B" w:rsidP="00C55B4B">
            <w:pPr>
              <w:pStyle w:val="Tabel-Tekst"/>
              <w:keepNext w:val="0"/>
              <w:keepLines/>
              <w:rPr>
                <w:lang w:eastAsia="nl-BE"/>
              </w:rPr>
            </w:pPr>
          </w:p>
        </w:tc>
        <w:tc>
          <w:tcPr>
            <w:tcW w:w="3402" w:type="dxa"/>
            <w:vMerge/>
            <w:tcBorders>
              <w:bottom w:val="single" w:sz="4" w:space="0" w:color="808080"/>
            </w:tcBorders>
            <w:noWrap/>
            <w:vAlign w:val="top"/>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0219)</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Garage (referentie: geen eigen parkeerplaats)</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Eigen open parkeerplaats</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0179***</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0152**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00356)</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00595)</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Eigen gesloten garage</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0302***</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0345***</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00333)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00561)</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Ln_g</w:t>
            </w:r>
            <w:r w:rsidRPr="00A2714B">
              <w:rPr>
                <w:color w:val="000000"/>
              </w:rPr>
              <w:t>aragedichtheid</w:t>
            </w:r>
            <w:proofErr w:type="spellEnd"/>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2</w:t>
            </w:r>
            <w:r>
              <w:rPr>
                <w:lang w:eastAsia="nl-BE"/>
              </w:rPr>
              <w:t>,</w:t>
            </w:r>
            <w:r w:rsidRPr="00CE4EF1">
              <w:rPr>
                <w:lang w:eastAsia="nl-BE"/>
              </w:rPr>
              <w:t>71e-06***</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1</w:t>
            </w:r>
            <w:r>
              <w:rPr>
                <w:color w:val="000000"/>
              </w:rPr>
              <w:t>,</w:t>
            </w:r>
            <w:r w:rsidRPr="00A2714B">
              <w:rPr>
                <w:color w:val="000000"/>
              </w:rPr>
              <w:t>03e-06</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(5</w:t>
            </w:r>
            <w:r>
              <w:rPr>
                <w:lang w:eastAsia="nl-BE"/>
              </w:rPr>
              <w:t>,</w:t>
            </w:r>
            <w:r w:rsidRPr="00CE4EF1">
              <w:rPr>
                <w:lang w:eastAsia="nl-BE"/>
              </w:rPr>
              <w:t>69e-07)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(1</w:t>
            </w:r>
            <w:r>
              <w:rPr>
                <w:color w:val="000000"/>
              </w:rPr>
              <w:t>,</w:t>
            </w:r>
            <w:r w:rsidRPr="00A2714B">
              <w:rPr>
                <w:color w:val="000000"/>
              </w:rPr>
              <w:t>12e-06)</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Natuurlijke lichtinval (referentie: veel)</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Weinig</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00868*</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0140**</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00469)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00636)</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Normaal</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00200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00995***</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00179)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00312)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Ruimtegevoel (referentie: gemiddeld)</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beperkt</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0212***</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00772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00819)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0138)</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Beperkt</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00629*</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0152***</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00344)</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00518)</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Ruim</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0180***</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0263***</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00193)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00309)</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ruim</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0424***</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0501***</w:t>
            </w:r>
          </w:p>
        </w:tc>
      </w:tr>
      <w:tr w:rsidR="00C55B4B" w:rsidRPr="00CE4EF1" w:rsidTr="003B175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00323)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00520)</w:t>
            </w:r>
          </w:p>
        </w:tc>
      </w:tr>
    </w:tbl>
    <w:p w:rsidR="007559E4" w:rsidRDefault="007559E4" w:rsidP="007559E4">
      <w:pPr>
        <w:pStyle w:val="Caption"/>
      </w:pPr>
      <w:r>
        <w:lastRenderedPageBreak/>
        <w:t>Tabel 2</w:t>
      </w:r>
      <w:r w:rsidRPr="009E1119">
        <w:tab/>
      </w:r>
      <w:r w:rsidRPr="00862D40">
        <w:t>Coëfficiënten en standaarddeviaties van variabelen uit de Huurschatter voor woonhuizen en appartementen</w:t>
      </w:r>
      <w:r>
        <w:t xml:space="preserve"> (vervolg)</w:t>
      </w:r>
    </w:p>
    <w:tbl>
      <w:tblPr>
        <w:tblStyle w:val="LightShading1"/>
        <w:tblW w:w="9071" w:type="dxa"/>
        <w:tblLayout w:type="fixed"/>
        <w:tblLook w:val="04A0" w:firstRow="1" w:lastRow="0" w:firstColumn="1" w:lastColumn="0" w:noHBand="0" w:noVBand="1"/>
      </w:tblPr>
      <w:tblGrid>
        <w:gridCol w:w="2835"/>
        <w:gridCol w:w="3402"/>
        <w:gridCol w:w="1417"/>
        <w:gridCol w:w="1417"/>
      </w:tblGrid>
      <w:tr w:rsidR="007559E4" w:rsidRPr="00CE4EF1" w:rsidTr="00E40E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vAlign w:val="top"/>
          </w:tcPr>
          <w:p w:rsidR="007559E4" w:rsidRPr="00A2714B" w:rsidRDefault="007559E4" w:rsidP="00E40E36">
            <w:pPr>
              <w:pStyle w:val="Tabel-Tekst"/>
              <w:keepNext w:val="0"/>
              <w:keepLines/>
            </w:pPr>
            <w:r>
              <w:t>Categorie</w:t>
            </w:r>
          </w:p>
        </w:tc>
        <w:tc>
          <w:tcPr>
            <w:tcW w:w="3402" w:type="dxa"/>
            <w:noWrap/>
            <w:vAlign w:val="top"/>
            <w:hideMark/>
          </w:tcPr>
          <w:p w:rsidR="007559E4" w:rsidRPr="00A2714B" w:rsidRDefault="007559E4" w:rsidP="00E40E36">
            <w:pPr>
              <w:pStyle w:val="Tabel-Tekst"/>
              <w:keepNext w:val="0"/>
              <w:keepLines/>
              <w:jc w:val="center"/>
              <w:cnfStyle w:val="100000000000" w:firstRow="1" w:lastRow="0" w:firstColumn="0" w:lastColumn="0" w:oddVBand="0" w:evenVBand="0" w:oddHBand="0" w:evenHBand="0" w:firstRowFirstColumn="0" w:firstRowLastColumn="0" w:lastRowFirstColumn="0" w:lastRowLastColumn="0"/>
            </w:pPr>
            <w:r>
              <w:t>Variabele</w:t>
            </w:r>
          </w:p>
        </w:tc>
        <w:tc>
          <w:tcPr>
            <w:tcW w:w="1417" w:type="dxa"/>
            <w:noWrap/>
            <w:vAlign w:val="top"/>
            <w:hideMark/>
          </w:tcPr>
          <w:p w:rsidR="007559E4" w:rsidRPr="00A2714B" w:rsidRDefault="007559E4" w:rsidP="00E40E36">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Appartementen</w:t>
            </w:r>
          </w:p>
        </w:tc>
        <w:tc>
          <w:tcPr>
            <w:tcW w:w="1417" w:type="dxa"/>
            <w:noWrap/>
            <w:vAlign w:val="top"/>
            <w:hideMark/>
          </w:tcPr>
          <w:p w:rsidR="007559E4" w:rsidRPr="007A7302" w:rsidRDefault="007559E4" w:rsidP="00E40E36">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pPr>
            <w:r>
              <w:rPr>
                <w:color w:val="000000"/>
              </w:rPr>
              <w:t>Woonhuizen</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Keuken (referentie: licht verouderd, maar volledig)</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Recente inbouwkeuken</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0204***</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0216***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00271)</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00368)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Alle basisvoorzieningen</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00492*</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0127***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00288)</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00406)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Minimale voorzieningen</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0313***</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0265***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00384)</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00601)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Primitief</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0391***</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0333***</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00949)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0118)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bottom w:val="nil"/>
            </w:tcBorders>
            <w:vAlign w:val="top"/>
          </w:tcPr>
          <w:p w:rsidR="00C55B4B" w:rsidRPr="00A2714B" w:rsidRDefault="00C55B4B" w:rsidP="00C55B4B">
            <w:pPr>
              <w:pStyle w:val="Tabel-Tekst"/>
              <w:keepNext w:val="0"/>
              <w:keepLines/>
              <w:rPr>
                <w:color w:val="000000"/>
              </w:rPr>
            </w:pPr>
            <w:r>
              <w:rPr>
                <w:color w:val="000000"/>
              </w:rPr>
              <w:t>Sanitair (referentie: licht verouderd, maar volledig)</w:t>
            </w:r>
          </w:p>
        </w:tc>
        <w:tc>
          <w:tcPr>
            <w:tcW w:w="3402" w:type="dxa"/>
            <w:vMerge w:val="restart"/>
            <w:tcBorders>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Recent</w:t>
            </w:r>
          </w:p>
        </w:tc>
        <w:tc>
          <w:tcPr>
            <w:tcW w:w="1417" w:type="dxa"/>
            <w:tcBorders>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0221***</w:t>
            </w:r>
          </w:p>
        </w:tc>
        <w:tc>
          <w:tcPr>
            <w:tcW w:w="1417" w:type="dxa"/>
            <w:tcBorders>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0180***</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00265)</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00374)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Alle basisvoorzieningen</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000746</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00795**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00272)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00395)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Minimale voorzieningen</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0114**</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0267***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00562)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00757)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Primitief</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0175</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0438***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0155)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bottom w:val="nil"/>
            </w:tcBorders>
            <w:vAlign w:val="top"/>
          </w:tcPr>
          <w:p w:rsidR="00C55B4B" w:rsidRPr="00A2714B" w:rsidRDefault="00C55B4B" w:rsidP="00C55B4B">
            <w:pPr>
              <w:pStyle w:val="Tabel-Tekst"/>
              <w:keepNext w:val="0"/>
              <w:keepLines/>
              <w:rPr>
                <w:color w:val="000000"/>
              </w:rPr>
            </w:pPr>
            <w:r>
              <w:rPr>
                <w:color w:val="000000"/>
              </w:rPr>
              <w:t>Verwarming (referentie: centrale verwarming ouder model)</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Centrale verwarming: condenserende ketel</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00746***</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000157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00258)</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00401)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Centrale verwarming: hoogrendements</w:t>
            </w:r>
            <w:r>
              <w:rPr>
                <w:color w:val="000000"/>
              </w:rPr>
              <w:softHyphen/>
              <w:t>ketel</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00609**</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00241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00257)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00398)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In kamer: elektrisch of gas</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00991***</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0386***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00263)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00391)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In kamer: kolen of mazoutkachel</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0106</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0787***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00710)</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00659)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Ventilatie (referentie: goed)</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Slecht</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0280***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0309***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00381)</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00572)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Matig</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0109***</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0116***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00205)</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00309)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Beglazing (referentie: overwegend dubbel)</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Recent volledig dubbel</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00366*</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00388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00209)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00344)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Volledig dubbel</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00218</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00811**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00308)</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00396)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Overwegend enkel</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0154***</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0292***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00484)</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00541)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Volledig enkel</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0367***</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0516***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00417)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00577)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Dakisolatie (referentie: niet van toepassing)</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Geïsoleerd met dampscherm</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00309</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0180*</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00219)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0109)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Licht geïsoleerd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00529**</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0175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00267)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0109)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Geen isolatie, wel winddicht onderdak</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0256***</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000292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00462)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0113)</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Geen isolatie en onderdak</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0127**</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6</w:t>
            </w:r>
            <w:r>
              <w:rPr>
                <w:color w:val="000000"/>
              </w:rPr>
              <w:t>,</w:t>
            </w:r>
            <w:r w:rsidRPr="00A2714B">
              <w:rPr>
                <w:color w:val="000000"/>
              </w:rPr>
              <w:t>94e-05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00541)</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0113)</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Woningstaat intern (referentie = matig)</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slecht</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0163</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0505*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0178)</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0274)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Slecht</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0156*</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000419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00839)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0107)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0150***</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0223***</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00329)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00473)</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0241***</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0402***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00413)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00615)</w:t>
            </w:r>
          </w:p>
        </w:tc>
      </w:tr>
    </w:tbl>
    <w:p w:rsidR="007559E4" w:rsidRDefault="007559E4" w:rsidP="007559E4">
      <w:pPr>
        <w:pStyle w:val="Caption"/>
      </w:pPr>
      <w:r>
        <w:lastRenderedPageBreak/>
        <w:t>Tabel 2</w:t>
      </w:r>
      <w:r w:rsidRPr="009E1119">
        <w:tab/>
      </w:r>
      <w:r w:rsidRPr="00862D40">
        <w:t>Coëfficiënten en standaarddeviaties van variabelen uit de Huurschatter voor woonhuizen en appartementen</w:t>
      </w:r>
      <w:r>
        <w:t xml:space="preserve"> (vervolg)</w:t>
      </w:r>
    </w:p>
    <w:tbl>
      <w:tblPr>
        <w:tblStyle w:val="LightShading1"/>
        <w:tblW w:w="9071" w:type="dxa"/>
        <w:tblLayout w:type="fixed"/>
        <w:tblLook w:val="04A0" w:firstRow="1" w:lastRow="0" w:firstColumn="1" w:lastColumn="0" w:noHBand="0" w:noVBand="1"/>
      </w:tblPr>
      <w:tblGrid>
        <w:gridCol w:w="2835"/>
        <w:gridCol w:w="3402"/>
        <w:gridCol w:w="1417"/>
        <w:gridCol w:w="1417"/>
      </w:tblGrid>
      <w:tr w:rsidR="007559E4" w:rsidRPr="00CE4EF1" w:rsidTr="00E40E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vAlign w:val="top"/>
          </w:tcPr>
          <w:p w:rsidR="007559E4" w:rsidRPr="00A2714B" w:rsidRDefault="007559E4" w:rsidP="00E40E36">
            <w:pPr>
              <w:pStyle w:val="Tabel-Tekst"/>
              <w:keepNext w:val="0"/>
              <w:keepLines/>
            </w:pPr>
            <w:r>
              <w:t>Categorie</w:t>
            </w:r>
          </w:p>
        </w:tc>
        <w:tc>
          <w:tcPr>
            <w:tcW w:w="3402" w:type="dxa"/>
            <w:noWrap/>
            <w:vAlign w:val="top"/>
            <w:hideMark/>
          </w:tcPr>
          <w:p w:rsidR="007559E4" w:rsidRPr="00A2714B" w:rsidRDefault="007559E4" w:rsidP="00E40E36">
            <w:pPr>
              <w:pStyle w:val="Tabel-Tekst"/>
              <w:keepNext w:val="0"/>
              <w:keepLines/>
              <w:jc w:val="center"/>
              <w:cnfStyle w:val="100000000000" w:firstRow="1" w:lastRow="0" w:firstColumn="0" w:lastColumn="0" w:oddVBand="0" w:evenVBand="0" w:oddHBand="0" w:evenHBand="0" w:firstRowFirstColumn="0" w:firstRowLastColumn="0" w:lastRowFirstColumn="0" w:lastRowLastColumn="0"/>
            </w:pPr>
            <w:r>
              <w:t>Variabele</w:t>
            </w:r>
          </w:p>
        </w:tc>
        <w:tc>
          <w:tcPr>
            <w:tcW w:w="1417" w:type="dxa"/>
            <w:noWrap/>
            <w:vAlign w:val="top"/>
            <w:hideMark/>
          </w:tcPr>
          <w:p w:rsidR="007559E4" w:rsidRPr="00A2714B" w:rsidRDefault="007559E4" w:rsidP="00E40E36">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Appartementen</w:t>
            </w:r>
          </w:p>
        </w:tc>
        <w:tc>
          <w:tcPr>
            <w:tcW w:w="1417" w:type="dxa"/>
            <w:noWrap/>
            <w:vAlign w:val="top"/>
            <w:hideMark/>
          </w:tcPr>
          <w:p w:rsidR="007559E4" w:rsidRPr="007A7302" w:rsidRDefault="007559E4" w:rsidP="00E40E36">
            <w:pPr>
              <w:pStyle w:val="Tabel-Tekst"/>
              <w:keepNext w:val="0"/>
              <w:keepLines/>
              <w:ind w:left="0" w:right="0"/>
              <w:jc w:val="center"/>
              <w:cnfStyle w:val="100000000000" w:firstRow="1" w:lastRow="0" w:firstColumn="0" w:lastColumn="0" w:oddVBand="0" w:evenVBand="0" w:oddHBand="0" w:evenHBand="0" w:firstRowFirstColumn="0" w:firstRowLastColumn="0" w:lastRowFirstColumn="0" w:lastRowLastColumn="0"/>
            </w:pPr>
            <w:r>
              <w:rPr>
                <w:color w:val="000000"/>
              </w:rPr>
              <w:t>Woonhuizen</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Woningstaat extern (referentie = matig)</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slecht</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00188</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0232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0192)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0200)</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Slecht</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0167*</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00256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00874)</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00929)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000797</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000428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00317)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00450)</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00115</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0109*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00396)</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00588)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left w:val="single" w:sz="12" w:space="0" w:color="808080"/>
              <w:bottom w:val="nil"/>
            </w:tcBorders>
            <w:vAlign w:val="top"/>
          </w:tcPr>
          <w:p w:rsidR="00C55B4B" w:rsidRPr="00A2714B" w:rsidRDefault="00C55B4B" w:rsidP="00C55B4B">
            <w:pPr>
              <w:pStyle w:val="Tabel-Tekst"/>
              <w:keepNext w:val="0"/>
              <w:keepLines/>
              <w:rPr>
                <w:color w:val="000000"/>
              </w:rPr>
            </w:pPr>
            <w:r>
              <w:rPr>
                <w:color w:val="000000"/>
              </w:rPr>
              <w:t>Omgevingshinder (referentie: geen)</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Matig</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00655***</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00958***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00177)</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00294)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Veel</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0181***</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0256***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00391)</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00714)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bottom w:val="nil"/>
            </w:tcBorders>
            <w:vAlign w:val="top"/>
          </w:tcPr>
          <w:p w:rsidR="00C55B4B" w:rsidRPr="00A2714B" w:rsidRDefault="00C55B4B" w:rsidP="00C55B4B">
            <w:pPr>
              <w:pStyle w:val="Tabel-Tekst"/>
              <w:keepNext w:val="0"/>
              <w:keepLines/>
              <w:rPr>
                <w:color w:val="000000"/>
              </w:rPr>
            </w:pPr>
            <w:r>
              <w:rPr>
                <w:color w:val="000000"/>
              </w:rPr>
              <w:t>Leefbaarheid (referentie: doorsnee)</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Zwak</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00260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0182*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00655)</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00999)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00130</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00532</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00203)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00331)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bottom w:val="nil"/>
            </w:tcBorders>
            <w:vAlign w:val="top"/>
          </w:tcPr>
          <w:p w:rsidR="00C55B4B" w:rsidRPr="00A2714B" w:rsidRDefault="00C55B4B" w:rsidP="00C55B4B">
            <w:pPr>
              <w:pStyle w:val="Tabel-Tekst"/>
              <w:keepNext w:val="0"/>
              <w:keepLines/>
              <w:rPr>
                <w:color w:val="000000"/>
              </w:rPr>
            </w:pPr>
            <w:r>
              <w:rPr>
                <w:color w:val="000000"/>
              </w:rPr>
              <w:t>Uitzicht (referentie: onaantrekkelijk)</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Doorsnee</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000805</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00960</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00373)</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00630)</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Aantrekkelijk</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0119***</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00604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00402)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00684)</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bottom w:val="nil"/>
            </w:tcBorders>
            <w:vAlign w:val="top"/>
          </w:tcPr>
          <w:p w:rsidR="00C55B4B" w:rsidRPr="00A2714B" w:rsidRDefault="00C55B4B" w:rsidP="00C55B4B">
            <w:pPr>
              <w:pStyle w:val="Tabel-Tekst"/>
              <w:keepNext w:val="0"/>
              <w:keepLines/>
              <w:rPr>
                <w:color w:val="000000"/>
              </w:rPr>
            </w:pPr>
            <w:r>
              <w:rPr>
                <w:color w:val="000000"/>
              </w:rPr>
              <w:t>Ligging (referentie: matig)</w:t>
            </w:r>
          </w:p>
        </w:tc>
        <w:tc>
          <w:tcPr>
            <w:tcW w:w="3402" w:type="dxa"/>
            <w:vMerge w:val="restart"/>
            <w:tcBorders>
              <w:top w:val="single" w:sz="4" w:space="0" w:color="808080"/>
              <w:bottom w:val="nil"/>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slecht</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0110</w:t>
            </w:r>
          </w:p>
        </w:tc>
        <w:tc>
          <w:tcPr>
            <w:tcW w:w="1417" w:type="dxa"/>
            <w:tcBorders>
              <w:top w:val="single" w:sz="4" w:space="0" w:color="808080"/>
              <w:bottom w:val="nil"/>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0251</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0162)</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0287)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Slecht</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0300**</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00133</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0139)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0165)</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0111***</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0229***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00329)</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00467)</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right w:val="single" w:sz="4" w:space="0" w:color="808080"/>
            </w:tcBorders>
            <w:vAlign w:val="top"/>
          </w:tcPr>
          <w:p w:rsidR="00C55B4B" w:rsidRPr="00A2714B" w:rsidRDefault="00C55B4B" w:rsidP="00C55B4B">
            <w:pPr>
              <w:pStyle w:val="Tabel-Tekst"/>
              <w:keepNext w:val="0"/>
              <w:keepLines/>
              <w:rPr>
                <w:color w:val="000000"/>
              </w:rPr>
            </w:pPr>
          </w:p>
        </w:tc>
        <w:tc>
          <w:tcPr>
            <w:tcW w:w="3402" w:type="dxa"/>
            <w:vMerge w:val="restart"/>
            <w:tcBorders>
              <w:top w:val="single" w:sz="4" w:space="0" w:color="808080"/>
              <w:left w:val="single" w:sz="4" w:space="0" w:color="808080"/>
              <w:bottom w:val="nil"/>
              <w:right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r>
              <w:rPr>
                <w:color w:val="000000"/>
              </w:rPr>
              <w:t>Zeer goed</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00938**</w:t>
            </w:r>
          </w:p>
        </w:tc>
        <w:tc>
          <w:tcPr>
            <w:tcW w:w="1417" w:type="dxa"/>
            <w:tcBorders>
              <w:top w:val="single" w:sz="4" w:space="0" w:color="808080"/>
              <w:left w:val="single" w:sz="4" w:space="0" w:color="808080"/>
              <w:bottom w:val="nil"/>
              <w:right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0159***</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bottom w:val="single" w:sz="4" w:space="0" w:color="808080"/>
            </w:tcBorders>
            <w:vAlign w:val="top"/>
          </w:tcPr>
          <w:p w:rsidR="00C55B4B" w:rsidRPr="00A2714B" w:rsidRDefault="00C55B4B" w:rsidP="00C55B4B">
            <w:pPr>
              <w:pStyle w:val="Tabel-Tekst"/>
              <w:keepNext w:val="0"/>
              <w:keepLines/>
              <w:rPr>
                <w:color w:val="000000"/>
              </w:rPr>
            </w:pPr>
          </w:p>
        </w:tc>
        <w:tc>
          <w:tcPr>
            <w:tcW w:w="3402" w:type="dxa"/>
            <w:vMerge/>
            <w:tcBorders>
              <w:top w:val="nil"/>
              <w:bottom w:val="single" w:sz="4" w:space="0" w:color="808080"/>
            </w:tcBorders>
            <w:noWrap/>
            <w:vAlign w:val="top"/>
            <w:hideMark/>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(0</w:t>
            </w:r>
            <w:r>
              <w:rPr>
                <w:lang w:eastAsia="nl-BE"/>
              </w:rPr>
              <w:t>,</w:t>
            </w:r>
            <w:r w:rsidRPr="00CE4EF1">
              <w:rPr>
                <w:lang w:eastAsia="nl-BE"/>
              </w:rPr>
              <w:t>00366)</w:t>
            </w:r>
          </w:p>
        </w:tc>
        <w:tc>
          <w:tcPr>
            <w:tcW w:w="1417" w:type="dxa"/>
            <w:tcBorders>
              <w:top w:val="nil"/>
              <w:bottom w:val="single" w:sz="4" w:space="0" w:color="808080"/>
            </w:tcBorders>
            <w:noWrap/>
            <w:vAlign w:val="top"/>
          </w:tcPr>
          <w:p w:rsidR="00C55B4B" w:rsidRPr="00CE4EF1" w:rsidRDefault="00C55B4B" w:rsidP="00C55B4B">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A2714B">
              <w:rPr>
                <w:color w:val="000000"/>
              </w:rPr>
              <w:t>(0</w:t>
            </w:r>
            <w:r>
              <w:rPr>
                <w:color w:val="000000"/>
              </w:rPr>
              <w:t>,</w:t>
            </w:r>
            <w:r w:rsidRPr="00A2714B">
              <w:rPr>
                <w:color w:val="000000"/>
              </w:rPr>
              <w:t>00536)</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808080"/>
              <w:bottom w:val="nil"/>
            </w:tcBorders>
            <w:vAlign w:val="top"/>
          </w:tcPr>
          <w:p w:rsidR="00C55B4B" w:rsidRPr="00A2714B" w:rsidRDefault="00C55B4B" w:rsidP="00C55B4B">
            <w:pPr>
              <w:pStyle w:val="Tabel-Tekst"/>
              <w:keepNext w:val="0"/>
              <w:keepLines/>
              <w:rPr>
                <w:color w:val="000000"/>
              </w:rPr>
            </w:pPr>
            <w:r>
              <w:rPr>
                <w:color w:val="000000"/>
              </w:rPr>
              <w:t>Constante</w:t>
            </w:r>
          </w:p>
        </w:tc>
        <w:tc>
          <w:tcPr>
            <w:tcW w:w="3402" w:type="dxa"/>
            <w:tcBorders>
              <w:top w:val="single" w:sz="4" w:space="0" w:color="808080"/>
              <w:bottom w:val="nil"/>
            </w:tcBorders>
            <w:noWrap/>
            <w:vAlign w:val="top"/>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single" w:sz="4" w:space="0" w:color="808080"/>
              <w:bottom w:val="nil"/>
            </w:tcBorders>
            <w:noWrap/>
            <w:vAlign w:val="top"/>
          </w:tcPr>
          <w:p w:rsidR="00C55B4B" w:rsidRPr="00CE4EF1" w:rsidRDefault="00C55B4B" w:rsidP="00C55B4B">
            <w:pPr>
              <w:pStyle w:val="Tabel-Tekst"/>
              <w:keepNext w:val="0"/>
              <w:keepLines/>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-263,2</w:t>
            </w:r>
          </w:p>
        </w:tc>
        <w:tc>
          <w:tcPr>
            <w:tcW w:w="1417" w:type="dxa"/>
            <w:tcBorders>
              <w:top w:val="single" w:sz="4" w:space="0" w:color="808080"/>
              <w:bottom w:val="nil"/>
            </w:tcBorders>
            <w:noWrap/>
            <w:vAlign w:val="top"/>
          </w:tcPr>
          <w:p w:rsidR="00C55B4B" w:rsidRPr="00CE4EF1" w:rsidRDefault="00C55B4B" w:rsidP="00C55B4B">
            <w:pPr>
              <w:pStyle w:val="Tabel-Tekst"/>
              <w:keepNext w:val="0"/>
              <w:keepLines/>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-49,48**</w:t>
            </w:r>
          </w:p>
        </w:tc>
      </w:tr>
      <w:tr w:rsidR="00C55B4B" w:rsidRPr="00CE4EF1" w:rsidTr="00DC4607">
        <w:trPr>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nil"/>
            </w:tcBorders>
            <w:vAlign w:val="top"/>
          </w:tcPr>
          <w:p w:rsidR="00C55B4B" w:rsidRPr="00A2714B" w:rsidRDefault="00C55B4B" w:rsidP="00C55B4B">
            <w:pPr>
              <w:pStyle w:val="Tabel-Tekst"/>
              <w:keepNext w:val="0"/>
              <w:keepLines/>
              <w:rPr>
                <w:color w:val="000000"/>
              </w:rPr>
            </w:pPr>
          </w:p>
        </w:tc>
        <w:tc>
          <w:tcPr>
            <w:tcW w:w="3402" w:type="dxa"/>
            <w:tcBorders>
              <w:top w:val="nil"/>
            </w:tcBorders>
            <w:noWrap/>
            <w:vAlign w:val="top"/>
          </w:tcPr>
          <w:p w:rsidR="00C55B4B" w:rsidRPr="00A2714B"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color w:val="000000"/>
              </w:rPr>
            </w:pPr>
          </w:p>
        </w:tc>
        <w:tc>
          <w:tcPr>
            <w:tcW w:w="1417" w:type="dxa"/>
            <w:tcBorders>
              <w:top w:val="nil"/>
            </w:tcBorders>
            <w:noWrap/>
            <w:vAlign w:val="top"/>
          </w:tcPr>
          <w:p w:rsidR="00C55B4B" w:rsidRPr="00CE4EF1" w:rsidRDefault="00C55B4B" w:rsidP="00C55B4B">
            <w:pPr>
              <w:pStyle w:val="Tabel-Tekst"/>
              <w:keepNext w:val="0"/>
              <w:keepLines/>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(28,69)</w:t>
            </w:r>
          </w:p>
        </w:tc>
        <w:tc>
          <w:tcPr>
            <w:tcW w:w="1417" w:type="dxa"/>
            <w:tcBorders>
              <w:top w:val="nil"/>
            </w:tcBorders>
            <w:noWrap/>
            <w:vAlign w:val="top"/>
          </w:tcPr>
          <w:p w:rsidR="00C55B4B" w:rsidRPr="00CE4EF1" w:rsidRDefault="00C55B4B" w:rsidP="00C55B4B">
            <w:pPr>
              <w:pStyle w:val="Tabel-Tekst"/>
              <w:keepNext w:val="0"/>
              <w:keepLines/>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(23,90)</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single" w:sz="4" w:space="0" w:color="808080"/>
              <w:bottom w:val="nil"/>
            </w:tcBorders>
            <w:vAlign w:val="top"/>
          </w:tcPr>
          <w:p w:rsidR="00C55B4B" w:rsidRPr="00CE4EF1" w:rsidRDefault="00C55B4B" w:rsidP="00C55B4B">
            <w:pPr>
              <w:pStyle w:val="Tabel-Tekst"/>
              <w:keepNext w:val="0"/>
              <w:keepLines/>
              <w:rPr>
                <w:lang w:eastAsia="nl-BE"/>
              </w:rPr>
            </w:pPr>
            <w:r>
              <w:rPr>
                <w:lang w:eastAsia="nl-BE"/>
              </w:rPr>
              <w:t>Diagnostische statistieken</w:t>
            </w:r>
          </w:p>
        </w:tc>
        <w:tc>
          <w:tcPr>
            <w:tcW w:w="3402" w:type="dxa"/>
            <w:tcBorders>
              <w:top w:val="single" w:sz="4" w:space="0" w:color="808080"/>
              <w:bottom w:val="single" w:sz="4" w:space="0" w:color="808080"/>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Pr>
                <w:lang w:eastAsia="nl-BE"/>
              </w:rPr>
              <w:t>Observaties</w:t>
            </w:r>
          </w:p>
        </w:tc>
        <w:tc>
          <w:tcPr>
            <w:tcW w:w="1417" w:type="dxa"/>
            <w:tcBorders>
              <w:top w:val="single" w:sz="4" w:space="0" w:color="808080"/>
              <w:bottom w:val="single" w:sz="4" w:space="0" w:color="808080"/>
            </w:tcBorders>
            <w:noWrap/>
            <w:vAlign w:val="top"/>
          </w:tcPr>
          <w:p w:rsidR="00C55B4B" w:rsidRPr="00CE4EF1" w:rsidRDefault="00C55B4B" w:rsidP="00C55B4B">
            <w:pPr>
              <w:pStyle w:val="Tabel-Tekst"/>
              <w:keepNext w:val="0"/>
              <w:keepLines/>
              <w:ind w:left="0" w:right="0"/>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25 806</w:t>
            </w:r>
          </w:p>
        </w:tc>
        <w:tc>
          <w:tcPr>
            <w:tcW w:w="1417" w:type="dxa"/>
            <w:tcBorders>
              <w:top w:val="single" w:sz="4" w:space="0" w:color="808080"/>
              <w:bottom w:val="single" w:sz="4" w:space="0" w:color="808080"/>
            </w:tcBorders>
            <w:noWrap/>
            <w:vAlign w:val="top"/>
          </w:tcPr>
          <w:p w:rsidR="00C55B4B" w:rsidRPr="00CE4EF1" w:rsidRDefault="00C55B4B" w:rsidP="00C55B4B">
            <w:pPr>
              <w:pStyle w:val="Tabel-Tekst"/>
              <w:keepNext w:val="0"/>
              <w:keepLines/>
              <w:ind w:left="0" w:right="0"/>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17 230</w:t>
            </w:r>
          </w:p>
        </w:tc>
      </w:tr>
      <w:tr w:rsidR="00C55B4B" w:rsidRPr="00CE4EF1" w:rsidTr="00A81131">
        <w:trPr>
          <w:trHeight w:val="227"/>
        </w:trPr>
        <w:tc>
          <w:tcPr>
            <w:cnfStyle w:val="001000000000" w:firstRow="0" w:lastRow="0" w:firstColumn="1" w:lastColumn="0" w:oddVBand="0" w:evenVBand="0" w:oddHBand="0" w:evenHBand="0" w:firstRowFirstColumn="0" w:firstRowLastColumn="0" w:lastRowFirstColumn="0" w:lastRowLastColumn="0"/>
            <w:tcW w:w="2835" w:type="dxa"/>
            <w:vMerge/>
            <w:tcBorders>
              <w:top w:val="nil"/>
              <w:bottom w:val="single" w:sz="4" w:space="0" w:color="808080"/>
            </w:tcBorders>
            <w:vAlign w:val="top"/>
          </w:tcPr>
          <w:p w:rsidR="00C55B4B" w:rsidRPr="00CE4EF1" w:rsidRDefault="00C55B4B" w:rsidP="00C55B4B">
            <w:pPr>
              <w:pStyle w:val="Tabel-Tekst"/>
              <w:keepNext w:val="0"/>
              <w:keepLines/>
              <w:rPr>
                <w:lang w:eastAsia="nl-BE"/>
              </w:rPr>
            </w:pPr>
          </w:p>
        </w:tc>
        <w:tc>
          <w:tcPr>
            <w:tcW w:w="3402" w:type="dxa"/>
            <w:tcBorders>
              <w:top w:val="single" w:sz="4" w:space="0" w:color="808080"/>
              <w:bottom w:val="single" w:sz="4" w:space="0" w:color="808080"/>
            </w:tcBorders>
            <w:noWrap/>
            <w:vAlign w:val="top"/>
            <w:hideMark/>
          </w:tcPr>
          <w:p w:rsidR="00C55B4B" w:rsidRPr="00CE4EF1" w:rsidRDefault="00C55B4B" w:rsidP="00C55B4B">
            <w:pPr>
              <w:pStyle w:val="Tabel-Tekst"/>
              <w:keepNext w:val="0"/>
              <w:keepLines/>
              <w:cnfStyle w:val="000000000000" w:firstRow="0" w:lastRow="0" w:firstColumn="0" w:lastColumn="0" w:oddVBand="0" w:evenVBand="0" w:oddHBand="0" w:evenHBand="0" w:firstRowFirstColumn="0" w:firstRowLastColumn="0" w:lastRowFirstColumn="0" w:lastRowLastColumn="0"/>
              <w:rPr>
                <w:lang w:eastAsia="nl-BE"/>
              </w:rPr>
            </w:pPr>
            <w:r w:rsidRPr="00CE4EF1">
              <w:rPr>
                <w:lang w:eastAsia="nl-BE"/>
              </w:rPr>
              <w:t>R-</w:t>
            </w:r>
            <w:r>
              <w:rPr>
                <w:lang w:eastAsia="nl-BE"/>
              </w:rPr>
              <w:t>kwadraat</w:t>
            </w:r>
          </w:p>
        </w:tc>
        <w:tc>
          <w:tcPr>
            <w:tcW w:w="1417" w:type="dxa"/>
            <w:tcBorders>
              <w:top w:val="single" w:sz="4" w:space="0" w:color="808080"/>
              <w:bottom w:val="single" w:sz="4" w:space="0" w:color="808080"/>
            </w:tcBorders>
            <w:noWrap/>
            <w:vAlign w:val="top"/>
          </w:tcPr>
          <w:p w:rsidR="00C55B4B" w:rsidRPr="00CE4EF1" w:rsidRDefault="00C55B4B" w:rsidP="00C55B4B">
            <w:pPr>
              <w:pStyle w:val="Tabel-Tekst"/>
              <w:keepNext w:val="0"/>
              <w:keepLines/>
              <w:ind w:left="0" w:right="0"/>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0,692</w:t>
            </w:r>
          </w:p>
        </w:tc>
        <w:tc>
          <w:tcPr>
            <w:tcW w:w="1417" w:type="dxa"/>
            <w:tcBorders>
              <w:top w:val="single" w:sz="4" w:space="0" w:color="808080"/>
              <w:bottom w:val="single" w:sz="4" w:space="0" w:color="808080"/>
            </w:tcBorders>
            <w:noWrap/>
            <w:vAlign w:val="top"/>
          </w:tcPr>
          <w:p w:rsidR="00C55B4B" w:rsidRPr="00CE4EF1" w:rsidRDefault="00C55B4B" w:rsidP="00C55B4B">
            <w:pPr>
              <w:pStyle w:val="Tabel-Tekst"/>
              <w:keepNext w:val="0"/>
              <w:keepLines/>
              <w:ind w:left="0" w:right="0"/>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0,645</w:t>
            </w:r>
          </w:p>
        </w:tc>
      </w:tr>
    </w:tbl>
    <w:p w:rsidR="0008544A" w:rsidRDefault="0008544A" w:rsidP="0014477D">
      <w:bookmarkStart w:id="16" w:name="_Toc448065510"/>
      <w:r>
        <w:t>Zoals blijkt uit bovenstaande coëfficiënten spelen niet alle variabelen een even belangrijke rol. Dit heeft een voordeel. Om de huurmarktwaarde van sociale woningen te bepalen dienen alle woning</w:t>
      </w:r>
      <w:r w:rsidR="00711296">
        <w:softHyphen/>
      </w:r>
      <w:r>
        <w:t>kenmerken ingevoerd te worden. Deze zijn echter niet voor alle woningen gekend. Door bepaalde woningkenmerken op een aannemelijke default-waarde te zetten, kan men via bovenstaande coëffi</w:t>
      </w:r>
      <w:r w:rsidR="00711296">
        <w:softHyphen/>
      </w:r>
      <w:r>
        <w:t>ciënten nagaan voor welke variabelen dit een grote, dan wel minimale impact heeft op de huurprijs.</w:t>
      </w:r>
    </w:p>
    <w:p w:rsidR="0008544A" w:rsidRDefault="0008544A" w:rsidP="0008544A">
      <w:pPr>
        <w:spacing w:before="0" w:line="240" w:lineRule="auto"/>
        <w:jc w:val="left"/>
        <w:rPr>
          <w:rFonts w:ascii="Candara" w:hAnsi="Candara" w:cs="Arial"/>
          <w:b/>
          <w:bCs/>
          <w:color w:val="491469"/>
          <w:sz w:val="40"/>
          <w:szCs w:val="34"/>
        </w:rPr>
      </w:pPr>
      <w:r>
        <w:br w:type="page"/>
      </w:r>
    </w:p>
    <w:p w:rsidR="0008544A" w:rsidRDefault="0008544A" w:rsidP="0008544A">
      <w:pPr>
        <w:pStyle w:val="Heading1"/>
      </w:pPr>
      <w:bookmarkStart w:id="17" w:name="_Toc464122173"/>
      <w:r>
        <w:lastRenderedPageBreak/>
        <w:t>Grootte en woningkenmerken</w:t>
      </w:r>
      <w:bookmarkEnd w:id="17"/>
    </w:p>
    <w:p w:rsidR="0008544A" w:rsidRPr="00414028" w:rsidRDefault="0008544A" w:rsidP="0008544A">
      <w:pPr>
        <w:pStyle w:val="Heading2"/>
      </w:pPr>
      <w:bookmarkStart w:id="18" w:name="_Toc464122174"/>
      <w:r>
        <w:t>Beschrijvende statistieken</w:t>
      </w:r>
      <w:bookmarkEnd w:id="18"/>
    </w:p>
    <w:p w:rsidR="0008544A" w:rsidRDefault="0008544A" w:rsidP="009B302F">
      <w:r>
        <w:t>Wat betreft de woningkenmerken van de sociale woningen hebben we twee stalen. Een eerste staal is het staal van 2</w:t>
      </w:r>
      <w:r w:rsidR="009B302F">
        <w:t> </w:t>
      </w:r>
      <w:r>
        <w:t>450 sociale woningen waar de notarissen in 2008 de gegevens hebben ingevuld. Het tweede staal is een bevraging van sociale huisvestigingsmaatschappijen begin 2016 van sociale wonin</w:t>
      </w:r>
      <w:r w:rsidR="00711296">
        <w:softHyphen/>
      </w:r>
      <w:r>
        <w:t xml:space="preserve">gen met het oog op het testen van de </w:t>
      </w:r>
      <w:r w:rsidR="0024544F">
        <w:t>Huurschatter</w:t>
      </w:r>
      <w:r>
        <w:t xml:space="preserve"> om sociale huurmarktwaarden te schatten. </w:t>
      </w:r>
    </w:p>
    <w:p w:rsidR="0008544A" w:rsidRDefault="0008544A" w:rsidP="009B302F">
      <w:r>
        <w:t xml:space="preserve">Vooraleer deze stalen te vergelijken met de </w:t>
      </w:r>
      <w:r w:rsidR="0024544F">
        <w:t>Huurschatter</w:t>
      </w:r>
      <w:r>
        <w:t xml:space="preserve"> is het interessant om beide stalen met elkaar te vergelijken. Onderstaande tabellen geven hiervan een samenvatting. Het staal van de notarissen is representatief in de zin dat het voor een zo groot mogelijk deel van de sociale woningen een referentie</w:t>
      </w:r>
      <w:r w:rsidR="00711296">
        <w:softHyphen/>
      </w:r>
      <w:r>
        <w:t>schatting bevat. Dit zorgt ervoor dat in een groot woonblok het volstaat om een appartement te schat</w:t>
      </w:r>
      <w:r w:rsidR="00711296">
        <w:softHyphen/>
      </w:r>
      <w:r>
        <w:t>ten als referentie. Samenvattingstabellen op basis van dit referentiestaal zijn daardoor niet represen</w:t>
      </w:r>
      <w:r w:rsidR="00711296">
        <w:softHyphen/>
      </w:r>
      <w:r>
        <w:t>tatief voor alle sociale woningen omdat appartementen een veel groter gewicht zouden moeten krij</w:t>
      </w:r>
      <w:r w:rsidR="00711296">
        <w:softHyphen/>
      </w:r>
      <w:r>
        <w:t>gen.</w:t>
      </w:r>
    </w:p>
    <w:p w:rsidR="0008544A" w:rsidRDefault="0008544A" w:rsidP="009B302F">
      <w:r>
        <w:t>Het staal dat begin 2016 is aangeleverd geeft een omgekeerd beeld. Hier worden veelal wel alle woningen in een blok mee op</w:t>
      </w:r>
      <w:r w:rsidR="009B302F">
        <w:t>genomen. Zo bevat het staal 671 </w:t>
      </w:r>
      <w:r>
        <w:t>woningen, en in totaal 60</w:t>
      </w:r>
      <w:r w:rsidR="009B302F">
        <w:t> </w:t>
      </w:r>
      <w:r>
        <w:t xml:space="preserve">verschillende straatnamen. Dit vertaalt zich ook in de beschrijvende statistieken. Het gemiddeld </w:t>
      </w:r>
      <w:r w:rsidRPr="00A27587">
        <w:rPr>
          <w:b/>
        </w:rPr>
        <w:t>aantal verdiepingen</w:t>
      </w:r>
      <w:r>
        <w:t xml:space="preserve"> in een gebouw is er 13,6.</w:t>
      </w:r>
      <w:r w:rsidR="0024544F">
        <w:t xml:space="preserve"> </w:t>
      </w:r>
      <w:r>
        <w:t xml:space="preserve">Mogelijk wijst dit op een </w:t>
      </w:r>
      <w:proofErr w:type="spellStart"/>
      <w:r>
        <w:t>oversampling</w:t>
      </w:r>
      <w:proofErr w:type="spellEnd"/>
      <w:r>
        <w:t xml:space="preserve"> van grotere appartementsgebouwen. Daarnaast zijn in het staal van 2016 minder dan 10% van de woningen huizen. De staal is wat betreft het aandeel appartementen in het algemeen dus zeker niet representatief omdat in 2014 47,3% van de sociale woningen huizen waren (eengezinswoning of bungalow). Maar dan nog blijft de vraag hoe</w:t>
      </w:r>
      <w:r w:rsidR="0024544F">
        <w:t xml:space="preserve"> </w:t>
      </w:r>
      <w:r>
        <w:t>een typisch appartement eruit ziet: bemerk dat het gemiddeld aantal verdiepingen 13,5 is in een sam</w:t>
      </w:r>
      <w:r w:rsidR="00711296">
        <w:softHyphen/>
      </w:r>
      <w:r>
        <w:t>ple van 2</w:t>
      </w:r>
      <w:r w:rsidR="009B302F">
        <w:t> </w:t>
      </w:r>
      <w:r>
        <w:t>appartementsgebouwen, namelij</w:t>
      </w:r>
      <w:r w:rsidR="009B302F">
        <w:t>k een appartementsgebouw met 15 </w:t>
      </w:r>
      <w:r>
        <w:t>verdiepingen, en één van 2</w:t>
      </w:r>
      <w:r w:rsidR="009B302F">
        <w:t> </w:t>
      </w:r>
      <w:r>
        <w:t>verdiepingen, omwille van het feit dat het appartementsgebouw van 2</w:t>
      </w:r>
      <w:r w:rsidR="009B302F">
        <w:t> </w:t>
      </w:r>
      <w:r>
        <w:t>verdiepingen niet door</w:t>
      </w:r>
      <w:r w:rsidR="00711296">
        <w:softHyphen/>
      </w:r>
      <w:r>
        <w:t>weegt in het totaal, gewogen volgens het aantal woningen. Dit is een belangrijke kanttekening bij de beschrijvende statistieken van sociale woningen, zowel het eerste referentiestaal als de sample uit 2016 zijn duidelijk niet representatief. Bij de interpretatie van de beschrijvende statistieken dient hier dan ook rekening mee gehouden te worden.</w:t>
      </w:r>
    </w:p>
    <w:p w:rsidR="0008544A" w:rsidRDefault="0008544A" w:rsidP="009B302F">
      <w:r>
        <w:t xml:space="preserve">Wat betreft de </w:t>
      </w:r>
      <w:r w:rsidRPr="00A27587">
        <w:rPr>
          <w:b/>
        </w:rPr>
        <w:t>huidige huurmarktwaarde</w:t>
      </w:r>
      <w:r>
        <w:t xml:space="preserve"> zien we dat in het staal 2016 deze voor de eengezinswoning een stuk boven de geschatte huurmarktwaarde van de notarissen zit, maar nog altijd een stuk onder de gemiddelde huurprijs van de </w:t>
      </w:r>
      <w:r w:rsidR="0024544F">
        <w:t>Huurschatter</w:t>
      </w:r>
      <w:r>
        <w:t xml:space="preserve">. </w:t>
      </w:r>
    </w:p>
    <w:p w:rsidR="0008544A" w:rsidRDefault="0008544A" w:rsidP="009B302F">
      <w:r>
        <w:t xml:space="preserve">De </w:t>
      </w:r>
      <w:r w:rsidRPr="00A27587">
        <w:rPr>
          <w:b/>
        </w:rPr>
        <w:t>bewoonbare oppervlakte</w:t>
      </w:r>
      <w:r>
        <w:t xml:space="preserve"> verschilt niet sterk tussen de twee stalen van sociale woningen, maar in vergelijking met de huurwoningen uit de </w:t>
      </w:r>
      <w:r w:rsidR="0024544F">
        <w:t>Huurschatter</w:t>
      </w:r>
      <w:r>
        <w:t xml:space="preserve"> zijn de sociale appartementen iets kleiner. De eengez</w:t>
      </w:r>
      <w:r w:rsidR="009B302F">
        <w:t>inswoningen verschillen sterk (</w:t>
      </w:r>
      <w:r>
        <w:t>minder dan 100</w:t>
      </w:r>
      <w:r w:rsidR="009B302F">
        <w:t> </w:t>
      </w:r>
      <w:r>
        <w:t>m² voo</w:t>
      </w:r>
      <w:r w:rsidR="009B302F">
        <w:t>r sociale huurhuizen versus 151 </w:t>
      </w:r>
      <w:r>
        <w:t xml:space="preserve">m² voor de private huurhuizen uit de </w:t>
      </w:r>
      <w:r w:rsidR="0024544F">
        <w:t>Huurschatter</w:t>
      </w:r>
      <w:r>
        <w:t>). Gezien het belang van deze variabele in de berekening van de huurprijs wordt dit in een volgend punt verder uitgewerkt.</w:t>
      </w:r>
    </w:p>
    <w:p w:rsidR="009B302F" w:rsidRPr="009E1119" w:rsidRDefault="009B302F" w:rsidP="003A3594">
      <w:pPr>
        <w:pStyle w:val="Caption"/>
      </w:pPr>
      <w:r>
        <w:lastRenderedPageBreak/>
        <w:t>Tabel</w:t>
      </w:r>
      <w:r w:rsidRPr="009E1119">
        <w:t xml:space="preserve"> </w:t>
      </w:r>
      <w:r w:rsidR="00301DB0">
        <w:fldChar w:fldCharType="begin"/>
      </w:r>
      <w:r w:rsidR="00301DB0">
        <w:instrText xml:space="preserve"> SEQ Tabel \* ARABIC </w:instrText>
      </w:r>
      <w:r w:rsidR="00301DB0">
        <w:fldChar w:fldCharType="separate"/>
      </w:r>
      <w:r w:rsidR="00A65B8D">
        <w:rPr>
          <w:noProof/>
        </w:rPr>
        <w:t>3</w:t>
      </w:r>
      <w:r w:rsidR="00301DB0">
        <w:rPr>
          <w:noProof/>
        </w:rPr>
        <w:fldChar w:fldCharType="end"/>
      </w:r>
      <w:r w:rsidRPr="009E1119">
        <w:tab/>
      </w:r>
      <w:r>
        <w:t>B</w:t>
      </w:r>
      <w:r w:rsidRPr="009B302F">
        <w:t>eschrijvende s</w:t>
      </w:r>
      <w:r w:rsidR="00FA284C">
        <w:t>tatistieken, sociale woningen, Staal 2016 (671 </w:t>
      </w:r>
      <w:r w:rsidRPr="009B302F">
        <w:t>observaties)</w:t>
      </w:r>
    </w:p>
    <w:tbl>
      <w:tblPr>
        <w:tblStyle w:val="LightShading1"/>
        <w:tblW w:w="9071" w:type="dxa"/>
        <w:tblLook w:val="04A0" w:firstRow="1" w:lastRow="0" w:firstColumn="1" w:lastColumn="0" w:noHBand="0" w:noVBand="1"/>
      </w:tblPr>
      <w:tblGrid>
        <w:gridCol w:w="4535"/>
        <w:gridCol w:w="2268"/>
        <w:gridCol w:w="2268"/>
      </w:tblGrid>
      <w:tr w:rsidR="0008544A" w:rsidRPr="00BC2758" w:rsidTr="00A51A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08544A" w:rsidP="009B302F">
            <w:pPr>
              <w:pStyle w:val="Tabel-Tekst"/>
            </w:pPr>
          </w:p>
        </w:tc>
        <w:tc>
          <w:tcPr>
            <w:tcW w:w="2268" w:type="dxa"/>
            <w:noWrap/>
            <w:hideMark/>
          </w:tcPr>
          <w:p w:rsidR="0008544A" w:rsidRPr="009B302F" w:rsidRDefault="003A7E73" w:rsidP="003A7E73">
            <w:pPr>
              <w:pStyle w:val="Tabel-Tekst"/>
              <w:jc w:val="center"/>
              <w:cnfStyle w:val="100000000000" w:firstRow="1" w:lastRow="0" w:firstColumn="0" w:lastColumn="0" w:oddVBand="0" w:evenVBand="0" w:oddHBand="0" w:evenHBand="0" w:firstRowFirstColumn="0" w:firstRowLastColumn="0" w:lastRowFirstColumn="0" w:lastRowLastColumn="0"/>
            </w:pPr>
            <w:r>
              <w:t>A</w:t>
            </w:r>
            <w:r w:rsidR="0008544A" w:rsidRPr="009B302F">
              <w:t>ppartement</w:t>
            </w:r>
          </w:p>
        </w:tc>
        <w:tc>
          <w:tcPr>
            <w:tcW w:w="2268" w:type="dxa"/>
            <w:noWrap/>
            <w:hideMark/>
          </w:tcPr>
          <w:p w:rsidR="0008544A" w:rsidRPr="009B302F" w:rsidRDefault="0008544A" w:rsidP="003A7E73">
            <w:pPr>
              <w:pStyle w:val="Tabel-Tekst"/>
              <w:jc w:val="center"/>
              <w:cnfStyle w:val="100000000000" w:firstRow="1" w:lastRow="0" w:firstColumn="0" w:lastColumn="0" w:oddVBand="0" w:evenVBand="0" w:oddHBand="0" w:evenHBand="0" w:firstRowFirstColumn="0" w:firstRowLastColumn="0" w:lastRowFirstColumn="0" w:lastRowLastColumn="0"/>
            </w:pPr>
            <w:r w:rsidRPr="009B302F">
              <w:t>Eengezinswoning</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H</w:t>
            </w:r>
            <w:r w:rsidR="0008544A" w:rsidRPr="009B302F">
              <w:t>uidige huurmarktwaarde</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489,</w:t>
            </w:r>
            <w:r w:rsidR="0008544A" w:rsidRPr="009B302F">
              <w:t>8</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628,</w:t>
            </w:r>
            <w:r w:rsidR="0008544A" w:rsidRPr="009B302F">
              <w:t>8</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B</w:t>
            </w:r>
            <w:r w:rsidR="0008544A" w:rsidRPr="009B302F">
              <w:t>ewoonbare oppervlakte</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68,</w:t>
            </w:r>
            <w:r w:rsidR="0008544A" w:rsidRPr="009B302F">
              <w:t>6</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96,</w:t>
            </w:r>
            <w:r w:rsidR="0008544A" w:rsidRPr="009B302F">
              <w:t>3</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A</w:t>
            </w:r>
            <w:r w:rsidR="0008544A" w:rsidRPr="009B302F">
              <w:t>antal slaapkamers</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2,</w:t>
            </w:r>
            <w:r w:rsidR="0008544A" w:rsidRPr="009B302F">
              <w:t>1</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3,</w:t>
            </w:r>
            <w:r w:rsidR="0008544A" w:rsidRPr="009B302F">
              <w:t>0</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V</w:t>
            </w:r>
            <w:r w:rsidR="0008544A" w:rsidRPr="009B302F">
              <w:t>erdieping</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6,</w:t>
            </w:r>
            <w:r w:rsidR="0008544A" w:rsidRPr="009B302F">
              <w:t>5</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A</w:t>
            </w:r>
            <w:r w:rsidR="0008544A" w:rsidRPr="009B302F">
              <w:t>antal verdiepingen</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13,</w:t>
            </w:r>
            <w:r w:rsidR="0008544A" w:rsidRPr="009B302F">
              <w:t>6</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1,</w:t>
            </w:r>
            <w:r w:rsidR="0008544A" w:rsidRPr="009B302F">
              <w:t>9</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L</w:t>
            </w:r>
            <w:r w:rsidR="0008544A" w:rsidRPr="009B302F">
              <w:t>ift aanwezig</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97%</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4%</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T</w:t>
            </w:r>
            <w:r w:rsidR="0008544A" w:rsidRPr="009B302F">
              <w:t>erras (m²)</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5,</w:t>
            </w:r>
            <w:r w:rsidR="0008544A" w:rsidRPr="009B302F">
              <w:t>2</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15,</w:t>
            </w:r>
            <w:r w:rsidR="0008544A" w:rsidRPr="009B302F">
              <w:t>7</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T</w:t>
            </w:r>
            <w:r w:rsidR="0008544A" w:rsidRPr="009B302F">
              <w:t>uin (m²)</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2,</w:t>
            </w:r>
            <w:r w:rsidR="0008544A" w:rsidRPr="009B302F">
              <w:t>2</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111,</w:t>
            </w:r>
            <w:r w:rsidR="0008544A" w:rsidRPr="009B302F">
              <w:t>9</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E</w:t>
            </w:r>
            <w:r w:rsidR="0008544A" w:rsidRPr="009B302F">
              <w:t>igen open parkeerplaats</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1%</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7%</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08544A" w:rsidP="009B302F">
            <w:pPr>
              <w:pStyle w:val="Tabel-Tekst"/>
            </w:pPr>
            <w:r w:rsidRPr="009B302F">
              <w:t>Gesloten garage</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1%</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52%</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B</w:t>
            </w:r>
            <w:r w:rsidR="0008544A" w:rsidRPr="009B302F">
              <w:t>ouwjaar</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1976,</w:t>
            </w:r>
            <w:r w:rsidR="0008544A" w:rsidRPr="009B302F">
              <w:t>2</w:t>
            </w:r>
          </w:p>
        </w:tc>
        <w:tc>
          <w:tcPr>
            <w:tcW w:w="2268" w:type="dxa"/>
            <w:noWrap/>
            <w:hideMark/>
          </w:tcPr>
          <w:p w:rsidR="0008544A" w:rsidRPr="009B302F" w:rsidRDefault="009B302F" w:rsidP="003A7E73">
            <w:pPr>
              <w:pStyle w:val="Tabel-Tekst"/>
              <w:jc w:val="center"/>
              <w:cnfStyle w:val="000000000000" w:firstRow="0" w:lastRow="0" w:firstColumn="0" w:lastColumn="0" w:oddVBand="0" w:evenVBand="0" w:oddHBand="0" w:evenHBand="0" w:firstRowFirstColumn="0" w:firstRowLastColumn="0" w:lastRowFirstColumn="0" w:lastRowLastColumn="0"/>
            </w:pPr>
            <w:r>
              <w:t>1982,</w:t>
            </w:r>
            <w:r w:rsidR="0008544A" w:rsidRPr="009B302F">
              <w:t>3</w:t>
            </w:r>
          </w:p>
        </w:tc>
      </w:tr>
      <w:tr w:rsidR="0008544A" w:rsidRPr="00BC2758" w:rsidTr="00A51A6D">
        <w:trPr>
          <w:trHeight w:val="227"/>
        </w:trPr>
        <w:tc>
          <w:tcPr>
            <w:cnfStyle w:val="001000000000" w:firstRow="0" w:lastRow="0" w:firstColumn="1" w:lastColumn="0" w:oddVBand="0" w:evenVBand="0" w:oddHBand="0" w:evenHBand="0" w:firstRowFirstColumn="0" w:firstRowLastColumn="0" w:lastRowFirstColumn="0" w:lastRowLastColumn="0"/>
            <w:tcW w:w="4535" w:type="dxa"/>
            <w:noWrap/>
            <w:hideMark/>
          </w:tcPr>
          <w:p w:rsidR="0008544A" w:rsidRPr="009B302F" w:rsidRDefault="009B302F" w:rsidP="009B302F">
            <w:pPr>
              <w:pStyle w:val="Tabel-Tekst"/>
            </w:pPr>
            <w:r>
              <w:t>O</w:t>
            </w:r>
            <w:r w:rsidR="0008544A" w:rsidRPr="009B302F">
              <w:t>bservaties</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617</w:t>
            </w:r>
          </w:p>
        </w:tc>
        <w:tc>
          <w:tcPr>
            <w:tcW w:w="2268" w:type="dxa"/>
            <w:noWrap/>
            <w:hideMark/>
          </w:tcPr>
          <w:p w:rsidR="0008544A" w:rsidRPr="009B302F" w:rsidRDefault="0008544A"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9B302F">
              <w:t>54</w:t>
            </w:r>
          </w:p>
        </w:tc>
      </w:tr>
    </w:tbl>
    <w:p w:rsidR="0008544A" w:rsidRPr="007C0A04" w:rsidRDefault="003A7E73" w:rsidP="003A7E73">
      <w:pPr>
        <w:pStyle w:val="Caption"/>
      </w:pPr>
      <w:r>
        <w:t>Tabel</w:t>
      </w:r>
      <w:r w:rsidRPr="009E1119">
        <w:t xml:space="preserve"> </w:t>
      </w:r>
      <w:r w:rsidR="00301DB0">
        <w:fldChar w:fldCharType="begin"/>
      </w:r>
      <w:r w:rsidR="00301DB0">
        <w:instrText xml:space="preserve"> SEQ Tabel \* ARABIC </w:instrText>
      </w:r>
      <w:r w:rsidR="00301DB0">
        <w:fldChar w:fldCharType="separate"/>
      </w:r>
      <w:r w:rsidR="00A65B8D">
        <w:rPr>
          <w:noProof/>
        </w:rPr>
        <w:t>4</w:t>
      </w:r>
      <w:r w:rsidR="00301DB0">
        <w:rPr>
          <w:noProof/>
        </w:rPr>
        <w:fldChar w:fldCharType="end"/>
      </w:r>
      <w:r w:rsidRPr="009E1119">
        <w:tab/>
      </w:r>
      <w:r>
        <w:t>B</w:t>
      </w:r>
      <w:r w:rsidR="0008544A">
        <w:t>eschrijvende statistieken, sociale woningen,</w:t>
      </w:r>
      <w:r w:rsidR="0024544F">
        <w:t xml:space="preserve"> </w:t>
      </w:r>
      <w:r>
        <w:t>R</w:t>
      </w:r>
      <w:r w:rsidR="0008544A">
        <w:t>eferentiestaal notarissen (2008)</w:t>
      </w:r>
    </w:p>
    <w:tbl>
      <w:tblPr>
        <w:tblStyle w:val="LightShading1"/>
        <w:tblW w:w="9071" w:type="dxa"/>
        <w:tblLayout w:type="fixed"/>
        <w:tblLook w:val="04A0" w:firstRow="1" w:lastRow="0" w:firstColumn="1" w:lastColumn="0" w:noHBand="0" w:noVBand="1"/>
      </w:tblPr>
      <w:tblGrid>
        <w:gridCol w:w="4535"/>
        <w:gridCol w:w="2268"/>
        <w:gridCol w:w="2268"/>
      </w:tblGrid>
      <w:tr w:rsidR="003A7E73" w:rsidRPr="00F52F80" w:rsidTr="003A7E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3A7E73" w:rsidRDefault="003A7E73" w:rsidP="00E808D6">
            <w:pPr>
              <w:pStyle w:val="Tabel-Tekst"/>
              <w:rPr>
                <w:lang w:val="nl-NL"/>
              </w:rPr>
            </w:pPr>
          </w:p>
        </w:tc>
        <w:tc>
          <w:tcPr>
            <w:tcW w:w="2268" w:type="dxa"/>
            <w:noWrap/>
            <w:vAlign w:val="top"/>
            <w:hideMark/>
          </w:tcPr>
          <w:p w:rsidR="003A7E73" w:rsidRPr="00F52F80" w:rsidRDefault="003A7E73" w:rsidP="00A65B8D">
            <w:pPr>
              <w:pStyle w:val="Tabel-Tekst"/>
              <w:jc w:val="center"/>
              <w:cnfStyle w:val="100000000000" w:firstRow="1" w:lastRow="0" w:firstColumn="0" w:lastColumn="0" w:oddVBand="0" w:evenVBand="0" w:oddHBand="0" w:evenHBand="0" w:firstRowFirstColumn="0" w:firstRowLastColumn="0" w:lastRowFirstColumn="0" w:lastRowLastColumn="0"/>
            </w:pPr>
            <w:r>
              <w:t>A</w:t>
            </w:r>
            <w:r w:rsidRPr="00F52F80">
              <w:t>ppartement</w:t>
            </w:r>
          </w:p>
        </w:tc>
        <w:tc>
          <w:tcPr>
            <w:tcW w:w="2268" w:type="dxa"/>
            <w:noWrap/>
            <w:vAlign w:val="top"/>
            <w:hideMark/>
          </w:tcPr>
          <w:p w:rsidR="003A7E73" w:rsidRPr="00F52F80" w:rsidRDefault="003A7E73" w:rsidP="00A65B8D">
            <w:pPr>
              <w:pStyle w:val="Tabel-Tekst"/>
              <w:jc w:val="center"/>
              <w:cnfStyle w:val="100000000000" w:firstRow="1" w:lastRow="0" w:firstColumn="0" w:lastColumn="0" w:oddVBand="0" w:evenVBand="0" w:oddHBand="0" w:evenHBand="0" w:firstRowFirstColumn="0" w:firstRowLastColumn="0" w:lastRowFirstColumn="0" w:lastRowLastColumn="0"/>
            </w:pPr>
            <w:r w:rsidRPr="00F52F80">
              <w:t>Eengezinswoning</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H</w:t>
            </w:r>
            <w:r w:rsidR="003A7E73" w:rsidRPr="00F52F80">
              <w:t>uidige huurmarktwaarde (notaris)</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479</w:t>
            </w:r>
            <w:r>
              <w:t>,</w:t>
            </w:r>
            <w:r w:rsidRPr="00F52F80">
              <w:t>7</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531</w:t>
            </w:r>
            <w:r>
              <w:t>,</w:t>
            </w:r>
            <w:r w:rsidRPr="00F52F80">
              <w:t>5</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H</w:t>
            </w:r>
            <w:r w:rsidR="003A7E73" w:rsidRPr="00F52F80">
              <w:t>uidige huurmarktwaarde (SHM)</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482</w:t>
            </w:r>
            <w:r>
              <w:t>,</w:t>
            </w:r>
            <w:r w:rsidRPr="00F52F80">
              <w:t>0</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528</w:t>
            </w:r>
            <w:r>
              <w:t>,</w:t>
            </w:r>
            <w:r w:rsidRPr="00F52F80">
              <w:t>9</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tcPr>
          <w:p w:rsidR="003A7E73" w:rsidRPr="00F52F80" w:rsidRDefault="00F663C6" w:rsidP="00E808D6">
            <w:pPr>
              <w:pStyle w:val="Tabel-Tekst"/>
            </w:pPr>
            <w:r>
              <w:t>B</w:t>
            </w:r>
            <w:r w:rsidR="003A7E73" w:rsidRPr="00F52F80">
              <w:t>ewoonbare oppervlakte</w:t>
            </w:r>
          </w:p>
        </w:tc>
        <w:tc>
          <w:tcPr>
            <w:tcW w:w="2268" w:type="dxa"/>
            <w:noWrap/>
            <w:vAlign w:val="top"/>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76</w:t>
            </w:r>
            <w:r>
              <w:t>,</w:t>
            </w:r>
            <w:r w:rsidRPr="00F52F80">
              <w:t>1</w:t>
            </w:r>
          </w:p>
        </w:tc>
        <w:tc>
          <w:tcPr>
            <w:tcW w:w="2268" w:type="dxa"/>
            <w:noWrap/>
            <w:vAlign w:val="top"/>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96</w:t>
            </w:r>
            <w:r>
              <w:t>,</w:t>
            </w:r>
            <w:r w:rsidRPr="00F52F80">
              <w:t>0</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A</w:t>
            </w:r>
            <w:r w:rsidR="003A7E73" w:rsidRPr="00F52F80">
              <w:t>antal slaapkamers</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w:t>
            </w:r>
            <w:r>
              <w:t>,</w:t>
            </w:r>
            <w:r w:rsidRPr="00F52F80">
              <w:t>9</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2</w:t>
            </w:r>
            <w:r>
              <w:t>,</w:t>
            </w:r>
            <w:r w:rsidRPr="00F52F80">
              <w:t>7</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A</w:t>
            </w:r>
            <w:r w:rsidR="003A7E73" w:rsidRPr="00F52F80">
              <w:t>antal verdieping</w:t>
            </w:r>
            <w:r w:rsidR="003A7E73">
              <w:t>en</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3</w:t>
            </w:r>
            <w:r>
              <w:t>,</w:t>
            </w:r>
            <w:r w:rsidRPr="00F52F80">
              <w:t>1</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w:t>
            </w:r>
            <w:r>
              <w:t>,</w:t>
            </w:r>
            <w:r w:rsidRPr="00F52F80">
              <w:t>7</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V</w:t>
            </w:r>
            <w:r w:rsidR="003A7E73" w:rsidRPr="00F52F80">
              <w:t>erdieping</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0</w:t>
            </w:r>
            <w:r>
              <w:t>,</w:t>
            </w:r>
            <w:r w:rsidRPr="00F52F80">
              <w:t>7</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tcPr>
          <w:p w:rsidR="003A7E73" w:rsidRPr="00F52F80" w:rsidRDefault="003A7E73" w:rsidP="00E808D6">
            <w:pPr>
              <w:pStyle w:val="Tabel-Tekst"/>
            </w:pPr>
            <w:r>
              <w:t>Lift aanwezig</w:t>
            </w:r>
          </w:p>
        </w:tc>
        <w:tc>
          <w:tcPr>
            <w:tcW w:w="2268" w:type="dxa"/>
            <w:noWrap/>
            <w:vAlign w:val="top"/>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t>33%</w:t>
            </w:r>
          </w:p>
        </w:tc>
        <w:tc>
          <w:tcPr>
            <w:tcW w:w="2268" w:type="dxa"/>
            <w:noWrap/>
            <w:vAlign w:val="top"/>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T</w:t>
            </w:r>
            <w:r w:rsidR="003A7E73" w:rsidRPr="00F52F80">
              <w:t>erras (m²)</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2</w:t>
            </w:r>
            <w:r>
              <w:t>,</w:t>
            </w:r>
            <w:r w:rsidRPr="00F52F80">
              <w:t>2</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0</w:t>
            </w:r>
            <w:r>
              <w:t>,</w:t>
            </w:r>
            <w:r w:rsidRPr="00F52F80">
              <w:t>3</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T</w:t>
            </w:r>
            <w:r w:rsidR="003A7E73" w:rsidRPr="00F52F80">
              <w:t>uin (m²)</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19</w:t>
            </w:r>
            <w:r>
              <w:t>,</w:t>
            </w:r>
            <w:r w:rsidRPr="00F52F80">
              <w:t>5</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101</w:t>
            </w:r>
            <w:r>
              <w:t>,</w:t>
            </w:r>
            <w:r w:rsidRPr="00F52F80">
              <w:t>5</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3A7E73" w:rsidP="00E808D6">
            <w:pPr>
              <w:pStyle w:val="Tabel-Tekst"/>
            </w:pPr>
            <w:r w:rsidRPr="00F52F80">
              <w:t>Eigen open parkeerplaats</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18%</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5%</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3A7E73" w:rsidP="00E808D6">
            <w:pPr>
              <w:pStyle w:val="Tabel-Tekst"/>
            </w:pPr>
            <w:r w:rsidRPr="00F52F80">
              <w:t>Gesloten garage</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29%</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70%</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B</w:t>
            </w:r>
            <w:r w:rsidR="003A7E73" w:rsidRPr="00F52F80">
              <w:t>ouwjaar</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1970</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1968</w:t>
            </w:r>
          </w:p>
        </w:tc>
      </w:tr>
      <w:tr w:rsidR="003A7E73" w:rsidRPr="00F52F80" w:rsidTr="003A7E73">
        <w:trPr>
          <w:trHeight w:val="227"/>
        </w:trPr>
        <w:tc>
          <w:tcPr>
            <w:cnfStyle w:val="001000000000" w:firstRow="0" w:lastRow="0" w:firstColumn="1" w:lastColumn="0" w:oddVBand="0" w:evenVBand="0" w:oddHBand="0" w:evenHBand="0" w:firstRowFirstColumn="0" w:firstRowLastColumn="0" w:lastRowFirstColumn="0" w:lastRowLastColumn="0"/>
            <w:tcW w:w="4535" w:type="dxa"/>
            <w:noWrap/>
            <w:vAlign w:val="top"/>
            <w:hideMark/>
          </w:tcPr>
          <w:p w:rsidR="003A7E73" w:rsidRPr="00F52F80" w:rsidRDefault="00F663C6" w:rsidP="00E808D6">
            <w:pPr>
              <w:pStyle w:val="Tabel-Tekst"/>
            </w:pPr>
            <w:r>
              <w:t>O</w:t>
            </w:r>
            <w:r w:rsidR="003A7E73" w:rsidRPr="00F52F80">
              <w:t>bservaties</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w:t>
            </w:r>
            <w:r>
              <w:t> </w:t>
            </w:r>
            <w:r w:rsidRPr="00F52F80">
              <w:t>094</w:t>
            </w:r>
          </w:p>
        </w:tc>
        <w:tc>
          <w:tcPr>
            <w:tcW w:w="2268" w:type="dxa"/>
            <w:noWrap/>
            <w:vAlign w:val="top"/>
            <w:hideMark/>
          </w:tcPr>
          <w:p w:rsidR="003A7E73" w:rsidRPr="00F52F80" w:rsidRDefault="003A7E73" w:rsidP="003A7E73">
            <w:pPr>
              <w:pStyle w:val="Tabel-Tekst"/>
              <w:jc w:val="center"/>
              <w:cnfStyle w:val="000000000000" w:firstRow="0" w:lastRow="0" w:firstColumn="0" w:lastColumn="0" w:oddVBand="0" w:evenVBand="0" w:oddHBand="0" w:evenHBand="0" w:firstRowFirstColumn="0" w:firstRowLastColumn="0" w:lastRowFirstColumn="0" w:lastRowLastColumn="0"/>
            </w:pPr>
            <w:r w:rsidRPr="00F52F80">
              <w:t>1</w:t>
            </w:r>
            <w:r>
              <w:t> </w:t>
            </w:r>
            <w:r w:rsidRPr="00F52F80">
              <w:t>356</w:t>
            </w:r>
          </w:p>
        </w:tc>
      </w:tr>
    </w:tbl>
    <w:p w:rsidR="0008544A" w:rsidRDefault="0008544A" w:rsidP="00F663C6">
      <w:pPr>
        <w:pStyle w:val="FiguurTabel-TekstBron"/>
        <w:rPr>
          <w:rStyle w:val="Grijs"/>
        </w:rPr>
      </w:pPr>
      <w:r w:rsidRPr="00F663C6">
        <w:rPr>
          <w:rStyle w:val="Grijs"/>
        </w:rPr>
        <w:t>Bron: VMSW</w:t>
      </w:r>
    </w:p>
    <w:p w:rsidR="00F663C6" w:rsidRPr="009E1119" w:rsidRDefault="00F663C6" w:rsidP="003A3594">
      <w:pPr>
        <w:pStyle w:val="Caption"/>
      </w:pPr>
      <w:r>
        <w:t>Tabel</w:t>
      </w:r>
      <w:r w:rsidRPr="009E1119">
        <w:t xml:space="preserve"> </w:t>
      </w:r>
      <w:r w:rsidR="00301DB0">
        <w:fldChar w:fldCharType="begin"/>
      </w:r>
      <w:r w:rsidR="00301DB0">
        <w:instrText xml:space="preserve"> SEQ Tabel \* ARABIC </w:instrText>
      </w:r>
      <w:r w:rsidR="00301DB0">
        <w:fldChar w:fldCharType="separate"/>
      </w:r>
      <w:r w:rsidR="00A65B8D">
        <w:rPr>
          <w:noProof/>
        </w:rPr>
        <w:t>5</w:t>
      </w:r>
      <w:r w:rsidR="00301DB0">
        <w:rPr>
          <w:noProof/>
        </w:rPr>
        <w:fldChar w:fldCharType="end"/>
      </w:r>
      <w:r w:rsidRPr="009E1119">
        <w:tab/>
      </w:r>
      <w:r w:rsidRPr="00F663C6">
        <w:t>Beschrijvende statistieken appartementen, Huurschatter</w:t>
      </w:r>
    </w:p>
    <w:tbl>
      <w:tblPr>
        <w:tblStyle w:val="LightShading1"/>
        <w:tblW w:w="5016" w:type="pct"/>
        <w:tblLayout w:type="fixed"/>
        <w:tblLook w:val="04A0" w:firstRow="1" w:lastRow="0" w:firstColumn="1" w:lastColumn="0" w:noHBand="0" w:noVBand="1"/>
      </w:tblPr>
      <w:tblGrid>
        <w:gridCol w:w="3404"/>
        <w:gridCol w:w="1134"/>
        <w:gridCol w:w="1135"/>
        <w:gridCol w:w="1135"/>
        <w:gridCol w:w="1135"/>
        <w:gridCol w:w="1126"/>
      </w:tblGrid>
      <w:tr w:rsidR="00F663C6" w:rsidRPr="00604E5C" w:rsidTr="00A51A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bookmarkEnd w:id="16"/>
          <w:p w:rsidR="0008544A" w:rsidRPr="00604E5C" w:rsidRDefault="0008544A" w:rsidP="00F663C6">
            <w:pPr>
              <w:pStyle w:val="Tabel-Tekst"/>
              <w:rPr>
                <w:lang w:eastAsia="nl-BE"/>
              </w:rPr>
            </w:pPr>
            <w:r>
              <w:rPr>
                <w:lang w:eastAsia="nl-BE"/>
              </w:rPr>
              <w:t>V</w:t>
            </w:r>
            <w:r w:rsidRPr="00604E5C">
              <w:rPr>
                <w:lang w:eastAsia="nl-BE"/>
              </w:rPr>
              <w:t>ariabele</w:t>
            </w:r>
          </w:p>
        </w:tc>
        <w:tc>
          <w:tcPr>
            <w:tcW w:w="625" w:type="pct"/>
            <w:noWrap/>
            <w:vAlign w:val="top"/>
            <w:hideMark/>
          </w:tcPr>
          <w:p w:rsidR="0008544A" w:rsidRPr="00604E5C" w:rsidRDefault="0008544A" w:rsidP="00A51A6D">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Gemiddelde</w:t>
            </w:r>
          </w:p>
        </w:tc>
        <w:tc>
          <w:tcPr>
            <w:tcW w:w="626" w:type="pct"/>
            <w:noWrap/>
            <w:vAlign w:val="top"/>
            <w:hideMark/>
          </w:tcPr>
          <w:p w:rsidR="0008544A" w:rsidRPr="00604E5C" w:rsidRDefault="0008544A" w:rsidP="00A65B8D">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proofErr w:type="spellStart"/>
            <w:r>
              <w:rPr>
                <w:lang w:eastAsia="nl-BE"/>
              </w:rPr>
              <w:t>Standaard-deviatie</w:t>
            </w:r>
            <w:proofErr w:type="spellEnd"/>
          </w:p>
        </w:tc>
        <w:tc>
          <w:tcPr>
            <w:tcW w:w="626" w:type="pct"/>
            <w:noWrap/>
            <w:vAlign w:val="top"/>
            <w:hideMark/>
          </w:tcPr>
          <w:p w:rsidR="0008544A" w:rsidRPr="00604E5C" w:rsidRDefault="0008544A" w:rsidP="00A51A6D">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P1</w:t>
            </w:r>
          </w:p>
        </w:tc>
        <w:tc>
          <w:tcPr>
            <w:tcW w:w="626" w:type="pct"/>
            <w:noWrap/>
            <w:vAlign w:val="top"/>
            <w:hideMark/>
          </w:tcPr>
          <w:p w:rsidR="0008544A" w:rsidRPr="00604E5C" w:rsidRDefault="0008544A" w:rsidP="00A51A6D">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Mediaan</w:t>
            </w:r>
          </w:p>
        </w:tc>
        <w:tc>
          <w:tcPr>
            <w:tcW w:w="622" w:type="pct"/>
            <w:noWrap/>
            <w:vAlign w:val="top"/>
            <w:hideMark/>
          </w:tcPr>
          <w:p w:rsidR="0008544A" w:rsidRPr="00604E5C" w:rsidRDefault="0008544A" w:rsidP="00A51A6D">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P99</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Laatste huurprijs (in euro)</w:t>
            </w:r>
          </w:p>
        </w:tc>
        <w:tc>
          <w:tcPr>
            <w:tcW w:w="625" w:type="pct"/>
            <w:noWrap/>
            <w:vAlign w:val="top"/>
            <w:hideMark/>
          </w:tcPr>
          <w:p w:rsidR="0008544A" w:rsidRPr="00604E5C" w:rsidRDefault="0008544A" w:rsidP="00730E06">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617,8</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147,6</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325</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600</w:t>
            </w:r>
          </w:p>
        </w:tc>
        <w:tc>
          <w:tcPr>
            <w:tcW w:w="622" w:type="pct"/>
            <w:noWrap/>
            <w:vAlign w:val="top"/>
            <w:hideMark/>
          </w:tcPr>
          <w:p w:rsidR="0008544A" w:rsidRPr="00604E5C" w:rsidRDefault="00A51A6D"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Pr>
                <w:lang w:eastAsia="nl-BE"/>
              </w:rPr>
              <w:t>1,</w:t>
            </w:r>
            <w:r w:rsidR="0008544A" w:rsidRPr="00604E5C">
              <w:rPr>
                <w:lang w:eastAsia="nl-BE"/>
              </w:rPr>
              <w:t>1</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tcPr>
          <w:p w:rsidR="0008544A" w:rsidRPr="00604E5C" w:rsidRDefault="0008544A" w:rsidP="00F663C6">
            <w:pPr>
              <w:pStyle w:val="Tabel-Tekst"/>
              <w:rPr>
                <w:lang w:eastAsia="nl-BE"/>
              </w:rPr>
            </w:pPr>
            <w:r w:rsidRPr="00604E5C">
              <w:rPr>
                <w:lang w:eastAsia="nl-BE"/>
              </w:rPr>
              <w:t>Jaar huurcontract</w:t>
            </w:r>
          </w:p>
        </w:tc>
        <w:tc>
          <w:tcPr>
            <w:tcW w:w="625" w:type="pct"/>
            <w:noWrap/>
            <w:vAlign w:val="top"/>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Pr>
                <w:lang w:eastAsia="nl-BE"/>
              </w:rPr>
              <w:t>2</w:t>
            </w:r>
            <w:r w:rsidRPr="00604E5C">
              <w:rPr>
                <w:lang w:eastAsia="nl-BE"/>
              </w:rPr>
              <w:t>011</w:t>
            </w:r>
          </w:p>
        </w:tc>
        <w:tc>
          <w:tcPr>
            <w:tcW w:w="626" w:type="pct"/>
            <w:noWrap/>
            <w:vAlign w:val="top"/>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1,504</w:t>
            </w:r>
          </w:p>
        </w:tc>
        <w:tc>
          <w:tcPr>
            <w:tcW w:w="626" w:type="pct"/>
            <w:noWrap/>
            <w:vAlign w:val="top"/>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Pr>
                <w:lang w:eastAsia="nl-BE"/>
              </w:rPr>
              <w:t>2</w:t>
            </w:r>
            <w:r w:rsidRPr="00604E5C">
              <w:rPr>
                <w:lang w:eastAsia="nl-BE"/>
              </w:rPr>
              <w:t>008</w:t>
            </w:r>
          </w:p>
        </w:tc>
        <w:tc>
          <w:tcPr>
            <w:tcW w:w="626" w:type="pct"/>
            <w:noWrap/>
            <w:vAlign w:val="top"/>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2011</w:t>
            </w:r>
          </w:p>
        </w:tc>
        <w:tc>
          <w:tcPr>
            <w:tcW w:w="622" w:type="pct"/>
            <w:noWrap/>
            <w:vAlign w:val="top"/>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2014</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Bewoonbare oppervlakte (in m</w:t>
            </w:r>
            <w:r w:rsidRPr="00F663C6">
              <w:rPr>
                <w:vertAlign w:val="superscript"/>
                <w:lang w:eastAsia="nl-BE"/>
              </w:rPr>
              <w:t>2</w:t>
            </w:r>
            <w:r w:rsidRPr="00604E5C">
              <w:rPr>
                <w:lang w:eastAsia="nl-BE"/>
              </w:rPr>
              <w:t>)</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89,41</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30,62</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28</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90</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190</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 Slaapkamers</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1,844</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0,699</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3</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Verdieping appartement</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1,734</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1,559</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7</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 Verdiepingen gebouw</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3,195</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2,082</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3</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12</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Aanwezigheid lift</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0,413</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0,492</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Oppervlakte terras (in m</w:t>
            </w:r>
            <w:r w:rsidRPr="00F663C6">
              <w:rPr>
                <w:vertAlign w:val="superscript"/>
                <w:lang w:eastAsia="nl-BE"/>
              </w:rPr>
              <w:t>2</w:t>
            </w:r>
            <w:r w:rsidRPr="00604E5C">
              <w:rPr>
                <w:lang w:eastAsia="nl-BE"/>
              </w:rPr>
              <w:t>)</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8,304</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10,11</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5</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48</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Oppervlakte tuin (in m</w:t>
            </w:r>
            <w:r w:rsidRPr="00F663C6">
              <w:rPr>
                <w:vertAlign w:val="superscript"/>
                <w:lang w:eastAsia="nl-BE"/>
              </w:rPr>
              <w:t>2</w:t>
            </w:r>
            <w:r w:rsidRPr="00604E5C">
              <w:rPr>
                <w:lang w:eastAsia="nl-BE"/>
              </w:rPr>
              <w:t>)</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10,42</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38,11</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200</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Eigen open parkeerplaats</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0,18</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0,384</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Gesloten garage</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0,339</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0,473</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0</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w:t>
            </w:r>
          </w:p>
        </w:tc>
      </w:tr>
      <w:tr w:rsidR="00F663C6" w:rsidRPr="00604E5C"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F663C6">
            <w:pPr>
              <w:pStyle w:val="Tabel-Tekst"/>
              <w:rPr>
                <w:lang w:eastAsia="nl-BE"/>
              </w:rPr>
            </w:pPr>
            <w:r w:rsidRPr="00604E5C">
              <w:rPr>
                <w:lang w:eastAsia="nl-BE"/>
              </w:rPr>
              <w:t>Bouwjaar</w:t>
            </w:r>
          </w:p>
        </w:tc>
        <w:tc>
          <w:tcPr>
            <w:tcW w:w="625"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198</w:t>
            </w:r>
            <w:r>
              <w:rPr>
                <w:lang w:eastAsia="nl-BE"/>
              </w:rPr>
              <w:t>0</w:t>
            </w:r>
          </w:p>
        </w:tc>
        <w:tc>
          <w:tcPr>
            <w:tcW w:w="626" w:type="pct"/>
            <w:noWrap/>
            <w:vAlign w:val="top"/>
            <w:hideMark/>
          </w:tcPr>
          <w:p w:rsidR="0008544A" w:rsidRPr="00604E5C" w:rsidRDefault="0008544A" w:rsidP="00A51A6D">
            <w:pPr>
              <w:pStyle w:val="Tabel-Tekst"/>
              <w:tabs>
                <w:tab w:val="decimal" w:pos="53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28,66</w:t>
            </w:r>
          </w:p>
        </w:tc>
        <w:tc>
          <w:tcPr>
            <w:tcW w:w="626"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Pr>
                <w:lang w:eastAsia="nl-BE"/>
              </w:rPr>
              <w:t>1</w:t>
            </w:r>
            <w:r w:rsidRPr="00604E5C">
              <w:rPr>
                <w:lang w:eastAsia="nl-BE"/>
              </w:rPr>
              <w:t>9</w:t>
            </w:r>
            <w:r>
              <w:rPr>
                <w:lang w:eastAsia="nl-BE"/>
              </w:rPr>
              <w:t>00</w:t>
            </w:r>
          </w:p>
        </w:tc>
        <w:tc>
          <w:tcPr>
            <w:tcW w:w="626" w:type="pct"/>
            <w:noWrap/>
            <w:vAlign w:val="top"/>
            <w:hideMark/>
          </w:tcPr>
          <w:p w:rsidR="0008544A" w:rsidRPr="00604E5C" w:rsidRDefault="0008544A" w:rsidP="00A51A6D">
            <w:pPr>
              <w:pStyle w:val="Tabel-Tekst"/>
              <w:tabs>
                <w:tab w:val="decimal" w:pos="690"/>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1985</w:t>
            </w:r>
          </w:p>
        </w:tc>
        <w:tc>
          <w:tcPr>
            <w:tcW w:w="622" w:type="pct"/>
            <w:noWrap/>
            <w:vAlign w:val="top"/>
            <w:hideMark/>
          </w:tcPr>
          <w:p w:rsidR="0008544A" w:rsidRPr="00604E5C" w:rsidRDefault="0008544A" w:rsidP="00A51A6D">
            <w:pPr>
              <w:pStyle w:val="Tabel-Tekst"/>
              <w:tabs>
                <w:tab w:val="decimal" w:pos="673"/>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604E5C">
              <w:rPr>
                <w:lang w:eastAsia="nl-BE"/>
              </w:rPr>
              <w:t>2013</w:t>
            </w:r>
          </w:p>
        </w:tc>
      </w:tr>
    </w:tbl>
    <w:p w:rsidR="0008544A" w:rsidRDefault="0008544A" w:rsidP="00A51A6D">
      <w:pPr>
        <w:pStyle w:val="FiguurTabel-Opmerking"/>
        <w:keepNext w:val="0"/>
        <w:keepLines w:val="0"/>
      </w:pPr>
      <w:r>
        <w:t xml:space="preserve">Bemerking: </w:t>
      </w:r>
      <w:r w:rsidR="00A51A6D">
        <w:tab/>
      </w:r>
      <w:r>
        <w:t>alle berekeningen we</w:t>
      </w:r>
      <w:r w:rsidR="00A51A6D">
        <w:t>rden uitgevoerd op basis van 26 </w:t>
      </w:r>
      <w:r>
        <w:t>504 observaties</w:t>
      </w:r>
    </w:p>
    <w:p w:rsidR="0008544A" w:rsidRDefault="00A51A6D" w:rsidP="00A51A6D">
      <w:pPr>
        <w:pStyle w:val="Caption"/>
        <w:rPr>
          <w:sz w:val="22"/>
          <w:szCs w:val="22"/>
        </w:rPr>
      </w:pPr>
      <w:bookmarkStart w:id="19" w:name="_Toc448065511"/>
      <w:r>
        <w:lastRenderedPageBreak/>
        <w:t>Tabel</w:t>
      </w:r>
      <w:r w:rsidRPr="009E1119">
        <w:t xml:space="preserve"> </w:t>
      </w:r>
      <w:r w:rsidR="00301DB0">
        <w:fldChar w:fldCharType="begin"/>
      </w:r>
      <w:r w:rsidR="00301DB0">
        <w:instrText xml:space="preserve"> SEQ Tabel \* ARABIC </w:instrText>
      </w:r>
      <w:r w:rsidR="00301DB0">
        <w:fldChar w:fldCharType="separate"/>
      </w:r>
      <w:r w:rsidR="00A65B8D">
        <w:rPr>
          <w:noProof/>
        </w:rPr>
        <w:t>6</w:t>
      </w:r>
      <w:r w:rsidR="00301DB0">
        <w:rPr>
          <w:noProof/>
        </w:rPr>
        <w:fldChar w:fldCharType="end"/>
      </w:r>
      <w:r w:rsidRPr="009E1119">
        <w:tab/>
      </w:r>
      <w:r w:rsidR="0008544A" w:rsidRPr="00264AB6">
        <w:rPr>
          <w:sz w:val="22"/>
          <w:szCs w:val="22"/>
        </w:rPr>
        <w:t>Beschrijvende statistieken eengezinswoningen</w:t>
      </w:r>
      <w:bookmarkEnd w:id="19"/>
      <w:r w:rsidR="0008544A">
        <w:rPr>
          <w:sz w:val="22"/>
          <w:szCs w:val="22"/>
        </w:rPr>
        <w:t>, Huurschatter</w:t>
      </w:r>
    </w:p>
    <w:tbl>
      <w:tblPr>
        <w:tblStyle w:val="LightShading1"/>
        <w:tblW w:w="5016" w:type="pct"/>
        <w:tblLayout w:type="fixed"/>
        <w:tblLook w:val="04A0" w:firstRow="1" w:lastRow="0" w:firstColumn="1" w:lastColumn="0" w:noHBand="0" w:noVBand="1"/>
      </w:tblPr>
      <w:tblGrid>
        <w:gridCol w:w="3404"/>
        <w:gridCol w:w="1135"/>
        <w:gridCol w:w="1135"/>
        <w:gridCol w:w="1135"/>
        <w:gridCol w:w="1135"/>
        <w:gridCol w:w="1125"/>
      </w:tblGrid>
      <w:tr w:rsidR="0008544A" w:rsidRPr="00264AB6" w:rsidTr="00A51A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604E5C" w:rsidRDefault="0008544A" w:rsidP="00E808D6">
            <w:pPr>
              <w:pStyle w:val="Tabel-Tekst"/>
              <w:rPr>
                <w:lang w:eastAsia="nl-BE"/>
              </w:rPr>
            </w:pPr>
            <w:r>
              <w:rPr>
                <w:lang w:eastAsia="nl-BE"/>
              </w:rPr>
              <w:t>V</w:t>
            </w:r>
            <w:r w:rsidRPr="00604E5C">
              <w:rPr>
                <w:lang w:eastAsia="nl-BE"/>
              </w:rPr>
              <w:t>ariabele</w:t>
            </w:r>
          </w:p>
        </w:tc>
        <w:tc>
          <w:tcPr>
            <w:tcW w:w="626" w:type="pct"/>
            <w:noWrap/>
            <w:vAlign w:val="top"/>
            <w:hideMark/>
          </w:tcPr>
          <w:p w:rsidR="0008544A" w:rsidRPr="00604E5C" w:rsidRDefault="0008544A" w:rsidP="00730E06">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Gemiddelde</w:t>
            </w:r>
          </w:p>
        </w:tc>
        <w:tc>
          <w:tcPr>
            <w:tcW w:w="626" w:type="pct"/>
            <w:noWrap/>
            <w:vAlign w:val="top"/>
            <w:hideMark/>
          </w:tcPr>
          <w:p w:rsidR="0008544A" w:rsidRDefault="0008544A" w:rsidP="00730E06">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Standaard-</w:t>
            </w:r>
          </w:p>
          <w:p w:rsidR="0008544A" w:rsidRPr="00604E5C" w:rsidRDefault="0008544A" w:rsidP="00730E06">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deviatie</w:t>
            </w:r>
          </w:p>
        </w:tc>
        <w:tc>
          <w:tcPr>
            <w:tcW w:w="626" w:type="pct"/>
            <w:noWrap/>
            <w:vAlign w:val="top"/>
            <w:hideMark/>
          </w:tcPr>
          <w:p w:rsidR="0008544A" w:rsidRPr="00604E5C" w:rsidRDefault="0008544A" w:rsidP="00730E06">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P1</w:t>
            </w:r>
          </w:p>
        </w:tc>
        <w:tc>
          <w:tcPr>
            <w:tcW w:w="626" w:type="pct"/>
            <w:noWrap/>
            <w:vAlign w:val="top"/>
            <w:hideMark/>
          </w:tcPr>
          <w:p w:rsidR="0008544A" w:rsidRPr="00604E5C" w:rsidRDefault="0008544A" w:rsidP="00730E06">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Mediaan</w:t>
            </w:r>
          </w:p>
        </w:tc>
        <w:tc>
          <w:tcPr>
            <w:tcW w:w="621" w:type="pct"/>
            <w:noWrap/>
            <w:vAlign w:val="top"/>
            <w:hideMark/>
          </w:tcPr>
          <w:p w:rsidR="0008544A" w:rsidRPr="00604E5C" w:rsidRDefault="0008544A" w:rsidP="00730E06">
            <w:pPr>
              <w:pStyle w:val="Tabel-Tekst"/>
              <w:ind w:left="0" w:right="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P99</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Laatste huurprijs (in euro)</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716,1</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208,1</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350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700</w:t>
            </w:r>
          </w:p>
        </w:tc>
        <w:tc>
          <w:tcPr>
            <w:tcW w:w="621" w:type="pct"/>
            <w:noWrap/>
            <w:vAlign w:val="top"/>
            <w:hideMark/>
          </w:tcPr>
          <w:p w:rsidR="0008544A" w:rsidRPr="00264AB6" w:rsidRDefault="00730E06"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Pr>
                <w:lang w:eastAsia="nl-BE"/>
              </w:rPr>
              <w:t>1,</w:t>
            </w:r>
            <w:r w:rsidR="0008544A" w:rsidRPr="00264AB6">
              <w:rPr>
                <w:lang w:eastAsia="nl-BE"/>
              </w:rPr>
              <w:t>4</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tcPr>
          <w:p w:rsidR="0008544A" w:rsidRPr="00264AB6" w:rsidRDefault="0008544A" w:rsidP="00E808D6">
            <w:pPr>
              <w:pStyle w:val="Tabel-Tekst"/>
              <w:rPr>
                <w:lang w:eastAsia="nl-BE"/>
              </w:rPr>
            </w:pPr>
            <w:r w:rsidRPr="00264AB6">
              <w:rPr>
                <w:lang w:eastAsia="nl-BE"/>
              </w:rPr>
              <w:t>Jaar huurcontract</w:t>
            </w:r>
          </w:p>
        </w:tc>
        <w:tc>
          <w:tcPr>
            <w:tcW w:w="626" w:type="pct"/>
            <w:noWrap/>
            <w:vAlign w:val="top"/>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2011</w:t>
            </w:r>
          </w:p>
        </w:tc>
        <w:tc>
          <w:tcPr>
            <w:tcW w:w="626" w:type="pct"/>
            <w:noWrap/>
            <w:vAlign w:val="top"/>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1,56</w:t>
            </w:r>
          </w:p>
        </w:tc>
        <w:tc>
          <w:tcPr>
            <w:tcW w:w="626" w:type="pct"/>
            <w:noWrap/>
            <w:vAlign w:val="top"/>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2008</w:t>
            </w:r>
          </w:p>
        </w:tc>
        <w:tc>
          <w:tcPr>
            <w:tcW w:w="626" w:type="pct"/>
            <w:noWrap/>
            <w:vAlign w:val="top"/>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2011</w:t>
            </w:r>
          </w:p>
        </w:tc>
        <w:tc>
          <w:tcPr>
            <w:tcW w:w="621" w:type="pct"/>
            <w:noWrap/>
            <w:vAlign w:val="top"/>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2015</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Bewoonbare oppervlakte (in m</w:t>
            </w:r>
            <w:r w:rsidRPr="00A51A6D">
              <w:rPr>
                <w:vertAlign w:val="superscript"/>
                <w:lang w:eastAsia="nl-BE"/>
              </w:rPr>
              <w:t>2</w:t>
            </w:r>
            <w:r w:rsidRPr="00264AB6">
              <w:rPr>
                <w:lang w:eastAsia="nl-BE"/>
              </w:rPr>
              <w:t>)</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151,3</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65,08</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50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140</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380</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 Slaapkamers</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2,933</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0,855</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3</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5</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 Bouwlagen huis</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1,847</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0,732</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4</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Oppervlakte terras (in m</w:t>
            </w:r>
            <w:r w:rsidRPr="00A51A6D">
              <w:rPr>
                <w:vertAlign w:val="superscript"/>
                <w:lang w:eastAsia="nl-BE"/>
              </w:rPr>
              <w:t>2</w:t>
            </w:r>
            <w:r w:rsidRPr="00264AB6">
              <w:rPr>
                <w:lang w:eastAsia="nl-BE"/>
              </w:rPr>
              <w:t>)</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18,26</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17,43</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15</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90</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Oppervlakte tuin (in m</w:t>
            </w:r>
            <w:r w:rsidRPr="00A51A6D">
              <w:rPr>
                <w:vertAlign w:val="superscript"/>
                <w:lang w:eastAsia="nl-BE"/>
              </w:rPr>
              <w:t>2</w:t>
            </w:r>
            <w:r w:rsidRPr="00264AB6">
              <w:rPr>
                <w:lang w:eastAsia="nl-BE"/>
              </w:rPr>
              <w:t>)</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250,2</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398,8</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100</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Eigen open parkeerplaats</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0,199</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0,399</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Gesloten garage</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0,517</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0,5</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w:t>
            </w:r>
          </w:p>
        </w:tc>
      </w:tr>
      <w:tr w:rsidR="0008544A" w:rsidRPr="00264AB6" w:rsidTr="00A51A6D">
        <w:trPr>
          <w:trHeight w:val="227"/>
        </w:trPr>
        <w:tc>
          <w:tcPr>
            <w:cnfStyle w:val="001000000000" w:firstRow="0" w:lastRow="0" w:firstColumn="1" w:lastColumn="0" w:oddVBand="0" w:evenVBand="0" w:oddHBand="0" w:evenHBand="0" w:firstRowFirstColumn="0" w:firstRowLastColumn="0" w:lastRowFirstColumn="0" w:lastRowLastColumn="0"/>
            <w:tcW w:w="1876" w:type="pct"/>
            <w:noWrap/>
            <w:vAlign w:val="top"/>
            <w:hideMark/>
          </w:tcPr>
          <w:p w:rsidR="0008544A" w:rsidRPr="00264AB6" w:rsidRDefault="0008544A" w:rsidP="00E808D6">
            <w:pPr>
              <w:pStyle w:val="Tabel-Tekst"/>
              <w:rPr>
                <w:lang w:eastAsia="nl-BE"/>
              </w:rPr>
            </w:pPr>
            <w:r w:rsidRPr="00264AB6">
              <w:rPr>
                <w:lang w:eastAsia="nl-BE"/>
              </w:rPr>
              <w:t>Bouwjaar</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1963</w:t>
            </w:r>
          </w:p>
        </w:tc>
        <w:tc>
          <w:tcPr>
            <w:tcW w:w="626" w:type="pct"/>
            <w:noWrap/>
            <w:vAlign w:val="top"/>
            <w:hideMark/>
          </w:tcPr>
          <w:p w:rsidR="0008544A" w:rsidRPr="00264AB6" w:rsidRDefault="0008544A" w:rsidP="00730E06">
            <w:pPr>
              <w:pStyle w:val="Tabel-Tekst"/>
              <w:tabs>
                <w:tab w:val="decimal" w:pos="549"/>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31,11</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1880</w:t>
            </w:r>
          </w:p>
        </w:tc>
        <w:tc>
          <w:tcPr>
            <w:tcW w:w="626"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1960</w:t>
            </w:r>
          </w:p>
        </w:tc>
        <w:tc>
          <w:tcPr>
            <w:tcW w:w="621" w:type="pct"/>
            <w:noWrap/>
            <w:vAlign w:val="top"/>
            <w:hideMark/>
          </w:tcPr>
          <w:p w:rsidR="0008544A" w:rsidRPr="00264AB6" w:rsidRDefault="0008544A" w:rsidP="00730E06">
            <w:pPr>
              <w:pStyle w:val="Tabel-Tekst"/>
              <w:tabs>
                <w:tab w:val="decimal" w:pos="675"/>
              </w:tabs>
              <w:ind w:left="0" w:right="0"/>
              <w:cnfStyle w:val="000000000000" w:firstRow="0" w:lastRow="0" w:firstColumn="0" w:lastColumn="0" w:oddVBand="0" w:evenVBand="0" w:oddHBand="0" w:evenHBand="0" w:firstRowFirstColumn="0" w:firstRowLastColumn="0" w:lastRowFirstColumn="0" w:lastRowLastColumn="0"/>
              <w:rPr>
                <w:lang w:eastAsia="nl-BE"/>
              </w:rPr>
            </w:pPr>
            <w:r w:rsidRPr="00264AB6">
              <w:rPr>
                <w:lang w:eastAsia="nl-BE"/>
              </w:rPr>
              <w:t>2012</w:t>
            </w:r>
          </w:p>
        </w:tc>
      </w:tr>
    </w:tbl>
    <w:p w:rsidR="0008544A" w:rsidRDefault="0008544A" w:rsidP="00730E06">
      <w:pPr>
        <w:pStyle w:val="FiguurTabel-Opmerking"/>
      </w:pPr>
      <w:r>
        <w:t xml:space="preserve">Bemerking: </w:t>
      </w:r>
      <w:r w:rsidR="00730E06">
        <w:tab/>
      </w:r>
      <w:r>
        <w:t>alle berekeningen we</w:t>
      </w:r>
      <w:r w:rsidR="00730E06">
        <w:t>rden uitgevoerd op basis van 17 </w:t>
      </w:r>
      <w:r>
        <w:t>695 observaties.</w:t>
      </w:r>
    </w:p>
    <w:p w:rsidR="0008544A" w:rsidRDefault="0008544A" w:rsidP="00730E06">
      <w:r>
        <w:t xml:space="preserve">Gezien het groot aandeel hoge appartementsgebouwen in het staal van 2016 is er ook in grote mate een </w:t>
      </w:r>
      <w:r w:rsidRPr="00C60B71">
        <w:rPr>
          <w:b/>
        </w:rPr>
        <w:t>lift</w:t>
      </w:r>
      <w:r>
        <w:t xml:space="preserve"> aanwezig in een appartement. Bij de </w:t>
      </w:r>
      <w:r w:rsidR="0024544F">
        <w:t>Huurschatter</w:t>
      </w:r>
      <w:r>
        <w:t xml:space="preserve"> en het referentiestaal is een lift in respec</w:t>
      </w:r>
      <w:r w:rsidR="00711296">
        <w:softHyphen/>
      </w:r>
      <w:r>
        <w:t>tievelijk 41% en 33% aanwezig in appartementen.</w:t>
      </w:r>
    </w:p>
    <w:p w:rsidR="0008544A" w:rsidRDefault="0008544A" w:rsidP="00730E06">
      <w:r w:rsidRPr="00C60B71">
        <w:rPr>
          <w:b/>
        </w:rPr>
        <w:t>Terrassen en tuinen</w:t>
      </w:r>
      <w:r>
        <w:t xml:space="preserve"> zijn veelal kleiner bij de sociale huurwoningen in vergelijking met de data uit de </w:t>
      </w:r>
      <w:r w:rsidR="0024544F">
        <w:t>Huurschatter</w:t>
      </w:r>
      <w:r>
        <w:t xml:space="preserve">. Sociale huurappartementen hebben een iets ouder </w:t>
      </w:r>
      <w:r w:rsidRPr="004A171D">
        <w:rPr>
          <w:b/>
        </w:rPr>
        <w:t>bouwjaar</w:t>
      </w:r>
      <w:r>
        <w:t>, terwijl de sociale huur</w:t>
      </w:r>
      <w:r w:rsidR="00711296">
        <w:softHyphen/>
      </w:r>
      <w:r>
        <w:t xml:space="preserve">huizen dan weer recenter zijn dan de private huurwoningen. </w:t>
      </w:r>
    </w:p>
    <w:p w:rsidR="0008544A" w:rsidRDefault="0008544A" w:rsidP="0008544A">
      <w:pPr>
        <w:pStyle w:val="Heading2"/>
      </w:pPr>
      <w:bookmarkStart w:id="20" w:name="_Toc464122175"/>
      <w:r>
        <w:t>Bewoonbare oppervlakte</w:t>
      </w:r>
      <w:bookmarkEnd w:id="20"/>
    </w:p>
    <w:p w:rsidR="0008544A" w:rsidRDefault="0008544A" w:rsidP="0008544A">
      <w:r>
        <w:t>De bewoonbare oppervlakte is een belangrijke variabele om de huurwaarde te bepalen. Er zijn echter diverse definities om de bewoonbare oppervlakte te meten. Daartoe schetsen we eerst een kort over</w:t>
      </w:r>
      <w:r w:rsidR="00711296">
        <w:softHyphen/>
      </w:r>
      <w:r>
        <w:t>zicht.</w:t>
      </w:r>
    </w:p>
    <w:p w:rsidR="0008544A" w:rsidRPr="0002241A" w:rsidRDefault="0008544A" w:rsidP="00730E06">
      <w:r w:rsidRPr="0002241A">
        <w:t>Oppervlakten vergelijken hangt af van definitie en van wel</w:t>
      </w:r>
      <w:r>
        <w:t>ke ruimten mee opgenomen worden:</w:t>
      </w:r>
    </w:p>
    <w:p w:rsidR="0008544A" w:rsidRPr="0002241A" w:rsidRDefault="0008544A" w:rsidP="00730E06">
      <w:pPr>
        <w:pStyle w:val="ListBullet"/>
      </w:pPr>
      <w:r w:rsidRPr="0002241A">
        <w:t>Huurschatter (1.0): totale bewoonbare oppervlakte van alle vertrekken</w:t>
      </w:r>
      <w:r>
        <w:t>. K</w:t>
      </w:r>
      <w:r w:rsidRPr="0002241A">
        <w:t>elder en garage gelden niet als bewoonbare vertrekken, zolder enkel als hij bewoonbaar is.</w:t>
      </w:r>
    </w:p>
    <w:p w:rsidR="0008544A" w:rsidRPr="0002241A" w:rsidRDefault="0008544A" w:rsidP="00730E06">
      <w:pPr>
        <w:pStyle w:val="ListBullet"/>
      </w:pPr>
      <w:r w:rsidRPr="0002241A">
        <w:t>Huurschatter (2.0): naast totale bewoonbare oppervlakte ook extra bevraging rond onduid</w:t>
      </w:r>
      <w:r>
        <w:t>elijke ruimtes (kelder, zolder). Hiervoor zijn nog geen duidelijke coëfficiënten beschikbaar.</w:t>
      </w:r>
    </w:p>
    <w:p w:rsidR="0008544A" w:rsidRPr="0002241A" w:rsidRDefault="0008544A" w:rsidP="00730E06">
      <w:pPr>
        <w:pStyle w:val="ListBullet"/>
      </w:pPr>
      <w:r w:rsidRPr="0002241A">
        <w:t xml:space="preserve">Census2001 en GWO 2013 </w:t>
      </w:r>
      <w:r>
        <w:t>(</w:t>
      </w:r>
      <w:r w:rsidRPr="0002241A">
        <w:t>Vanderstraeten</w:t>
      </w:r>
      <w:r>
        <w:t>)</w:t>
      </w:r>
      <w:r w:rsidR="00804CBF">
        <w:t>:</w:t>
      </w:r>
      <w:r w:rsidRPr="0002241A">
        <w:t xml:space="preserve"> gebaseerd op leefruimtes</w:t>
      </w:r>
    </w:p>
    <w:p w:rsidR="0008544A" w:rsidRPr="0002241A" w:rsidRDefault="0008544A" w:rsidP="00730E06">
      <w:pPr>
        <w:pStyle w:val="ListBullet"/>
      </w:pPr>
      <w:proofErr w:type="spellStart"/>
      <w:r w:rsidRPr="0002241A">
        <w:t>Hedonische</w:t>
      </w:r>
      <w:proofErr w:type="spellEnd"/>
      <w:r w:rsidRPr="0002241A">
        <w:t xml:space="preserve"> prijsanalyses GWO 2013</w:t>
      </w:r>
      <w:r w:rsidR="00804CBF">
        <w:t>:</w:t>
      </w:r>
      <w:r w:rsidRPr="0002241A">
        <w:t xml:space="preserve"> alle ruimtes waarvoor oppervlakte gemeten </w:t>
      </w:r>
      <w:r>
        <w:t xml:space="preserve">is </w:t>
      </w:r>
      <w:r w:rsidRPr="0002241A">
        <w:t>(behalve garage)</w:t>
      </w:r>
    </w:p>
    <w:p w:rsidR="0008544A" w:rsidRDefault="0008544A" w:rsidP="00730E06">
      <w:pPr>
        <w:pStyle w:val="ListBullet"/>
      </w:pPr>
      <w:r w:rsidRPr="0002241A">
        <w:t>AAPD (+census 2011)</w:t>
      </w:r>
      <w:r w:rsidR="00804CBF">
        <w:t>:</w:t>
      </w:r>
      <w:r w:rsidRPr="0002241A">
        <w:t xml:space="preserve"> alle nuttige ruimtes (hoger dan 1,5</w:t>
      </w:r>
      <w:r w:rsidR="00FA284C">
        <w:t> </w:t>
      </w:r>
      <w:r w:rsidRPr="0002241A">
        <w:t>m)</w:t>
      </w:r>
      <w:r>
        <w:t>, gewogen volgens een factor die gelinkt is aan het verwachte nut. Zo is het nut van de meeste woonvertrekken gelijk aan 1, maar voor de kelderoppervlakte is dit minder.</w:t>
      </w:r>
    </w:p>
    <w:p w:rsidR="0008544A" w:rsidRDefault="0008544A" w:rsidP="00730E06">
      <w:pPr>
        <w:pStyle w:val="ListBullet"/>
      </w:pPr>
      <w:r>
        <w:t>Sociale huisvesting: Bij de oppervlakte van de sociale woningen staat de oppervlakte tussen de buitenmuren. Het is deze oppervlakte die volgens de bouwnormen bepaald zijn. Deze zijn zowel voor appartementen en huizen gelijk en zijn bepaald in functie van het aantal slaapkamers en het aantal personen in de woning.</w:t>
      </w:r>
    </w:p>
    <w:p w:rsidR="0008544A" w:rsidRDefault="00730E06" w:rsidP="00730E06">
      <w:r>
        <w:t xml:space="preserve">In </w:t>
      </w:r>
      <w:r w:rsidR="0008544A">
        <w:t>tabel</w:t>
      </w:r>
      <w:r>
        <w:t> 7</w:t>
      </w:r>
      <w:r w:rsidR="0008544A">
        <w:t xml:space="preserve"> geven we daartoe een overzicht welke type woonruimten al dan niet in de definitie van oppervlakte opgenomen worden volgens diverse bronnen.</w:t>
      </w:r>
    </w:p>
    <w:p w:rsidR="00730E06" w:rsidRPr="009E1119" w:rsidRDefault="00730E06" w:rsidP="00B57A01">
      <w:pPr>
        <w:pStyle w:val="Caption"/>
        <w:keepNext w:val="0"/>
        <w:keepLines/>
      </w:pPr>
      <w:r w:rsidRPr="00730E06">
        <w:lastRenderedPageBreak/>
        <w:t xml:space="preserve">Tabel </w:t>
      </w:r>
      <w:r w:rsidR="00301DB0">
        <w:fldChar w:fldCharType="begin"/>
      </w:r>
      <w:r w:rsidR="00301DB0">
        <w:instrText xml:space="preserve"> SEQ Tabel \* ARABIC </w:instrText>
      </w:r>
      <w:r w:rsidR="00301DB0">
        <w:fldChar w:fldCharType="separate"/>
      </w:r>
      <w:r w:rsidR="00A65B8D">
        <w:rPr>
          <w:noProof/>
        </w:rPr>
        <w:t>7</w:t>
      </w:r>
      <w:r w:rsidR="00301DB0">
        <w:rPr>
          <w:noProof/>
        </w:rPr>
        <w:fldChar w:fldCharType="end"/>
      </w:r>
      <w:r w:rsidR="00B57A01">
        <w:tab/>
      </w:r>
      <w:r w:rsidR="00FA284C">
        <w:t>I</w:t>
      </w:r>
      <w:r w:rsidRPr="00730E06">
        <w:t xml:space="preserve">llustratie van hoe </w:t>
      </w:r>
      <w:r w:rsidRPr="00A82603">
        <w:t>woonruimtes</w:t>
      </w:r>
      <w:r w:rsidRPr="00730E06">
        <w:t xml:space="preserve"> al dan niet mee </w:t>
      </w:r>
      <w:r w:rsidR="00B57A01">
        <w:t>opgenomen worden</w:t>
      </w:r>
      <w:r w:rsidRPr="00730E06">
        <w:t xml:space="preserve"> in berekening van</w:t>
      </w:r>
      <w:r>
        <w:t xml:space="preserve"> </w:t>
      </w:r>
      <w:r w:rsidRPr="00730E06">
        <w:t>opper</w:t>
      </w:r>
      <w:r w:rsidR="00711296">
        <w:softHyphen/>
      </w:r>
      <w:r w:rsidRPr="00730E06">
        <w:t>vlakte</w:t>
      </w:r>
    </w:p>
    <w:tbl>
      <w:tblPr>
        <w:tblStyle w:val="LightShading1"/>
        <w:tblW w:w="5000" w:type="pct"/>
        <w:tblLayout w:type="fixed"/>
        <w:tblLook w:val="0420" w:firstRow="1" w:lastRow="0" w:firstColumn="0" w:lastColumn="0" w:noHBand="0" w:noVBand="1"/>
      </w:tblPr>
      <w:tblGrid>
        <w:gridCol w:w="1130"/>
        <w:gridCol w:w="3390"/>
        <w:gridCol w:w="1130"/>
        <w:gridCol w:w="3390"/>
      </w:tblGrid>
      <w:tr w:rsidR="00B57A01" w:rsidRPr="00730E06" w:rsidTr="00B57A01">
        <w:trPr>
          <w:cnfStyle w:val="100000000000" w:firstRow="1" w:lastRow="0" w:firstColumn="0" w:lastColumn="0" w:oddVBand="0" w:evenVBand="0" w:oddHBand="0" w:evenHBand="0" w:firstRowFirstColumn="0" w:firstRowLastColumn="0" w:lastRowFirstColumn="0" w:lastRowLastColumn="0"/>
          <w:trHeight w:val="227"/>
        </w:trPr>
        <w:tc>
          <w:tcPr>
            <w:tcW w:w="5000" w:type="pct"/>
            <w:gridSpan w:val="4"/>
            <w:tcBorders>
              <w:bottom w:val="single" w:sz="4" w:space="0" w:color="808080"/>
            </w:tcBorders>
            <w:vAlign w:val="top"/>
            <w:hideMark/>
          </w:tcPr>
          <w:p w:rsidR="00B57A01" w:rsidRPr="00730E06" w:rsidRDefault="00B57A01" w:rsidP="00B57A01">
            <w:pPr>
              <w:pStyle w:val="Tabel-Tekst"/>
              <w:keepNext w:val="0"/>
              <w:ind w:right="0"/>
            </w:pPr>
            <w:r w:rsidRPr="00730E06">
              <w:t xml:space="preserve">Verschillende ruimtes volgens GWO </w:t>
            </w:r>
            <w:r w:rsidR="00804CBF" w:rsidRPr="00730E06">
              <w:t>classificatie</w:t>
            </w:r>
          </w:p>
        </w:tc>
      </w:tr>
      <w:tr w:rsidR="00B57A01" w:rsidRPr="00730E06" w:rsidTr="00B57A01">
        <w:trPr>
          <w:trHeight w:val="227"/>
        </w:trPr>
        <w:tc>
          <w:tcPr>
            <w:tcW w:w="625" w:type="pct"/>
            <w:tcBorders>
              <w:top w:val="single" w:sz="4" w:space="0" w:color="808080"/>
              <w:bottom w:val="single" w:sz="12" w:space="0" w:color="808080"/>
            </w:tcBorders>
            <w:vAlign w:val="top"/>
            <w:hideMark/>
          </w:tcPr>
          <w:p w:rsidR="00B57A01" w:rsidRPr="00A82603" w:rsidRDefault="00B57A01" w:rsidP="00B57A01">
            <w:pPr>
              <w:pStyle w:val="Tabel-Tekst"/>
              <w:keepNext w:val="0"/>
              <w:ind w:right="0"/>
              <w:rPr>
                <w:b/>
              </w:rPr>
            </w:pPr>
            <w:r w:rsidRPr="00A82603">
              <w:rPr>
                <w:b/>
              </w:rPr>
              <w:t>Oppervlakte</w:t>
            </w:r>
          </w:p>
        </w:tc>
        <w:tc>
          <w:tcPr>
            <w:tcW w:w="1875" w:type="pct"/>
            <w:tcBorders>
              <w:top w:val="single" w:sz="4" w:space="0" w:color="808080"/>
              <w:bottom w:val="single" w:sz="12" w:space="0" w:color="808080"/>
            </w:tcBorders>
            <w:vAlign w:val="top"/>
            <w:hideMark/>
          </w:tcPr>
          <w:p w:rsidR="00B57A01" w:rsidRPr="00A82603" w:rsidRDefault="00B57A01" w:rsidP="00B57A01">
            <w:pPr>
              <w:pStyle w:val="Tabel-Tekst"/>
              <w:keepNext w:val="0"/>
              <w:ind w:right="0"/>
              <w:rPr>
                <w:b/>
              </w:rPr>
            </w:pPr>
            <w:r w:rsidRPr="00A82603">
              <w:rPr>
                <w:b/>
              </w:rPr>
              <w:t>Type</w:t>
            </w:r>
          </w:p>
        </w:tc>
        <w:tc>
          <w:tcPr>
            <w:tcW w:w="625" w:type="pct"/>
            <w:tcBorders>
              <w:top w:val="single" w:sz="4" w:space="0" w:color="808080"/>
              <w:bottom w:val="single" w:sz="12" w:space="0" w:color="808080"/>
            </w:tcBorders>
            <w:vAlign w:val="top"/>
            <w:hideMark/>
          </w:tcPr>
          <w:p w:rsidR="00B57A01" w:rsidRPr="00A82603" w:rsidRDefault="00B57A01" w:rsidP="00B57A01">
            <w:pPr>
              <w:pStyle w:val="Tabel-Tekst"/>
              <w:keepNext w:val="0"/>
              <w:ind w:right="0"/>
              <w:rPr>
                <w:b/>
              </w:rPr>
            </w:pPr>
            <w:r w:rsidRPr="00A82603">
              <w:rPr>
                <w:b/>
              </w:rPr>
              <w:t>Oppervlakte</w:t>
            </w:r>
          </w:p>
        </w:tc>
        <w:tc>
          <w:tcPr>
            <w:tcW w:w="1875" w:type="pct"/>
            <w:tcBorders>
              <w:top w:val="single" w:sz="4" w:space="0" w:color="808080"/>
              <w:bottom w:val="single" w:sz="12" w:space="0" w:color="808080"/>
            </w:tcBorders>
            <w:vAlign w:val="top"/>
            <w:hideMark/>
          </w:tcPr>
          <w:p w:rsidR="00B57A01" w:rsidRPr="00A82603" w:rsidRDefault="00B57A01" w:rsidP="00B57A01">
            <w:pPr>
              <w:pStyle w:val="Tabel-Tekst"/>
              <w:keepNext w:val="0"/>
              <w:ind w:right="0"/>
              <w:rPr>
                <w:b/>
              </w:rPr>
            </w:pPr>
            <w:r w:rsidRPr="00A82603">
              <w:rPr>
                <w:b/>
              </w:rPr>
              <w:t>Type</w:t>
            </w:r>
          </w:p>
        </w:tc>
      </w:tr>
      <w:tr w:rsidR="00B57A01" w:rsidRPr="00730E06" w:rsidTr="00B57A01">
        <w:trPr>
          <w:trHeight w:val="227"/>
        </w:trPr>
        <w:tc>
          <w:tcPr>
            <w:tcW w:w="625" w:type="pct"/>
            <w:tcBorders>
              <w:top w:val="single" w:sz="12" w:space="0" w:color="808080"/>
            </w:tcBorders>
            <w:vAlign w:val="top"/>
          </w:tcPr>
          <w:p w:rsidR="00B57A01" w:rsidRPr="00730E06" w:rsidRDefault="00B57A01" w:rsidP="00B57A01">
            <w:pPr>
              <w:pStyle w:val="Tabel-Tekst"/>
              <w:keepNext w:val="0"/>
              <w:ind w:right="0"/>
            </w:pPr>
            <w:r w:rsidRPr="00730E06">
              <w:t>1</w:t>
            </w:r>
          </w:p>
        </w:tc>
        <w:tc>
          <w:tcPr>
            <w:tcW w:w="1875" w:type="pct"/>
            <w:tcBorders>
              <w:top w:val="single" w:sz="12" w:space="0" w:color="808080"/>
            </w:tcBorders>
            <w:vAlign w:val="top"/>
            <w:hideMark/>
          </w:tcPr>
          <w:p w:rsidR="00B57A01" w:rsidRPr="00730E06" w:rsidRDefault="00B57A01" w:rsidP="00B57A01">
            <w:pPr>
              <w:pStyle w:val="Tabel-Tekst"/>
              <w:keepNext w:val="0"/>
              <w:ind w:right="0"/>
            </w:pPr>
            <w:r w:rsidRPr="00730E06">
              <w:t>Woonkamer</w:t>
            </w:r>
          </w:p>
        </w:tc>
        <w:tc>
          <w:tcPr>
            <w:tcW w:w="625" w:type="pct"/>
            <w:tcBorders>
              <w:top w:val="single" w:sz="12" w:space="0" w:color="808080"/>
            </w:tcBorders>
            <w:vAlign w:val="top"/>
            <w:hideMark/>
          </w:tcPr>
          <w:p w:rsidR="00B57A01" w:rsidRPr="00730E06" w:rsidRDefault="00B57A01" w:rsidP="00B57A01">
            <w:pPr>
              <w:pStyle w:val="Tabel-Tekst"/>
              <w:keepNext w:val="0"/>
              <w:ind w:right="0"/>
            </w:pPr>
            <w:r w:rsidRPr="00730E06">
              <w:t>3</w:t>
            </w:r>
          </w:p>
        </w:tc>
        <w:tc>
          <w:tcPr>
            <w:tcW w:w="1875" w:type="pct"/>
            <w:tcBorders>
              <w:top w:val="single" w:sz="12" w:space="0" w:color="808080"/>
            </w:tcBorders>
            <w:vAlign w:val="top"/>
            <w:hideMark/>
          </w:tcPr>
          <w:p w:rsidR="00B57A01" w:rsidRPr="00730E06" w:rsidRDefault="00B57A01" w:rsidP="00B57A01">
            <w:pPr>
              <w:pStyle w:val="Tabel-Tekst"/>
              <w:keepNext w:val="0"/>
              <w:ind w:right="0"/>
            </w:pPr>
            <w:r w:rsidRPr="00730E06">
              <w:t>Berging</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Eetkamer</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Wasplaats</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 xml:space="preserve">Zitkamer </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Garage</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Hobbykamer</w:t>
            </w:r>
          </w:p>
        </w:tc>
        <w:tc>
          <w:tcPr>
            <w:tcW w:w="625" w:type="pct"/>
            <w:vAlign w:val="top"/>
            <w:hideMark/>
          </w:tcPr>
          <w:p w:rsidR="00B57A01" w:rsidRPr="00730E06" w:rsidRDefault="00B57A01" w:rsidP="00B57A01">
            <w:pPr>
              <w:pStyle w:val="Tabel-Tekst"/>
              <w:keepNext w:val="0"/>
              <w:ind w:right="0"/>
            </w:pPr>
            <w:r w:rsidRPr="00730E06">
              <w:t>2</w:t>
            </w:r>
          </w:p>
        </w:tc>
        <w:tc>
          <w:tcPr>
            <w:tcW w:w="1875" w:type="pct"/>
            <w:vAlign w:val="top"/>
            <w:hideMark/>
          </w:tcPr>
          <w:p w:rsidR="00B57A01" w:rsidRPr="00730E06" w:rsidRDefault="00B57A01" w:rsidP="00B57A01">
            <w:pPr>
              <w:pStyle w:val="Tabel-Tekst"/>
              <w:keepNext w:val="0"/>
              <w:ind w:right="0"/>
            </w:pPr>
            <w:r w:rsidRPr="00730E06">
              <w:t>Veranda</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Bureau</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Toilet</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Speelkamer</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Trap (vaste)</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Slaapkamer</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Elektrische installatie</w:t>
            </w:r>
          </w:p>
        </w:tc>
      </w:tr>
      <w:tr w:rsidR="00B57A01" w:rsidRPr="00730E06" w:rsidTr="00B57A01">
        <w:trPr>
          <w:trHeight w:val="227"/>
        </w:trPr>
        <w:tc>
          <w:tcPr>
            <w:tcW w:w="625" w:type="pct"/>
            <w:vAlign w:val="top"/>
          </w:tcPr>
          <w:p w:rsidR="00B57A01" w:rsidRPr="00730E06" w:rsidRDefault="00B57A01" w:rsidP="00B57A01">
            <w:pPr>
              <w:pStyle w:val="Tabel-Tekst"/>
              <w:keepNext w:val="0"/>
              <w:ind w:right="0"/>
            </w:pPr>
            <w:r w:rsidRPr="00730E06">
              <w:t>1</w:t>
            </w:r>
          </w:p>
        </w:tc>
        <w:tc>
          <w:tcPr>
            <w:tcW w:w="1875" w:type="pct"/>
            <w:vAlign w:val="top"/>
            <w:hideMark/>
          </w:tcPr>
          <w:p w:rsidR="00B57A01" w:rsidRPr="00730E06" w:rsidRDefault="00B57A01" w:rsidP="00B57A01">
            <w:pPr>
              <w:pStyle w:val="Tabel-Tekst"/>
              <w:keepNext w:val="0"/>
              <w:ind w:right="0"/>
            </w:pPr>
            <w:r w:rsidRPr="00730E06">
              <w:t>Keuken</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Verwarmingsinstallatie</w:t>
            </w:r>
          </w:p>
        </w:tc>
      </w:tr>
      <w:tr w:rsidR="00B57A01" w:rsidRPr="00730E06" w:rsidTr="00B57A01">
        <w:trPr>
          <w:trHeight w:val="227"/>
        </w:trPr>
        <w:tc>
          <w:tcPr>
            <w:tcW w:w="625" w:type="pct"/>
            <w:vAlign w:val="top"/>
            <w:hideMark/>
          </w:tcPr>
          <w:p w:rsidR="00B57A01" w:rsidRPr="00730E06" w:rsidRDefault="00B57A01" w:rsidP="00B57A01">
            <w:pPr>
              <w:pStyle w:val="Tabel-Tekst"/>
              <w:keepNext w:val="0"/>
              <w:ind w:right="0"/>
            </w:pPr>
            <w:r w:rsidRPr="00730E06">
              <w:t>2</w:t>
            </w:r>
          </w:p>
        </w:tc>
        <w:tc>
          <w:tcPr>
            <w:tcW w:w="1875" w:type="pct"/>
            <w:vAlign w:val="top"/>
            <w:hideMark/>
          </w:tcPr>
          <w:p w:rsidR="00B57A01" w:rsidRPr="00730E06" w:rsidRDefault="00B57A01" w:rsidP="00B57A01">
            <w:pPr>
              <w:pStyle w:val="Tabel-Tekst"/>
              <w:keepNext w:val="0"/>
              <w:ind w:right="0"/>
            </w:pPr>
            <w:r w:rsidRPr="00730E06">
              <w:t>Badkamer</w:t>
            </w:r>
          </w:p>
        </w:tc>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Bijkomende Gasgeiser</w:t>
            </w:r>
          </w:p>
        </w:tc>
      </w:tr>
      <w:tr w:rsidR="00B57A01" w:rsidRPr="00730E06" w:rsidTr="00B57A01">
        <w:trPr>
          <w:trHeight w:val="227"/>
        </w:trPr>
        <w:tc>
          <w:tcPr>
            <w:tcW w:w="625" w:type="pct"/>
            <w:vAlign w:val="top"/>
            <w:hideMark/>
          </w:tcPr>
          <w:p w:rsidR="00B57A01" w:rsidRPr="00730E06" w:rsidRDefault="00B57A01" w:rsidP="00B57A01">
            <w:pPr>
              <w:pStyle w:val="Tabel-Tekst"/>
              <w:keepNext w:val="0"/>
              <w:ind w:right="0"/>
            </w:pPr>
            <w:r w:rsidRPr="00730E06">
              <w:t>2</w:t>
            </w:r>
          </w:p>
        </w:tc>
        <w:tc>
          <w:tcPr>
            <w:tcW w:w="1875" w:type="pct"/>
            <w:vAlign w:val="top"/>
            <w:hideMark/>
          </w:tcPr>
          <w:p w:rsidR="00B57A01" w:rsidRPr="00730E06" w:rsidRDefault="00B57A01" w:rsidP="00B57A01">
            <w:pPr>
              <w:pStyle w:val="Tabel-Tekst"/>
              <w:keepNext w:val="0"/>
              <w:ind w:right="0"/>
            </w:pPr>
            <w:r w:rsidRPr="00730E06">
              <w:t>Leegstaand</w:t>
            </w:r>
          </w:p>
        </w:tc>
        <w:tc>
          <w:tcPr>
            <w:tcW w:w="625" w:type="pct"/>
            <w:vAlign w:val="top"/>
            <w:hideMark/>
          </w:tcPr>
          <w:p w:rsidR="00B57A01" w:rsidRPr="00730E06" w:rsidRDefault="00B57A01" w:rsidP="00B57A01">
            <w:pPr>
              <w:pStyle w:val="Tabel-Tekst"/>
              <w:keepNext w:val="0"/>
              <w:ind w:right="0"/>
            </w:pPr>
            <w:r w:rsidRPr="00730E06">
              <w:t>4</w:t>
            </w:r>
          </w:p>
        </w:tc>
        <w:tc>
          <w:tcPr>
            <w:tcW w:w="1875" w:type="pct"/>
            <w:vAlign w:val="top"/>
            <w:hideMark/>
          </w:tcPr>
          <w:p w:rsidR="00B57A01" w:rsidRPr="00730E06" w:rsidRDefault="00B57A01" w:rsidP="00B57A01">
            <w:pPr>
              <w:pStyle w:val="Tabel-Tekst"/>
              <w:keepNext w:val="0"/>
              <w:ind w:right="0"/>
            </w:pPr>
            <w:r w:rsidRPr="00730E06">
              <w:t xml:space="preserve">Kelder </w:t>
            </w:r>
          </w:p>
        </w:tc>
      </w:tr>
      <w:tr w:rsidR="00B57A01" w:rsidRPr="00730E06" w:rsidTr="00B57A01">
        <w:trPr>
          <w:trHeight w:val="227"/>
        </w:trPr>
        <w:tc>
          <w:tcPr>
            <w:tcW w:w="625" w:type="pct"/>
            <w:vAlign w:val="top"/>
            <w:hideMark/>
          </w:tcPr>
          <w:p w:rsidR="00B57A01" w:rsidRPr="00730E06" w:rsidRDefault="00B57A01" w:rsidP="00B57A01">
            <w:pPr>
              <w:pStyle w:val="Tabel-Tekst"/>
              <w:keepNext w:val="0"/>
              <w:ind w:right="0"/>
            </w:pPr>
            <w:r w:rsidRPr="00730E06">
              <w:t>3</w:t>
            </w:r>
          </w:p>
        </w:tc>
        <w:tc>
          <w:tcPr>
            <w:tcW w:w="1875" w:type="pct"/>
            <w:vAlign w:val="top"/>
            <w:hideMark/>
          </w:tcPr>
          <w:p w:rsidR="00B57A01" w:rsidRPr="00730E06" w:rsidRDefault="00B57A01" w:rsidP="00B57A01">
            <w:pPr>
              <w:pStyle w:val="Tabel-Tekst"/>
              <w:keepNext w:val="0"/>
              <w:ind w:right="0"/>
            </w:pPr>
            <w:r w:rsidRPr="00730E06">
              <w:t>Inkomhal</w:t>
            </w:r>
          </w:p>
        </w:tc>
        <w:tc>
          <w:tcPr>
            <w:tcW w:w="625" w:type="pct"/>
            <w:vAlign w:val="top"/>
            <w:hideMark/>
          </w:tcPr>
          <w:p w:rsidR="00B57A01" w:rsidRPr="00730E06" w:rsidRDefault="00B57A01" w:rsidP="00B57A01">
            <w:pPr>
              <w:pStyle w:val="Tabel-Tekst"/>
              <w:keepNext w:val="0"/>
              <w:ind w:right="0"/>
            </w:pPr>
            <w:r w:rsidRPr="00730E06">
              <w:t>4</w:t>
            </w:r>
          </w:p>
        </w:tc>
        <w:tc>
          <w:tcPr>
            <w:tcW w:w="1875" w:type="pct"/>
            <w:vAlign w:val="top"/>
            <w:hideMark/>
          </w:tcPr>
          <w:p w:rsidR="00B57A01" w:rsidRPr="00730E06" w:rsidRDefault="00B57A01" w:rsidP="00B57A01">
            <w:pPr>
              <w:pStyle w:val="Tabel-Tekst"/>
              <w:keepNext w:val="0"/>
              <w:ind w:right="0"/>
            </w:pPr>
            <w:r w:rsidRPr="00730E06">
              <w:t>Zolder (indien niet ingericht</w:t>
            </w:r>
            <w:r>
              <w:t>, </w:t>
            </w:r>
            <w:r w:rsidRPr="00730E06">
              <w:t>…)</w:t>
            </w:r>
          </w:p>
        </w:tc>
      </w:tr>
      <w:tr w:rsidR="00B57A01" w:rsidRPr="00730E06" w:rsidTr="00B57A01">
        <w:trPr>
          <w:trHeight w:val="227"/>
        </w:trPr>
        <w:tc>
          <w:tcPr>
            <w:tcW w:w="625" w:type="pct"/>
            <w:tcBorders>
              <w:bottom w:val="double" w:sz="4" w:space="0" w:color="808080"/>
            </w:tcBorders>
            <w:vAlign w:val="top"/>
            <w:hideMark/>
          </w:tcPr>
          <w:p w:rsidR="00B57A01" w:rsidRPr="00730E06" w:rsidRDefault="00B57A01" w:rsidP="00B57A01">
            <w:pPr>
              <w:pStyle w:val="Tabel-Tekst"/>
              <w:keepNext w:val="0"/>
              <w:ind w:right="0"/>
            </w:pPr>
            <w:r w:rsidRPr="00730E06">
              <w:t>3</w:t>
            </w:r>
          </w:p>
        </w:tc>
        <w:tc>
          <w:tcPr>
            <w:tcW w:w="1875" w:type="pct"/>
            <w:tcBorders>
              <w:bottom w:val="double" w:sz="4" w:space="0" w:color="808080"/>
            </w:tcBorders>
            <w:vAlign w:val="top"/>
            <w:hideMark/>
          </w:tcPr>
          <w:p w:rsidR="00B57A01" w:rsidRPr="00730E06" w:rsidRDefault="00B57A01" w:rsidP="00B57A01">
            <w:pPr>
              <w:pStyle w:val="Tabel-Tekst"/>
              <w:keepNext w:val="0"/>
              <w:ind w:right="0"/>
            </w:pPr>
            <w:r w:rsidRPr="00730E06">
              <w:t>Circulatieruimte (gang/overloop)</w:t>
            </w:r>
          </w:p>
        </w:tc>
        <w:tc>
          <w:tcPr>
            <w:tcW w:w="625" w:type="pct"/>
            <w:tcBorders>
              <w:bottom w:val="double" w:sz="4" w:space="0" w:color="808080"/>
            </w:tcBorders>
            <w:vAlign w:val="top"/>
            <w:hideMark/>
          </w:tcPr>
          <w:p w:rsidR="00B57A01" w:rsidRPr="00730E06" w:rsidRDefault="00B57A01" w:rsidP="00B57A01">
            <w:pPr>
              <w:pStyle w:val="Tabel-Tekst"/>
              <w:keepNext w:val="0"/>
              <w:ind w:right="0"/>
            </w:pPr>
            <w:r w:rsidRPr="00730E06">
              <w:t> </w:t>
            </w:r>
          </w:p>
        </w:tc>
        <w:tc>
          <w:tcPr>
            <w:tcW w:w="1875" w:type="pct"/>
            <w:tcBorders>
              <w:bottom w:val="double" w:sz="4" w:space="0" w:color="808080"/>
            </w:tcBorders>
            <w:vAlign w:val="top"/>
            <w:hideMark/>
          </w:tcPr>
          <w:p w:rsidR="00B57A01" w:rsidRPr="00730E06" w:rsidRDefault="00B57A01" w:rsidP="00B57A01">
            <w:pPr>
              <w:pStyle w:val="Tabel-Tekst"/>
              <w:keepNext w:val="0"/>
              <w:ind w:right="0"/>
            </w:pPr>
            <w:r w:rsidRPr="00730E06">
              <w:t> </w:t>
            </w:r>
          </w:p>
        </w:tc>
      </w:tr>
      <w:tr w:rsidR="00B57A01" w:rsidRPr="00730E06" w:rsidTr="00B57A01">
        <w:trPr>
          <w:trHeight w:val="227"/>
        </w:trPr>
        <w:tc>
          <w:tcPr>
            <w:tcW w:w="625" w:type="pct"/>
            <w:tcBorders>
              <w:top w:val="double" w:sz="4" w:space="0" w:color="808080"/>
              <w:bottom w:val="nil"/>
            </w:tcBorders>
            <w:vAlign w:val="top"/>
            <w:hideMark/>
          </w:tcPr>
          <w:p w:rsidR="00B57A01" w:rsidRPr="00730E06" w:rsidRDefault="00B57A01" w:rsidP="00B57A01">
            <w:pPr>
              <w:pStyle w:val="Tabel-Tekst"/>
              <w:keepNext w:val="0"/>
              <w:ind w:right="0"/>
            </w:pPr>
            <w:r w:rsidRPr="00730E06">
              <w:t>&lt; =1</w:t>
            </w:r>
          </w:p>
        </w:tc>
        <w:tc>
          <w:tcPr>
            <w:tcW w:w="4375" w:type="pct"/>
            <w:gridSpan w:val="3"/>
            <w:tcBorders>
              <w:top w:val="double" w:sz="4" w:space="0" w:color="808080"/>
              <w:bottom w:val="nil"/>
            </w:tcBorders>
            <w:vAlign w:val="top"/>
            <w:hideMark/>
          </w:tcPr>
          <w:p w:rsidR="00B57A01" w:rsidRPr="00730E06" w:rsidRDefault="00B57A01" w:rsidP="00B57A01">
            <w:pPr>
              <w:pStyle w:val="Tabel-Tekst"/>
              <w:keepNext w:val="0"/>
              <w:ind w:right="0"/>
            </w:pPr>
            <w:r w:rsidRPr="00730E06">
              <w:t>Vergelijking Census 2001 ( GWO Vanderstraeten e</w:t>
            </w:r>
            <w:r>
              <w:t xml:space="preserve">t </w:t>
            </w:r>
            <w:r w:rsidRPr="00730E06">
              <w:t>a</w:t>
            </w:r>
            <w:r>
              <w:t>l</w:t>
            </w:r>
            <w:r w:rsidRPr="00730E06">
              <w:t>.)</w:t>
            </w:r>
          </w:p>
        </w:tc>
      </w:tr>
      <w:tr w:rsidR="00B57A01" w:rsidRPr="00730E06" w:rsidTr="00B57A01">
        <w:trPr>
          <w:trHeight w:val="227"/>
        </w:trPr>
        <w:tc>
          <w:tcPr>
            <w:tcW w:w="625" w:type="pct"/>
            <w:tcBorders>
              <w:top w:val="nil"/>
            </w:tcBorders>
            <w:vAlign w:val="top"/>
            <w:hideMark/>
          </w:tcPr>
          <w:p w:rsidR="00B57A01" w:rsidRPr="00730E06" w:rsidRDefault="00B57A01" w:rsidP="00B57A01">
            <w:pPr>
              <w:pStyle w:val="Tabel-Tekst"/>
              <w:keepNext w:val="0"/>
              <w:ind w:right="0"/>
            </w:pPr>
            <w:r w:rsidRPr="00730E06">
              <w:t>&lt;= 2</w:t>
            </w:r>
          </w:p>
        </w:tc>
        <w:tc>
          <w:tcPr>
            <w:tcW w:w="4375" w:type="pct"/>
            <w:gridSpan w:val="3"/>
            <w:tcBorders>
              <w:top w:val="nil"/>
            </w:tcBorders>
            <w:vAlign w:val="top"/>
            <w:hideMark/>
          </w:tcPr>
          <w:p w:rsidR="00B57A01" w:rsidRPr="00730E06" w:rsidRDefault="00B57A01" w:rsidP="00B57A01">
            <w:pPr>
              <w:pStyle w:val="Tabel-Tekst"/>
              <w:keepNext w:val="0"/>
              <w:ind w:right="0"/>
            </w:pPr>
            <w:proofErr w:type="spellStart"/>
            <w:r w:rsidRPr="00730E06">
              <w:t>Hedonische</w:t>
            </w:r>
            <w:proofErr w:type="spellEnd"/>
            <w:r w:rsidRPr="00730E06">
              <w:t xml:space="preserve"> prijsanalyses (GWO)</w:t>
            </w:r>
          </w:p>
        </w:tc>
      </w:tr>
      <w:tr w:rsidR="00B57A01" w:rsidRPr="00730E06" w:rsidTr="00B57A01">
        <w:trPr>
          <w:trHeight w:val="227"/>
        </w:trPr>
        <w:tc>
          <w:tcPr>
            <w:tcW w:w="625" w:type="pct"/>
            <w:vAlign w:val="top"/>
            <w:hideMark/>
          </w:tcPr>
          <w:p w:rsidR="00B57A01" w:rsidRPr="00730E06" w:rsidRDefault="00B57A01" w:rsidP="00B57A01">
            <w:pPr>
              <w:pStyle w:val="Tabel-Tekst"/>
              <w:keepNext w:val="0"/>
              <w:ind w:right="0"/>
            </w:pPr>
            <w:r w:rsidRPr="00730E06">
              <w:t>&lt;= 3</w:t>
            </w:r>
          </w:p>
        </w:tc>
        <w:tc>
          <w:tcPr>
            <w:tcW w:w="4375" w:type="pct"/>
            <w:gridSpan w:val="3"/>
            <w:vAlign w:val="top"/>
            <w:hideMark/>
          </w:tcPr>
          <w:p w:rsidR="00B57A01" w:rsidRPr="00730E06" w:rsidRDefault="00B57A01" w:rsidP="00B57A01">
            <w:pPr>
              <w:pStyle w:val="Tabel-Tekst"/>
              <w:keepNext w:val="0"/>
              <w:ind w:right="0"/>
            </w:pPr>
            <w:r w:rsidRPr="00730E06">
              <w:t xml:space="preserve">Huurschatter 1.0 </w:t>
            </w:r>
          </w:p>
        </w:tc>
      </w:tr>
      <w:tr w:rsidR="00B57A01" w:rsidRPr="00730E06" w:rsidTr="00B57A01">
        <w:trPr>
          <w:trHeight w:val="227"/>
        </w:trPr>
        <w:tc>
          <w:tcPr>
            <w:tcW w:w="625" w:type="pct"/>
            <w:vAlign w:val="top"/>
            <w:hideMark/>
          </w:tcPr>
          <w:p w:rsidR="00B57A01" w:rsidRPr="00730E06" w:rsidRDefault="00B57A01" w:rsidP="00B57A01">
            <w:pPr>
              <w:pStyle w:val="Tabel-Tekst"/>
              <w:keepNext w:val="0"/>
              <w:ind w:right="0"/>
            </w:pPr>
            <w:r w:rsidRPr="00730E06">
              <w:t>&lt;= 4</w:t>
            </w:r>
          </w:p>
        </w:tc>
        <w:tc>
          <w:tcPr>
            <w:tcW w:w="4375" w:type="pct"/>
            <w:gridSpan w:val="3"/>
            <w:vAlign w:val="top"/>
            <w:hideMark/>
          </w:tcPr>
          <w:p w:rsidR="00B57A01" w:rsidRPr="00730E06" w:rsidRDefault="00B57A01" w:rsidP="00B57A01">
            <w:pPr>
              <w:pStyle w:val="Tabel-Tekst"/>
              <w:keepNext w:val="0"/>
              <w:keepLines/>
              <w:ind w:right="0"/>
            </w:pPr>
            <w:r w:rsidRPr="00730E06">
              <w:t>Huurschatter 2.0</w:t>
            </w:r>
          </w:p>
        </w:tc>
      </w:tr>
    </w:tbl>
    <w:p w:rsidR="0008544A" w:rsidRPr="006F3930" w:rsidRDefault="0008544A" w:rsidP="00B57A01">
      <w:r w:rsidRPr="006F3930">
        <w:t xml:space="preserve">Dit zorgt er uiteraard voor dat de oppervlakte verschillend is naargelang de definitie. </w:t>
      </w:r>
      <w:r>
        <w:t>Op basis van het GWO kunnen we nagaan welke verschillen er zijn afhankelijk van de definitie. Zo zien we dat voor een eengezinswoning de gemiddelde oppervlakte 100</w:t>
      </w:r>
      <w:r w:rsidR="00A82603">
        <w:t> </w:t>
      </w:r>
      <w:r>
        <w:t>m² is voor alle woningen, terwijl dit 110</w:t>
      </w:r>
      <w:r w:rsidR="00A82603">
        <w:t> </w:t>
      </w:r>
      <w:r>
        <w:t>m² bedraagt bij een iets bredere definitie. Naar gelang er meer ruimten opgenomen worden zal dit oppervlakte uiteraard nog stijgen. Meer specifiek laat het ook toe om de verschillen tussen sociale en private huur</w:t>
      </w:r>
      <w:r w:rsidR="00711296">
        <w:softHyphen/>
      </w:r>
      <w:r>
        <w:t xml:space="preserve">woningen na te gaan. Hier blijkt een duidelijk verschil te zijn. Bovendien kan men verwachten dat in iets grotere mate het grotere segment van de private huurmarkt van de </w:t>
      </w:r>
      <w:r w:rsidR="0024544F">
        <w:t>Huurschatter</w:t>
      </w:r>
      <w:r>
        <w:t xml:space="preserve"> gebruik gemaakt heeft. Aangezien ook sociale woningen bevraagd zijn via de </w:t>
      </w:r>
      <w:r w:rsidR="0024544F">
        <w:t>Huurschatter</w:t>
      </w:r>
      <w:r>
        <w:t xml:space="preserve"> zien we dat het verschil in oppervlakte daar nog groter is. </w:t>
      </w:r>
    </w:p>
    <w:p w:rsidR="0008544A" w:rsidRPr="0002241A" w:rsidRDefault="00A82603" w:rsidP="0008544A">
      <w:pPr>
        <w:pStyle w:val="Caption"/>
      </w:pPr>
      <w:r>
        <w:t>Tabel</w:t>
      </w:r>
      <w:r w:rsidRPr="009E1119">
        <w:t xml:space="preserve"> </w:t>
      </w:r>
      <w:r w:rsidR="00301DB0">
        <w:fldChar w:fldCharType="begin"/>
      </w:r>
      <w:r w:rsidR="00301DB0">
        <w:instrText xml:space="preserve"> SEQ Tabel \* ARABIC </w:instrText>
      </w:r>
      <w:r w:rsidR="00301DB0">
        <w:fldChar w:fldCharType="separate"/>
      </w:r>
      <w:r w:rsidR="00A65B8D">
        <w:rPr>
          <w:noProof/>
        </w:rPr>
        <w:t>8</w:t>
      </w:r>
      <w:r w:rsidR="00301DB0">
        <w:rPr>
          <w:noProof/>
        </w:rPr>
        <w:fldChar w:fldCharType="end"/>
      </w:r>
      <w:r w:rsidRPr="009E1119">
        <w:tab/>
      </w:r>
      <w:r w:rsidRPr="00A82603">
        <w:t>Gemiddelde oppervlakte per type woning volgens verschillende definities</w:t>
      </w:r>
    </w:p>
    <w:tbl>
      <w:tblPr>
        <w:tblStyle w:val="LightShading1"/>
        <w:tblW w:w="5000" w:type="pct"/>
        <w:tblLayout w:type="fixed"/>
        <w:tblLook w:val="0420" w:firstRow="1" w:lastRow="0" w:firstColumn="0" w:lastColumn="0" w:noHBand="0" w:noVBand="1"/>
      </w:tblPr>
      <w:tblGrid>
        <w:gridCol w:w="4520"/>
        <w:gridCol w:w="2262"/>
        <w:gridCol w:w="2258"/>
      </w:tblGrid>
      <w:tr w:rsidR="0008544A" w:rsidRPr="00A82603" w:rsidTr="0039121F">
        <w:trPr>
          <w:cnfStyle w:val="100000000000" w:firstRow="1" w:lastRow="0" w:firstColumn="0" w:lastColumn="0" w:oddVBand="0" w:evenVBand="0" w:oddHBand="0" w:evenHBand="0" w:firstRowFirstColumn="0" w:firstRowLastColumn="0" w:lastRowFirstColumn="0" w:lastRowLastColumn="0"/>
          <w:trHeight w:val="227"/>
        </w:trPr>
        <w:tc>
          <w:tcPr>
            <w:tcW w:w="2500" w:type="pct"/>
            <w:vAlign w:val="top"/>
            <w:hideMark/>
          </w:tcPr>
          <w:p w:rsidR="0008544A" w:rsidRPr="00A82603" w:rsidRDefault="0008544A" w:rsidP="00A82603">
            <w:pPr>
              <w:pStyle w:val="Tabel-Tekst"/>
            </w:pPr>
          </w:p>
        </w:tc>
        <w:tc>
          <w:tcPr>
            <w:tcW w:w="1251" w:type="pct"/>
            <w:vAlign w:val="top"/>
            <w:hideMark/>
          </w:tcPr>
          <w:p w:rsidR="0008544A" w:rsidRPr="00A82603" w:rsidRDefault="0008544A" w:rsidP="00A82603">
            <w:pPr>
              <w:pStyle w:val="Tabel-Tekst"/>
              <w:jc w:val="center"/>
            </w:pPr>
            <w:r w:rsidRPr="00A82603">
              <w:t>Eengezinswoning</w:t>
            </w:r>
          </w:p>
        </w:tc>
        <w:tc>
          <w:tcPr>
            <w:tcW w:w="1250" w:type="pct"/>
            <w:vAlign w:val="top"/>
            <w:hideMark/>
          </w:tcPr>
          <w:p w:rsidR="0008544A" w:rsidRPr="00A82603" w:rsidRDefault="00A82603" w:rsidP="00A82603">
            <w:pPr>
              <w:pStyle w:val="Tabel-Tekst"/>
              <w:jc w:val="center"/>
            </w:pPr>
            <w:r>
              <w:t>A</w:t>
            </w:r>
            <w:r w:rsidR="0008544A" w:rsidRPr="00A82603">
              <w:t>ppartement</w:t>
            </w:r>
          </w:p>
        </w:tc>
      </w:tr>
      <w:tr w:rsidR="0008544A" w:rsidRPr="00A82603" w:rsidTr="0039121F">
        <w:trPr>
          <w:trHeight w:val="227"/>
        </w:trPr>
        <w:tc>
          <w:tcPr>
            <w:tcW w:w="2500" w:type="pct"/>
            <w:vAlign w:val="top"/>
            <w:hideMark/>
          </w:tcPr>
          <w:p w:rsidR="0008544A" w:rsidRPr="00A82603" w:rsidRDefault="0039121F" w:rsidP="00A82603">
            <w:pPr>
              <w:pStyle w:val="Tabel-Tekst"/>
            </w:pPr>
            <w:r>
              <w:t>GWO (C</w:t>
            </w:r>
            <w:r w:rsidR="0008544A" w:rsidRPr="00A82603">
              <w:t>ensus2011)</w:t>
            </w:r>
          </w:p>
        </w:tc>
        <w:tc>
          <w:tcPr>
            <w:tcW w:w="1251" w:type="pct"/>
            <w:vAlign w:val="top"/>
            <w:hideMark/>
          </w:tcPr>
          <w:p w:rsidR="0008544A" w:rsidRPr="00A82603" w:rsidRDefault="0008544A" w:rsidP="0039121F">
            <w:pPr>
              <w:pStyle w:val="Tabel-Tekst"/>
              <w:ind w:right="1077"/>
              <w:jc w:val="right"/>
            </w:pPr>
            <w:r w:rsidRPr="00A82603">
              <w:t>100</w:t>
            </w:r>
          </w:p>
        </w:tc>
        <w:tc>
          <w:tcPr>
            <w:tcW w:w="1250" w:type="pct"/>
            <w:vAlign w:val="top"/>
            <w:hideMark/>
          </w:tcPr>
          <w:p w:rsidR="0008544A" w:rsidRPr="00A82603" w:rsidRDefault="0008544A" w:rsidP="00A82603">
            <w:pPr>
              <w:pStyle w:val="Tabel-Tekst"/>
              <w:jc w:val="center"/>
            </w:pPr>
            <w:r w:rsidRPr="00A82603">
              <w:t>64</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GWO (</w:t>
            </w:r>
            <w:proofErr w:type="spellStart"/>
            <w:r w:rsidRPr="00A82603">
              <w:t>hedonisch</w:t>
            </w:r>
            <w:proofErr w:type="spellEnd"/>
            <w:r w:rsidRPr="00A82603">
              <w:t xml:space="preserve"> alle)</w:t>
            </w:r>
          </w:p>
        </w:tc>
        <w:tc>
          <w:tcPr>
            <w:tcW w:w="1251" w:type="pct"/>
            <w:vAlign w:val="top"/>
            <w:hideMark/>
          </w:tcPr>
          <w:p w:rsidR="0008544A" w:rsidRPr="00A82603" w:rsidRDefault="0008544A" w:rsidP="0039121F">
            <w:pPr>
              <w:pStyle w:val="Tabel-Tekst"/>
              <w:ind w:right="1077"/>
              <w:jc w:val="right"/>
            </w:pPr>
            <w:r w:rsidRPr="00A82603">
              <w:t>110</w:t>
            </w:r>
          </w:p>
        </w:tc>
        <w:tc>
          <w:tcPr>
            <w:tcW w:w="1250" w:type="pct"/>
            <w:vAlign w:val="top"/>
            <w:hideMark/>
          </w:tcPr>
          <w:p w:rsidR="0008544A" w:rsidRPr="00A82603" w:rsidRDefault="0008544A" w:rsidP="00A82603">
            <w:pPr>
              <w:pStyle w:val="Tabel-Tekst"/>
              <w:jc w:val="center"/>
            </w:pPr>
            <w:r w:rsidRPr="00A82603">
              <w:t>68</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GWO (</w:t>
            </w:r>
            <w:proofErr w:type="spellStart"/>
            <w:r w:rsidRPr="00A82603">
              <w:t>hedonisch</w:t>
            </w:r>
            <w:proofErr w:type="spellEnd"/>
            <w:r w:rsidRPr="00A82603">
              <w:t xml:space="preserve"> private huur)</w:t>
            </w:r>
          </w:p>
        </w:tc>
        <w:tc>
          <w:tcPr>
            <w:tcW w:w="1251" w:type="pct"/>
            <w:vAlign w:val="top"/>
            <w:hideMark/>
          </w:tcPr>
          <w:p w:rsidR="0008544A" w:rsidRPr="00A82603" w:rsidRDefault="0008544A" w:rsidP="0039121F">
            <w:pPr>
              <w:pStyle w:val="Tabel-Tekst"/>
              <w:ind w:right="1077"/>
              <w:jc w:val="right"/>
            </w:pPr>
            <w:r w:rsidRPr="00A82603">
              <w:t>93</w:t>
            </w:r>
          </w:p>
        </w:tc>
        <w:tc>
          <w:tcPr>
            <w:tcW w:w="1250" w:type="pct"/>
            <w:vAlign w:val="top"/>
            <w:hideMark/>
          </w:tcPr>
          <w:p w:rsidR="0008544A" w:rsidRPr="00A82603" w:rsidRDefault="0008544A" w:rsidP="00A82603">
            <w:pPr>
              <w:pStyle w:val="Tabel-Tekst"/>
              <w:jc w:val="center"/>
            </w:pPr>
            <w:r w:rsidRPr="00A82603">
              <w:t>65</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GWO (</w:t>
            </w:r>
            <w:proofErr w:type="spellStart"/>
            <w:r w:rsidRPr="00A82603">
              <w:t>hedonisch</w:t>
            </w:r>
            <w:proofErr w:type="spellEnd"/>
            <w:r w:rsidRPr="00A82603">
              <w:t xml:space="preserve"> SHM)</w:t>
            </w:r>
          </w:p>
        </w:tc>
        <w:tc>
          <w:tcPr>
            <w:tcW w:w="1251" w:type="pct"/>
            <w:vAlign w:val="top"/>
            <w:hideMark/>
          </w:tcPr>
          <w:p w:rsidR="0008544A" w:rsidRPr="00A82603" w:rsidRDefault="0008544A" w:rsidP="0039121F">
            <w:pPr>
              <w:pStyle w:val="Tabel-Tekst"/>
              <w:ind w:right="1077"/>
              <w:jc w:val="right"/>
            </w:pPr>
            <w:r w:rsidRPr="00A82603">
              <w:t>76</w:t>
            </w:r>
          </w:p>
        </w:tc>
        <w:tc>
          <w:tcPr>
            <w:tcW w:w="1250" w:type="pct"/>
            <w:vAlign w:val="top"/>
            <w:hideMark/>
          </w:tcPr>
          <w:p w:rsidR="0008544A" w:rsidRPr="00A82603" w:rsidRDefault="0008544A" w:rsidP="00A82603">
            <w:pPr>
              <w:pStyle w:val="Tabel-Tekst"/>
              <w:jc w:val="center"/>
            </w:pPr>
            <w:r w:rsidRPr="00A82603">
              <w:t>59</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Huurschatter (private huur)</w:t>
            </w:r>
          </w:p>
        </w:tc>
        <w:tc>
          <w:tcPr>
            <w:tcW w:w="1251" w:type="pct"/>
            <w:vAlign w:val="top"/>
            <w:hideMark/>
          </w:tcPr>
          <w:p w:rsidR="0008544A" w:rsidRPr="00A82603" w:rsidRDefault="0008544A" w:rsidP="0039121F">
            <w:pPr>
              <w:pStyle w:val="Tabel-Tekst"/>
              <w:ind w:right="1077"/>
              <w:jc w:val="right"/>
            </w:pPr>
            <w:r w:rsidRPr="00A82603">
              <w:t>150</w:t>
            </w:r>
          </w:p>
        </w:tc>
        <w:tc>
          <w:tcPr>
            <w:tcW w:w="1250" w:type="pct"/>
            <w:vAlign w:val="top"/>
            <w:hideMark/>
          </w:tcPr>
          <w:p w:rsidR="0008544A" w:rsidRPr="00A82603" w:rsidRDefault="0008544A" w:rsidP="00A82603">
            <w:pPr>
              <w:pStyle w:val="Tabel-Tekst"/>
              <w:jc w:val="center"/>
            </w:pPr>
            <w:r w:rsidRPr="00A82603">
              <w:t>90</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Huurschatter (SHM)</w:t>
            </w:r>
          </w:p>
        </w:tc>
        <w:tc>
          <w:tcPr>
            <w:tcW w:w="1251" w:type="pct"/>
            <w:vAlign w:val="top"/>
            <w:hideMark/>
          </w:tcPr>
          <w:p w:rsidR="0008544A" w:rsidRPr="00A82603" w:rsidRDefault="0008544A" w:rsidP="0039121F">
            <w:pPr>
              <w:pStyle w:val="Tabel-Tekst"/>
              <w:ind w:right="1077"/>
              <w:jc w:val="right"/>
            </w:pPr>
            <w:r w:rsidRPr="00A82603">
              <w:t>99</w:t>
            </w:r>
          </w:p>
        </w:tc>
        <w:tc>
          <w:tcPr>
            <w:tcW w:w="1250" w:type="pct"/>
            <w:vAlign w:val="top"/>
            <w:hideMark/>
          </w:tcPr>
          <w:p w:rsidR="0008544A" w:rsidRPr="00A82603" w:rsidRDefault="0008544A" w:rsidP="00A82603">
            <w:pPr>
              <w:pStyle w:val="Tabel-Tekst"/>
              <w:jc w:val="center"/>
            </w:pPr>
            <w:r w:rsidRPr="00A82603">
              <w:t>76</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AAPD (nuttige oppervlakte, Vlaams Gewest)</w:t>
            </w:r>
          </w:p>
        </w:tc>
        <w:tc>
          <w:tcPr>
            <w:tcW w:w="1251" w:type="pct"/>
            <w:vAlign w:val="top"/>
            <w:hideMark/>
          </w:tcPr>
          <w:p w:rsidR="0008544A" w:rsidRPr="00A82603" w:rsidRDefault="0008544A" w:rsidP="0039121F">
            <w:pPr>
              <w:pStyle w:val="Tabel-Tekst"/>
              <w:ind w:right="1077"/>
              <w:jc w:val="right"/>
            </w:pPr>
          </w:p>
        </w:tc>
        <w:tc>
          <w:tcPr>
            <w:tcW w:w="1250" w:type="pct"/>
            <w:vAlign w:val="top"/>
            <w:hideMark/>
          </w:tcPr>
          <w:p w:rsidR="0008544A" w:rsidRPr="00A82603" w:rsidRDefault="0008544A" w:rsidP="00A82603">
            <w:pPr>
              <w:pStyle w:val="Tabel-Tekst"/>
              <w:jc w:val="center"/>
            </w:pPr>
            <w:r w:rsidRPr="00A82603">
              <w:t>46</w:t>
            </w: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Gesloten bebouwing</w:t>
            </w:r>
          </w:p>
        </w:tc>
        <w:tc>
          <w:tcPr>
            <w:tcW w:w="1251" w:type="pct"/>
            <w:vAlign w:val="top"/>
            <w:hideMark/>
          </w:tcPr>
          <w:p w:rsidR="0008544A" w:rsidRPr="00A82603" w:rsidRDefault="0008544A" w:rsidP="0039121F">
            <w:pPr>
              <w:pStyle w:val="Tabel-Tekst"/>
              <w:ind w:right="1077"/>
              <w:jc w:val="right"/>
            </w:pPr>
            <w:r w:rsidRPr="00A82603">
              <w:t>149</w:t>
            </w:r>
          </w:p>
        </w:tc>
        <w:tc>
          <w:tcPr>
            <w:tcW w:w="1250" w:type="pct"/>
            <w:vAlign w:val="top"/>
            <w:hideMark/>
          </w:tcPr>
          <w:p w:rsidR="0008544A" w:rsidRPr="00A82603" w:rsidRDefault="0008544A" w:rsidP="00A82603">
            <w:pPr>
              <w:pStyle w:val="Tabel-Tekst"/>
              <w:jc w:val="center"/>
            </w:pP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Halfopen bebouwing</w:t>
            </w:r>
          </w:p>
        </w:tc>
        <w:tc>
          <w:tcPr>
            <w:tcW w:w="1251" w:type="pct"/>
            <w:vAlign w:val="top"/>
            <w:hideMark/>
          </w:tcPr>
          <w:p w:rsidR="0008544A" w:rsidRPr="00A82603" w:rsidRDefault="0008544A" w:rsidP="0039121F">
            <w:pPr>
              <w:pStyle w:val="Tabel-Tekst"/>
              <w:ind w:right="1077"/>
              <w:jc w:val="right"/>
            </w:pPr>
            <w:r w:rsidRPr="00A82603">
              <w:t>174</w:t>
            </w:r>
          </w:p>
        </w:tc>
        <w:tc>
          <w:tcPr>
            <w:tcW w:w="1250" w:type="pct"/>
            <w:vAlign w:val="top"/>
            <w:hideMark/>
          </w:tcPr>
          <w:p w:rsidR="0008544A" w:rsidRPr="00A82603" w:rsidRDefault="0008544A" w:rsidP="00A82603">
            <w:pPr>
              <w:pStyle w:val="Tabel-Tekst"/>
              <w:jc w:val="center"/>
            </w:pPr>
          </w:p>
        </w:tc>
      </w:tr>
      <w:tr w:rsidR="0008544A" w:rsidRPr="00A82603" w:rsidTr="0039121F">
        <w:trPr>
          <w:trHeight w:val="227"/>
        </w:trPr>
        <w:tc>
          <w:tcPr>
            <w:tcW w:w="2500" w:type="pct"/>
            <w:vAlign w:val="top"/>
            <w:hideMark/>
          </w:tcPr>
          <w:p w:rsidR="0008544A" w:rsidRPr="00A82603" w:rsidRDefault="0008544A" w:rsidP="00A82603">
            <w:pPr>
              <w:pStyle w:val="Tabel-Tekst"/>
            </w:pPr>
            <w:r w:rsidRPr="00A82603">
              <w:t>Open bebouwing</w:t>
            </w:r>
          </w:p>
        </w:tc>
        <w:tc>
          <w:tcPr>
            <w:tcW w:w="1251" w:type="pct"/>
            <w:vAlign w:val="top"/>
            <w:hideMark/>
          </w:tcPr>
          <w:p w:rsidR="0008544A" w:rsidRPr="00A82603" w:rsidRDefault="0008544A" w:rsidP="0039121F">
            <w:pPr>
              <w:pStyle w:val="Tabel-Tekst"/>
              <w:ind w:right="1077"/>
              <w:jc w:val="right"/>
            </w:pPr>
            <w:r w:rsidRPr="00A82603">
              <w:t>192</w:t>
            </w:r>
          </w:p>
        </w:tc>
        <w:tc>
          <w:tcPr>
            <w:tcW w:w="1250" w:type="pct"/>
            <w:vAlign w:val="top"/>
            <w:hideMark/>
          </w:tcPr>
          <w:p w:rsidR="0008544A" w:rsidRPr="00A82603" w:rsidRDefault="0008544A" w:rsidP="00A82603">
            <w:pPr>
              <w:pStyle w:val="Tabel-Tekst"/>
              <w:jc w:val="center"/>
            </w:pPr>
          </w:p>
        </w:tc>
      </w:tr>
    </w:tbl>
    <w:p w:rsidR="0008544A" w:rsidRDefault="0008544A" w:rsidP="0039121F">
      <w:r>
        <w:t xml:space="preserve">De definitie van woonoppervlakte gelijk door de Huurschatter gebruikt is alvast gelijkaardig aan de definitie van vloeroppervlakte gelijk die bij de berekening van het EPC gebeurt. Hoewel de bewoonbare </w:t>
      </w:r>
      <w:r w:rsidR="00804CBF">
        <w:t>oppervlakte</w:t>
      </w:r>
      <w:r>
        <w:t xml:space="preserve"> een belangrijk gegeven is, is geeft de meting ervan ook bij de EPC registratie soms ook fouten</w:t>
      </w:r>
      <w:r w:rsidR="0039121F">
        <w:t>.</w:t>
      </w:r>
      <w:r>
        <w:rPr>
          <w:rStyle w:val="FootnoteReference"/>
        </w:rPr>
        <w:footnoteReference w:id="2"/>
      </w:r>
    </w:p>
    <w:p w:rsidR="0008544A" w:rsidRDefault="0008544A" w:rsidP="0008544A">
      <w:pPr>
        <w:pStyle w:val="Heading2"/>
      </w:pPr>
      <w:bookmarkStart w:id="21" w:name="_Toc464122176"/>
      <w:r>
        <w:lastRenderedPageBreak/>
        <w:t>Bewoonbare oppervlakte en slaapkamers</w:t>
      </w:r>
      <w:bookmarkEnd w:id="21"/>
    </w:p>
    <w:p w:rsidR="0008544A" w:rsidRDefault="0008544A" w:rsidP="0008544A">
      <w:r>
        <w:t>Sociale woningen worden gebouwd volgens normenstelsels die min of meer vastliggen doorheen de tijd. Deze oppervlakte is de oppervlakte tussen de buitenmuren. Deze normen zijn zowel voor appar</w:t>
      </w:r>
      <w:r w:rsidR="00711296">
        <w:softHyphen/>
      </w:r>
      <w:r>
        <w:t xml:space="preserve">tementen en huizen gelijk en zijn bepaald in functie van het aantal slaapkamers en het aantal personen in de woning. </w:t>
      </w:r>
      <w:r w:rsidR="00827A03">
        <w:t>T</w:t>
      </w:r>
      <w:r>
        <w:t>abel</w:t>
      </w:r>
      <w:r w:rsidR="00827A03">
        <w:t> 9</w:t>
      </w:r>
      <w:r>
        <w:t xml:space="preserve"> geeft dit weer.</w:t>
      </w:r>
    </w:p>
    <w:p w:rsidR="0008544A" w:rsidRDefault="00B57A01" w:rsidP="00FA284C">
      <w:pPr>
        <w:pStyle w:val="Caption"/>
      </w:pPr>
      <w:r>
        <w:t>Tabel</w:t>
      </w:r>
      <w:r w:rsidRPr="009E1119">
        <w:t xml:space="preserve"> </w:t>
      </w:r>
      <w:r w:rsidR="00301DB0">
        <w:fldChar w:fldCharType="begin"/>
      </w:r>
      <w:r w:rsidR="00301DB0">
        <w:instrText xml:space="preserve"> SEQ Tabel \* ARABIC </w:instrText>
      </w:r>
      <w:r w:rsidR="00301DB0">
        <w:fldChar w:fldCharType="separate"/>
      </w:r>
      <w:r w:rsidR="00A65B8D">
        <w:rPr>
          <w:noProof/>
        </w:rPr>
        <w:t>9</w:t>
      </w:r>
      <w:r w:rsidR="00301DB0">
        <w:rPr>
          <w:noProof/>
        </w:rPr>
        <w:fldChar w:fldCharType="end"/>
      </w:r>
      <w:r w:rsidRPr="009E1119">
        <w:tab/>
      </w:r>
      <w:r w:rsidR="0008544A" w:rsidRPr="00FA284C">
        <w:t>Gemiddelde</w:t>
      </w:r>
      <w:r w:rsidR="0008544A" w:rsidRPr="006F3930">
        <w:t xml:space="preserve"> oppervlakte volgens aantal slaapkamers en personen, op basis van minima en maxima normen VMSW</w:t>
      </w:r>
    </w:p>
    <w:tbl>
      <w:tblPr>
        <w:tblStyle w:val="LightShading1"/>
        <w:tblW w:w="9070" w:type="dxa"/>
        <w:tblLayout w:type="fixed"/>
        <w:tblLook w:val="0020" w:firstRow="1" w:lastRow="0" w:firstColumn="0" w:lastColumn="0" w:noHBand="0" w:noVBand="0"/>
      </w:tblPr>
      <w:tblGrid>
        <w:gridCol w:w="1417"/>
        <w:gridCol w:w="1417"/>
        <w:gridCol w:w="1417"/>
        <w:gridCol w:w="4819"/>
      </w:tblGrid>
      <w:tr w:rsidR="001618AE" w:rsidRPr="00B57A01" w:rsidTr="001618AE">
        <w:trPr>
          <w:cnfStyle w:val="100000000000" w:firstRow="1" w:lastRow="0" w:firstColumn="0" w:lastColumn="0" w:oddVBand="0" w:evenVBand="0" w:oddHBand="0" w:evenHBand="0" w:firstRowFirstColumn="0" w:firstRowLastColumn="0" w:lastRowFirstColumn="0" w:lastRowLastColumn="0"/>
          <w:trHeight w:val="20"/>
        </w:trPr>
        <w:tc>
          <w:tcPr>
            <w:tcW w:w="1417" w:type="dxa"/>
            <w:vAlign w:val="top"/>
          </w:tcPr>
          <w:p w:rsidR="001618AE" w:rsidRPr="00B57A01" w:rsidRDefault="001618AE" w:rsidP="00B57A01">
            <w:pPr>
              <w:pStyle w:val="Tabel-Tekst"/>
            </w:pPr>
            <w:r w:rsidRPr="00B57A01">
              <w:t>Type*</w:t>
            </w:r>
          </w:p>
        </w:tc>
        <w:tc>
          <w:tcPr>
            <w:tcW w:w="1417" w:type="dxa"/>
            <w:vAlign w:val="top"/>
          </w:tcPr>
          <w:p w:rsidR="001618AE" w:rsidRPr="00B57A01" w:rsidRDefault="001618AE" w:rsidP="00B57A01">
            <w:pPr>
              <w:pStyle w:val="Tabel-Tekst"/>
              <w:jc w:val="center"/>
              <w:rPr>
                <w:lang w:val="de-DE"/>
              </w:rPr>
            </w:pPr>
            <w:r w:rsidRPr="00B57A01">
              <w:rPr>
                <w:lang w:val="de-DE"/>
              </w:rPr>
              <w:t>Basis MIN WO</w:t>
            </w:r>
            <w:r w:rsidRPr="00B57A01">
              <w:rPr>
                <w:lang w:val="de-DE"/>
              </w:rPr>
              <w:br/>
              <w:t>in m</w:t>
            </w:r>
            <w:r w:rsidRPr="00B57A01">
              <w:rPr>
                <w:vertAlign w:val="superscript"/>
                <w:lang w:val="de-DE"/>
              </w:rPr>
              <w:t>2</w:t>
            </w:r>
          </w:p>
        </w:tc>
        <w:tc>
          <w:tcPr>
            <w:tcW w:w="1417" w:type="dxa"/>
            <w:vAlign w:val="top"/>
          </w:tcPr>
          <w:p w:rsidR="001618AE" w:rsidRPr="00711296" w:rsidRDefault="001618AE" w:rsidP="00B57A01">
            <w:pPr>
              <w:pStyle w:val="Tabel-Tekst"/>
              <w:jc w:val="center"/>
              <w:rPr>
                <w:lang w:val="de-DE"/>
              </w:rPr>
            </w:pPr>
            <w:r w:rsidRPr="00711296">
              <w:rPr>
                <w:lang w:val="de-DE"/>
              </w:rPr>
              <w:t>Basis MAX WO</w:t>
            </w:r>
            <w:r w:rsidRPr="00711296">
              <w:rPr>
                <w:lang w:val="de-DE"/>
              </w:rPr>
              <w:br/>
              <w:t>in m</w:t>
            </w:r>
            <w:r w:rsidRPr="00711296">
              <w:rPr>
                <w:vertAlign w:val="superscript"/>
                <w:lang w:val="de-DE"/>
              </w:rPr>
              <w:t>2</w:t>
            </w:r>
          </w:p>
        </w:tc>
        <w:tc>
          <w:tcPr>
            <w:tcW w:w="4819" w:type="dxa"/>
            <w:vMerge w:val="restart"/>
            <w:vAlign w:val="top"/>
          </w:tcPr>
          <w:p w:rsidR="001618AE" w:rsidRPr="001618AE" w:rsidRDefault="001618AE" w:rsidP="00B57A01">
            <w:pPr>
              <w:pStyle w:val="Tabel-Tekst"/>
              <w:rPr>
                <w:b w:val="0"/>
              </w:rPr>
            </w:pPr>
            <w:r w:rsidRPr="001618AE">
              <w:rPr>
                <w:b w:val="0"/>
              </w:rPr>
              <w:t xml:space="preserve">Voor de bepaling van de minimum-WO en maximum-WO, op maat van een woningtype, worden de opgegeven basisminima en -maxima automatisch verhoogd met: </w:t>
            </w:r>
          </w:p>
          <w:p w:rsidR="001618AE" w:rsidRPr="001618AE" w:rsidRDefault="001618AE" w:rsidP="00411632">
            <w:pPr>
              <w:pStyle w:val="ListBullet"/>
              <w:numPr>
                <w:ilvl w:val="0"/>
                <w:numId w:val="0"/>
              </w:numPr>
              <w:ind w:left="227" w:hanging="170"/>
              <w:jc w:val="left"/>
              <w:rPr>
                <w:b w:val="0"/>
              </w:rPr>
            </w:pPr>
            <w:r w:rsidRPr="001618AE">
              <w:rPr>
                <w:b w:val="0"/>
                <w:sz w:val="20"/>
                <w:szCs w:val="16"/>
              </w:rPr>
              <w:t>-</w:t>
            </w:r>
            <w:r w:rsidRPr="001618AE">
              <w:rPr>
                <w:b w:val="0"/>
              </w:rPr>
              <w:tab/>
              <w:t>‘m</w:t>
            </w:r>
            <w:r w:rsidRPr="001618AE">
              <w:rPr>
                <w:b w:val="0"/>
                <w:vertAlign w:val="superscript"/>
              </w:rPr>
              <w:t>2</w:t>
            </w:r>
            <w:r w:rsidRPr="001618AE">
              <w:rPr>
                <w:b w:val="0"/>
              </w:rPr>
              <w:t xml:space="preserve"> surplus’ voor de verticale circulatie (ruimte trap);</w:t>
            </w:r>
          </w:p>
          <w:p w:rsidR="001618AE" w:rsidRPr="001618AE" w:rsidRDefault="001618AE" w:rsidP="001618AE">
            <w:pPr>
              <w:pStyle w:val="Tabel-Tekst"/>
              <w:ind w:left="227" w:hanging="170"/>
              <w:rPr>
                <w:b w:val="0"/>
              </w:rPr>
            </w:pPr>
            <w:r w:rsidRPr="001618AE">
              <w:rPr>
                <w:b w:val="0"/>
              </w:rPr>
              <w:t>-</w:t>
            </w:r>
            <w:r w:rsidRPr="001618AE">
              <w:rPr>
                <w:b w:val="0"/>
              </w:rPr>
              <w:tab/>
              <w:t>‘m</w:t>
            </w:r>
            <w:r w:rsidRPr="001618AE">
              <w:rPr>
                <w:b w:val="0"/>
                <w:vertAlign w:val="superscript"/>
              </w:rPr>
              <w:t>2</w:t>
            </w:r>
            <w:r w:rsidRPr="001618AE">
              <w:rPr>
                <w:b w:val="0"/>
              </w:rPr>
              <w:t xml:space="preserve"> berging’ voor de binnen de woningoppervlakte voorziene bergruimten.</w:t>
            </w:r>
          </w:p>
          <w:p w:rsidR="001618AE" w:rsidRPr="001618AE" w:rsidRDefault="001618AE" w:rsidP="00411632">
            <w:pPr>
              <w:pStyle w:val="Tabel-Tekst"/>
              <w:rPr>
                <w:b w:val="0"/>
              </w:rPr>
            </w:pPr>
            <w:r w:rsidRPr="001618AE">
              <w:rPr>
                <w:b w:val="0"/>
              </w:rPr>
              <w:t>Bij de maximum-WO zal de bijkomende opper- vlakte voor de berging automatisch worden</w:t>
            </w:r>
            <w:r w:rsidR="00411632">
              <w:rPr>
                <w:b w:val="0"/>
              </w:rPr>
              <w:t xml:space="preserve"> </w:t>
            </w:r>
            <w:r w:rsidRPr="001618AE">
              <w:rPr>
                <w:b w:val="0"/>
              </w:rPr>
              <w:t>begrensd met een plafond, gelijk aan 2m</w:t>
            </w:r>
            <w:r w:rsidRPr="001618AE">
              <w:rPr>
                <w:b w:val="0"/>
                <w:vertAlign w:val="superscript"/>
              </w:rPr>
              <w:t>2</w:t>
            </w:r>
            <w:r w:rsidRPr="001618AE">
              <w:rPr>
                <w:b w:val="0"/>
              </w:rPr>
              <w:t xml:space="preserve">/persoon </w:t>
            </w:r>
            <w:r w:rsidR="00411632">
              <w:rPr>
                <w:b w:val="0"/>
              </w:rPr>
              <w:br/>
            </w:r>
            <w:r w:rsidRPr="001618AE">
              <w:rPr>
                <w:b w:val="0"/>
              </w:rPr>
              <w:t xml:space="preserve">(bv. type 2/4 </w:t>
            </w:r>
            <w:r w:rsidRPr="001618AE">
              <w:rPr>
                <w:b w:val="0"/>
              </w:rPr>
              <w:sym w:font="Wingdings" w:char="F0E0"/>
            </w:r>
            <w:r w:rsidRPr="001618AE">
              <w:rPr>
                <w:b w:val="0"/>
              </w:rPr>
              <w:t xml:space="preserve"> 8 m</w:t>
            </w:r>
            <w:r w:rsidRPr="001618AE">
              <w:rPr>
                <w:b w:val="0"/>
                <w:vertAlign w:val="superscript"/>
              </w:rPr>
              <w:t>2</w:t>
            </w:r>
            <w:r w:rsidRPr="001618AE">
              <w:rPr>
                <w:b w:val="0"/>
              </w:rPr>
              <w:t xml:space="preserve"> berging)</w:t>
            </w:r>
          </w:p>
        </w:tc>
      </w:tr>
      <w:tr w:rsidR="001618AE" w:rsidRPr="00B57A01" w:rsidTr="001618AE">
        <w:trPr>
          <w:trHeight w:val="20"/>
        </w:trPr>
        <w:tc>
          <w:tcPr>
            <w:tcW w:w="1417" w:type="dxa"/>
            <w:vAlign w:val="top"/>
          </w:tcPr>
          <w:p w:rsidR="001618AE" w:rsidRPr="00B57A01" w:rsidRDefault="001618AE" w:rsidP="00B57A01">
            <w:pPr>
              <w:pStyle w:val="Tabel-Tekst"/>
            </w:pPr>
            <w:r w:rsidRPr="00B57A01">
              <w:t>0/1</w:t>
            </w:r>
          </w:p>
        </w:tc>
        <w:tc>
          <w:tcPr>
            <w:tcW w:w="1417" w:type="dxa"/>
            <w:vAlign w:val="top"/>
          </w:tcPr>
          <w:p w:rsidR="001618AE" w:rsidRPr="00B57A01" w:rsidRDefault="001618AE" w:rsidP="00411632">
            <w:pPr>
              <w:pStyle w:val="Tabel-Tekst"/>
              <w:ind w:right="624"/>
              <w:jc w:val="right"/>
            </w:pPr>
            <w:r w:rsidRPr="00B57A01">
              <w:t>0</w:t>
            </w:r>
          </w:p>
        </w:tc>
        <w:tc>
          <w:tcPr>
            <w:tcW w:w="1417" w:type="dxa"/>
            <w:vAlign w:val="top"/>
          </w:tcPr>
          <w:p w:rsidR="001618AE" w:rsidRPr="00B57A01" w:rsidRDefault="001618AE" w:rsidP="00411632">
            <w:pPr>
              <w:pStyle w:val="Tabel-Tekst"/>
              <w:ind w:right="624"/>
              <w:jc w:val="right"/>
            </w:pPr>
            <w:r w:rsidRPr="00B57A01">
              <w:t>44</w:t>
            </w:r>
          </w:p>
        </w:tc>
        <w:tc>
          <w:tcPr>
            <w:tcW w:w="4819" w:type="dxa"/>
            <w:vMerge/>
            <w:vAlign w:val="top"/>
          </w:tcPr>
          <w:p w:rsidR="001618AE" w:rsidRPr="00B57A01" w:rsidRDefault="001618AE" w:rsidP="001618AE">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0/2 &amp; 1/1</w:t>
            </w:r>
          </w:p>
        </w:tc>
        <w:tc>
          <w:tcPr>
            <w:tcW w:w="1417" w:type="dxa"/>
            <w:vAlign w:val="top"/>
          </w:tcPr>
          <w:p w:rsidR="001618AE" w:rsidRPr="00B57A01" w:rsidRDefault="001618AE" w:rsidP="00411632">
            <w:pPr>
              <w:pStyle w:val="Tabel-Tekst"/>
              <w:ind w:right="624"/>
              <w:jc w:val="right"/>
            </w:pPr>
            <w:r w:rsidRPr="00B57A01">
              <w:t>44</w:t>
            </w:r>
          </w:p>
        </w:tc>
        <w:tc>
          <w:tcPr>
            <w:tcW w:w="1417" w:type="dxa"/>
            <w:vAlign w:val="top"/>
          </w:tcPr>
          <w:p w:rsidR="001618AE" w:rsidRPr="00B57A01" w:rsidRDefault="001618AE" w:rsidP="00411632">
            <w:pPr>
              <w:pStyle w:val="Tabel-Tekst"/>
              <w:ind w:right="624"/>
              <w:jc w:val="right"/>
            </w:pPr>
            <w:r w:rsidRPr="00B57A01">
              <w:t>52</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1/2</w:t>
            </w:r>
          </w:p>
        </w:tc>
        <w:tc>
          <w:tcPr>
            <w:tcW w:w="1417" w:type="dxa"/>
            <w:vAlign w:val="top"/>
          </w:tcPr>
          <w:p w:rsidR="001618AE" w:rsidRPr="00B57A01" w:rsidRDefault="001618AE" w:rsidP="00411632">
            <w:pPr>
              <w:pStyle w:val="Tabel-Tekst"/>
              <w:ind w:right="624"/>
              <w:jc w:val="right"/>
            </w:pPr>
            <w:r w:rsidRPr="00B57A01">
              <w:t>52</w:t>
            </w:r>
          </w:p>
        </w:tc>
        <w:tc>
          <w:tcPr>
            <w:tcW w:w="1417" w:type="dxa"/>
            <w:vAlign w:val="top"/>
          </w:tcPr>
          <w:p w:rsidR="001618AE" w:rsidRPr="00B57A01" w:rsidRDefault="001618AE" w:rsidP="00411632">
            <w:pPr>
              <w:pStyle w:val="Tabel-Tekst"/>
              <w:ind w:right="624"/>
              <w:jc w:val="right"/>
            </w:pPr>
            <w:r w:rsidRPr="00B57A01">
              <w:t>62</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 xml:space="preserve">2/ </w:t>
            </w:r>
          </w:p>
        </w:tc>
        <w:tc>
          <w:tcPr>
            <w:tcW w:w="1417" w:type="dxa"/>
            <w:vAlign w:val="top"/>
          </w:tcPr>
          <w:p w:rsidR="001618AE" w:rsidRPr="00B57A01" w:rsidRDefault="001618AE" w:rsidP="00411632">
            <w:pPr>
              <w:pStyle w:val="Tabel-Tekst"/>
              <w:ind w:right="624"/>
              <w:jc w:val="right"/>
            </w:pPr>
            <w:r w:rsidRPr="00B57A01">
              <w:t>62</w:t>
            </w:r>
          </w:p>
        </w:tc>
        <w:tc>
          <w:tcPr>
            <w:tcW w:w="1417" w:type="dxa"/>
            <w:vAlign w:val="top"/>
          </w:tcPr>
          <w:p w:rsidR="001618AE" w:rsidRPr="00B57A01" w:rsidRDefault="001618AE" w:rsidP="00411632">
            <w:pPr>
              <w:pStyle w:val="Tabel-Tekst"/>
              <w:ind w:right="624"/>
              <w:jc w:val="right"/>
            </w:pPr>
            <w:r w:rsidRPr="00B57A01">
              <w:t>76</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2/4</w:t>
            </w:r>
          </w:p>
        </w:tc>
        <w:tc>
          <w:tcPr>
            <w:tcW w:w="1417" w:type="dxa"/>
            <w:vAlign w:val="top"/>
          </w:tcPr>
          <w:p w:rsidR="001618AE" w:rsidRPr="00B57A01" w:rsidRDefault="001618AE" w:rsidP="00411632">
            <w:pPr>
              <w:pStyle w:val="Tabel-Tekst"/>
              <w:ind w:right="624"/>
              <w:jc w:val="right"/>
            </w:pPr>
            <w:r w:rsidRPr="00B57A01">
              <w:t>70</w:t>
            </w:r>
          </w:p>
        </w:tc>
        <w:tc>
          <w:tcPr>
            <w:tcW w:w="1417" w:type="dxa"/>
            <w:vAlign w:val="top"/>
          </w:tcPr>
          <w:p w:rsidR="001618AE" w:rsidRPr="00B57A01" w:rsidRDefault="001618AE" w:rsidP="00411632">
            <w:pPr>
              <w:pStyle w:val="Tabel-Tekst"/>
              <w:ind w:right="624"/>
              <w:jc w:val="right"/>
            </w:pPr>
            <w:r w:rsidRPr="00B57A01">
              <w:t>86</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t>3</w:t>
            </w:r>
            <w:r w:rsidRPr="00B57A01">
              <w:t>/4</w:t>
            </w:r>
          </w:p>
        </w:tc>
        <w:tc>
          <w:tcPr>
            <w:tcW w:w="1417" w:type="dxa"/>
            <w:vAlign w:val="top"/>
          </w:tcPr>
          <w:p w:rsidR="001618AE" w:rsidRPr="00B57A01" w:rsidRDefault="001618AE" w:rsidP="00411632">
            <w:pPr>
              <w:pStyle w:val="Tabel-Tekst"/>
              <w:ind w:right="624"/>
              <w:jc w:val="right"/>
            </w:pPr>
            <w:r w:rsidRPr="00B57A01">
              <w:t>76</w:t>
            </w:r>
          </w:p>
        </w:tc>
        <w:tc>
          <w:tcPr>
            <w:tcW w:w="1417" w:type="dxa"/>
            <w:vAlign w:val="top"/>
          </w:tcPr>
          <w:p w:rsidR="001618AE" w:rsidRPr="00B57A01" w:rsidRDefault="001618AE" w:rsidP="00411632">
            <w:pPr>
              <w:pStyle w:val="Tabel-Tekst"/>
              <w:ind w:right="624"/>
              <w:jc w:val="right"/>
            </w:pPr>
            <w:r w:rsidRPr="00B57A01">
              <w:t>94</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t>3</w:t>
            </w:r>
            <w:r w:rsidRPr="00B57A01">
              <w:t>/5</w:t>
            </w:r>
          </w:p>
        </w:tc>
        <w:tc>
          <w:tcPr>
            <w:tcW w:w="1417" w:type="dxa"/>
            <w:vAlign w:val="top"/>
          </w:tcPr>
          <w:p w:rsidR="001618AE" w:rsidRPr="00B57A01" w:rsidRDefault="001618AE" w:rsidP="00411632">
            <w:pPr>
              <w:pStyle w:val="Tabel-Tekst"/>
              <w:ind w:right="624"/>
              <w:jc w:val="right"/>
            </w:pPr>
            <w:r w:rsidRPr="00B57A01">
              <w:t>86</w:t>
            </w:r>
          </w:p>
        </w:tc>
        <w:tc>
          <w:tcPr>
            <w:tcW w:w="1417" w:type="dxa"/>
            <w:vAlign w:val="top"/>
          </w:tcPr>
          <w:p w:rsidR="001618AE" w:rsidRPr="00B57A01" w:rsidRDefault="001618AE" w:rsidP="00411632">
            <w:pPr>
              <w:pStyle w:val="Tabel-Tekst"/>
              <w:ind w:right="624"/>
              <w:jc w:val="right"/>
            </w:pPr>
            <w:r w:rsidRPr="00B57A01">
              <w:t>105</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t>3</w:t>
            </w:r>
            <w:r w:rsidRPr="00B57A01">
              <w:t>/6</w:t>
            </w:r>
          </w:p>
        </w:tc>
        <w:tc>
          <w:tcPr>
            <w:tcW w:w="1417" w:type="dxa"/>
            <w:vAlign w:val="top"/>
          </w:tcPr>
          <w:p w:rsidR="001618AE" w:rsidRPr="00B57A01" w:rsidRDefault="001618AE" w:rsidP="00411632">
            <w:pPr>
              <w:pStyle w:val="Tabel-Tekst"/>
              <w:ind w:right="624"/>
              <w:jc w:val="right"/>
            </w:pPr>
            <w:r w:rsidRPr="00B57A01">
              <w:t>94</w:t>
            </w:r>
          </w:p>
        </w:tc>
        <w:tc>
          <w:tcPr>
            <w:tcW w:w="1417" w:type="dxa"/>
            <w:vAlign w:val="top"/>
          </w:tcPr>
          <w:p w:rsidR="001618AE" w:rsidRPr="00B57A01" w:rsidRDefault="001618AE" w:rsidP="00411632">
            <w:pPr>
              <w:pStyle w:val="Tabel-Tekst"/>
              <w:ind w:right="624"/>
              <w:jc w:val="right"/>
            </w:pPr>
            <w:r w:rsidRPr="00B57A01">
              <w:t>114</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4/5</w:t>
            </w:r>
          </w:p>
        </w:tc>
        <w:tc>
          <w:tcPr>
            <w:tcW w:w="1417" w:type="dxa"/>
            <w:vAlign w:val="top"/>
          </w:tcPr>
          <w:p w:rsidR="001618AE" w:rsidRPr="00B57A01" w:rsidRDefault="001618AE" w:rsidP="00411632">
            <w:pPr>
              <w:pStyle w:val="Tabel-Tekst"/>
              <w:ind w:right="624"/>
              <w:jc w:val="right"/>
            </w:pPr>
            <w:r w:rsidRPr="00B57A01">
              <w:t>94</w:t>
            </w:r>
          </w:p>
        </w:tc>
        <w:tc>
          <w:tcPr>
            <w:tcW w:w="1417" w:type="dxa"/>
            <w:vAlign w:val="top"/>
          </w:tcPr>
          <w:p w:rsidR="001618AE" w:rsidRPr="00B57A01" w:rsidRDefault="001618AE" w:rsidP="00411632">
            <w:pPr>
              <w:pStyle w:val="Tabel-Tekst"/>
              <w:ind w:right="624"/>
              <w:jc w:val="right"/>
            </w:pPr>
            <w:r w:rsidRPr="00B57A01">
              <w:t>114</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4/6</w:t>
            </w:r>
          </w:p>
        </w:tc>
        <w:tc>
          <w:tcPr>
            <w:tcW w:w="1417" w:type="dxa"/>
            <w:vAlign w:val="top"/>
          </w:tcPr>
          <w:p w:rsidR="001618AE" w:rsidRPr="00B57A01" w:rsidRDefault="001618AE" w:rsidP="00411632">
            <w:pPr>
              <w:pStyle w:val="Tabel-Tekst"/>
              <w:ind w:right="624"/>
              <w:jc w:val="right"/>
            </w:pPr>
            <w:r w:rsidRPr="00B57A01">
              <w:t>100</w:t>
            </w:r>
          </w:p>
        </w:tc>
        <w:tc>
          <w:tcPr>
            <w:tcW w:w="1417" w:type="dxa"/>
            <w:vAlign w:val="top"/>
          </w:tcPr>
          <w:p w:rsidR="001618AE" w:rsidRPr="00B57A01" w:rsidRDefault="001618AE" w:rsidP="00411632">
            <w:pPr>
              <w:pStyle w:val="Tabel-Tekst"/>
              <w:ind w:right="624"/>
              <w:jc w:val="right"/>
            </w:pPr>
            <w:r w:rsidRPr="00B57A01">
              <w:t>122</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4/7</w:t>
            </w:r>
          </w:p>
        </w:tc>
        <w:tc>
          <w:tcPr>
            <w:tcW w:w="1417" w:type="dxa"/>
            <w:vAlign w:val="top"/>
          </w:tcPr>
          <w:p w:rsidR="001618AE" w:rsidRPr="00B57A01" w:rsidRDefault="001618AE" w:rsidP="00411632">
            <w:pPr>
              <w:pStyle w:val="Tabel-Tekst"/>
              <w:ind w:right="624"/>
              <w:jc w:val="right"/>
            </w:pPr>
            <w:r w:rsidRPr="00B57A01">
              <w:t>106</w:t>
            </w:r>
          </w:p>
        </w:tc>
        <w:tc>
          <w:tcPr>
            <w:tcW w:w="1417" w:type="dxa"/>
            <w:vAlign w:val="top"/>
          </w:tcPr>
          <w:p w:rsidR="001618AE" w:rsidRPr="00B57A01" w:rsidRDefault="001618AE" w:rsidP="00411632">
            <w:pPr>
              <w:pStyle w:val="Tabel-Tekst"/>
              <w:ind w:right="624"/>
              <w:jc w:val="right"/>
            </w:pPr>
            <w:r w:rsidRPr="00B57A01">
              <w:t>1</w:t>
            </w:r>
            <w:r w:rsidR="00411632">
              <w:t>3</w:t>
            </w:r>
            <w:r w:rsidRPr="00B57A01">
              <w:t xml:space="preserve">0 </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4/8</w:t>
            </w:r>
          </w:p>
        </w:tc>
        <w:tc>
          <w:tcPr>
            <w:tcW w:w="1417" w:type="dxa"/>
            <w:vAlign w:val="top"/>
          </w:tcPr>
          <w:p w:rsidR="001618AE" w:rsidRPr="00B57A01" w:rsidRDefault="001618AE" w:rsidP="00411632">
            <w:pPr>
              <w:pStyle w:val="Tabel-Tekst"/>
              <w:ind w:right="624"/>
              <w:jc w:val="right"/>
            </w:pPr>
            <w:r w:rsidRPr="00B57A01">
              <w:t>112</w:t>
            </w:r>
          </w:p>
        </w:tc>
        <w:tc>
          <w:tcPr>
            <w:tcW w:w="1417" w:type="dxa"/>
            <w:vAlign w:val="top"/>
          </w:tcPr>
          <w:p w:rsidR="001618AE" w:rsidRPr="00B57A01" w:rsidRDefault="001618AE" w:rsidP="00411632">
            <w:pPr>
              <w:pStyle w:val="Tabel-Tekst"/>
              <w:ind w:right="624"/>
              <w:jc w:val="right"/>
            </w:pPr>
            <w:r w:rsidRPr="00B57A01">
              <w:t>1</w:t>
            </w:r>
            <w:r w:rsidR="00411632">
              <w:t>3</w:t>
            </w:r>
            <w:r w:rsidRPr="00B57A01">
              <w:t>8</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5/7</w:t>
            </w:r>
          </w:p>
        </w:tc>
        <w:tc>
          <w:tcPr>
            <w:tcW w:w="1417" w:type="dxa"/>
            <w:vAlign w:val="top"/>
          </w:tcPr>
          <w:p w:rsidR="001618AE" w:rsidRPr="00B57A01" w:rsidRDefault="001618AE" w:rsidP="00411632">
            <w:pPr>
              <w:pStyle w:val="Tabel-Tekst"/>
              <w:ind w:right="624"/>
              <w:jc w:val="right"/>
            </w:pPr>
            <w:r w:rsidRPr="00B57A01">
              <w:t>114</w:t>
            </w:r>
          </w:p>
        </w:tc>
        <w:tc>
          <w:tcPr>
            <w:tcW w:w="1417" w:type="dxa"/>
            <w:vAlign w:val="top"/>
          </w:tcPr>
          <w:p w:rsidR="001618AE" w:rsidRPr="00B57A01" w:rsidRDefault="001618AE" w:rsidP="00411632">
            <w:pPr>
              <w:pStyle w:val="Tabel-Tekst"/>
              <w:ind w:right="624"/>
              <w:jc w:val="right"/>
            </w:pPr>
            <w:r w:rsidRPr="00B57A01">
              <w:t>140</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5/8</w:t>
            </w:r>
          </w:p>
        </w:tc>
        <w:tc>
          <w:tcPr>
            <w:tcW w:w="1417" w:type="dxa"/>
            <w:vAlign w:val="top"/>
          </w:tcPr>
          <w:p w:rsidR="001618AE" w:rsidRPr="00B57A01" w:rsidRDefault="001618AE" w:rsidP="00411632">
            <w:pPr>
              <w:pStyle w:val="Tabel-Tekst"/>
              <w:ind w:right="624"/>
              <w:jc w:val="right"/>
            </w:pPr>
            <w:r w:rsidRPr="00B57A01">
              <w:t>122</w:t>
            </w:r>
          </w:p>
        </w:tc>
        <w:tc>
          <w:tcPr>
            <w:tcW w:w="1417" w:type="dxa"/>
            <w:vAlign w:val="top"/>
          </w:tcPr>
          <w:p w:rsidR="001618AE" w:rsidRPr="00B57A01" w:rsidRDefault="001618AE" w:rsidP="00411632">
            <w:pPr>
              <w:pStyle w:val="Tabel-Tekst"/>
              <w:ind w:right="624"/>
              <w:jc w:val="right"/>
            </w:pPr>
            <w:r w:rsidRPr="00B57A01">
              <w:t>148</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5/9</w:t>
            </w:r>
          </w:p>
        </w:tc>
        <w:tc>
          <w:tcPr>
            <w:tcW w:w="1417" w:type="dxa"/>
            <w:vAlign w:val="top"/>
          </w:tcPr>
          <w:p w:rsidR="001618AE" w:rsidRPr="00B57A01" w:rsidRDefault="001618AE" w:rsidP="00411632">
            <w:pPr>
              <w:pStyle w:val="Tabel-Tekst"/>
              <w:ind w:right="624"/>
              <w:jc w:val="right"/>
            </w:pPr>
            <w:r w:rsidRPr="00B57A01">
              <w:t>128</w:t>
            </w:r>
          </w:p>
        </w:tc>
        <w:tc>
          <w:tcPr>
            <w:tcW w:w="1417" w:type="dxa"/>
            <w:vAlign w:val="top"/>
          </w:tcPr>
          <w:p w:rsidR="001618AE" w:rsidRPr="00B57A01" w:rsidRDefault="001618AE" w:rsidP="00411632">
            <w:pPr>
              <w:pStyle w:val="Tabel-Tekst"/>
              <w:ind w:right="624"/>
              <w:jc w:val="right"/>
            </w:pPr>
            <w:r w:rsidRPr="00B57A01">
              <w:t>154</w:t>
            </w:r>
          </w:p>
        </w:tc>
        <w:tc>
          <w:tcPr>
            <w:tcW w:w="4819" w:type="dxa"/>
            <w:vMerge/>
            <w:vAlign w:val="top"/>
          </w:tcPr>
          <w:p w:rsidR="001618AE" w:rsidRPr="00B57A01" w:rsidRDefault="001618AE" w:rsidP="00B57A01">
            <w:pPr>
              <w:pStyle w:val="Tabel-Tekst"/>
            </w:pPr>
          </w:p>
        </w:tc>
      </w:tr>
      <w:tr w:rsidR="001618AE" w:rsidRPr="00B57A01" w:rsidTr="001618AE">
        <w:trPr>
          <w:trHeight w:val="20"/>
        </w:trPr>
        <w:tc>
          <w:tcPr>
            <w:tcW w:w="1417" w:type="dxa"/>
            <w:vAlign w:val="top"/>
          </w:tcPr>
          <w:p w:rsidR="001618AE" w:rsidRPr="00B57A01" w:rsidRDefault="001618AE" w:rsidP="00B57A01">
            <w:pPr>
              <w:pStyle w:val="Tabel-Tekst"/>
            </w:pPr>
            <w:r w:rsidRPr="00B57A01">
              <w:t>5/10</w:t>
            </w:r>
          </w:p>
        </w:tc>
        <w:tc>
          <w:tcPr>
            <w:tcW w:w="1417" w:type="dxa"/>
            <w:vAlign w:val="top"/>
          </w:tcPr>
          <w:p w:rsidR="001618AE" w:rsidRPr="00B57A01" w:rsidRDefault="001618AE" w:rsidP="00411632">
            <w:pPr>
              <w:pStyle w:val="Tabel-Tekst"/>
              <w:ind w:right="624"/>
              <w:jc w:val="right"/>
            </w:pPr>
            <w:r w:rsidRPr="00B57A01">
              <w:t>1</w:t>
            </w:r>
            <w:r w:rsidR="00411632">
              <w:t>3</w:t>
            </w:r>
            <w:r w:rsidRPr="00B57A01">
              <w:t>2</w:t>
            </w:r>
          </w:p>
        </w:tc>
        <w:tc>
          <w:tcPr>
            <w:tcW w:w="1417" w:type="dxa"/>
            <w:vAlign w:val="top"/>
          </w:tcPr>
          <w:p w:rsidR="001618AE" w:rsidRPr="00B57A01" w:rsidRDefault="001618AE" w:rsidP="00411632">
            <w:pPr>
              <w:pStyle w:val="Tabel-Tekst"/>
              <w:ind w:right="624"/>
              <w:jc w:val="right"/>
            </w:pPr>
            <w:r w:rsidRPr="00B57A01">
              <w:t>160</w:t>
            </w:r>
          </w:p>
        </w:tc>
        <w:tc>
          <w:tcPr>
            <w:tcW w:w="4819" w:type="dxa"/>
            <w:vMerge/>
            <w:vAlign w:val="top"/>
          </w:tcPr>
          <w:p w:rsidR="001618AE" w:rsidRPr="00B57A01" w:rsidRDefault="001618AE" w:rsidP="00B57A01">
            <w:pPr>
              <w:pStyle w:val="Tabel-Tekst"/>
            </w:pPr>
          </w:p>
        </w:tc>
      </w:tr>
    </w:tbl>
    <w:p w:rsidR="00B57A01" w:rsidRPr="00B57A01" w:rsidRDefault="001618AE" w:rsidP="001618AE">
      <w:pPr>
        <w:pStyle w:val="FiguurTabel-Opmerking"/>
        <w:ind w:left="170" w:hanging="170"/>
      </w:pPr>
      <w:r w:rsidRPr="001618AE">
        <w:t>*</w:t>
      </w:r>
      <w:r>
        <w:tab/>
      </w:r>
      <w:r w:rsidR="00827A03">
        <w:t>T</w:t>
      </w:r>
      <w:r w:rsidRPr="001618AE">
        <w:t>ype 2/4 = woning met 2 slaapkamers geschikt voor gezin tot 4 personen</w:t>
      </w:r>
    </w:p>
    <w:p w:rsidR="0008544A" w:rsidRDefault="0008544A" w:rsidP="001618AE">
      <w:pPr>
        <w:pStyle w:val="FiguurTabel-TekstBron"/>
      </w:pPr>
      <w:r w:rsidRPr="001618AE">
        <w:rPr>
          <w:rStyle w:val="Grijs"/>
        </w:rPr>
        <w:t>Bron</w:t>
      </w:r>
      <w:r w:rsidR="00804CBF">
        <w:rPr>
          <w:rStyle w:val="Grijs"/>
        </w:rPr>
        <w:t>:</w:t>
      </w:r>
      <w:r w:rsidRPr="001618AE">
        <w:rPr>
          <w:rStyle w:val="Grijs"/>
        </w:rPr>
        <w:t xml:space="preserve"> Kostprijssimulatie VMSW 2008,</w:t>
      </w:r>
      <w:r>
        <w:t xml:space="preserve"> </w:t>
      </w:r>
      <w:r w:rsidR="001618AE" w:rsidRPr="001618AE">
        <w:t>https://www.vmsw.be/Portals/0/objects/Woningbouwrenovatie/C2008/ Deel1/7_Oppervlakte_prijsnormen.pdf</w:t>
      </w:r>
    </w:p>
    <w:p w:rsidR="0008544A" w:rsidRDefault="0008544A" w:rsidP="001618AE">
      <w:r>
        <w:t xml:space="preserve">Indien we deze normenstelsels vergelijken met andere cijfers en deze uitzetten in oppervlakte per slaapkamer dan vinden we dat deze sterk in lijn liggen met de data die ingegeven zijn voor sociale woningen in de </w:t>
      </w:r>
      <w:r w:rsidR="0024544F">
        <w:t>Huurschatter</w:t>
      </w:r>
      <w:r>
        <w:t xml:space="preserve"> (753 unieke woningen). Hierbij zijn de observaties die door huurders en verhuurders zijn ingegeven gesplitst. Daarnaast zien we dat deze ook in lijn liggen met de geschatte oppervlakte van het referentiestaal uit 2008, maar dit is niet geheel onlogisch aangezien de notarissen enkel het aantal slaapkamers hadden </w:t>
      </w:r>
      <w:r w:rsidR="00804CBF">
        <w:t>ingegeven</w:t>
      </w:r>
      <w:r>
        <w:t xml:space="preserve"> en de </w:t>
      </w:r>
      <w:proofErr w:type="spellStart"/>
      <w:r>
        <w:t>bijschatting</w:t>
      </w:r>
      <w:proofErr w:type="spellEnd"/>
      <w:r>
        <w:t xml:space="preserve"> mogelijk op basis van het zelfde normenstelsel gebeurd is.</w:t>
      </w:r>
      <w:r w:rsidR="0024544F">
        <w:t xml:space="preserve"> </w:t>
      </w:r>
      <w:r>
        <w:t>Het toont alvast dat benaderingen op basis van het aantal slaapkamers een redelijk acceptabele benadering is. Uiteraard zijn dit gemiddelde. Voor woningen die door sociale huis</w:t>
      </w:r>
      <w:r w:rsidR="00711296">
        <w:softHyphen/>
      </w:r>
      <w:r>
        <w:t xml:space="preserve">vestingmaatschappijen zijn aangekocht kan een extra controle gewenst zijn omdat deze niet volgens het normenstelsel gebouwd zijn. </w:t>
      </w:r>
    </w:p>
    <w:p w:rsidR="0008544A" w:rsidRDefault="0008544A" w:rsidP="001618AE">
      <w:pPr>
        <w:pStyle w:val="NormalIndent"/>
      </w:pPr>
      <w:r>
        <w:t xml:space="preserve">Er is ook </w:t>
      </w:r>
      <w:r w:rsidRPr="001618AE">
        <w:t>een</w:t>
      </w:r>
      <w:r>
        <w:t xml:space="preserve"> controle uitgevoerd op de variatie in de antwoorden, dus hoe de oppervlakte verschilt tussen woningen met hetzelfde aantal slaapkamers. Hier zagen we bij de </w:t>
      </w:r>
      <w:proofErr w:type="spellStart"/>
      <w:r>
        <w:t>ingave</w:t>
      </w:r>
      <w:proofErr w:type="spellEnd"/>
      <w:r>
        <w:t xml:space="preserve"> van huurders (sociale huurders) er meer variatie zat op de ingegeven velden bij sociale huurwoningen. Voor de verhuurder was de variatie klein. </w:t>
      </w:r>
    </w:p>
    <w:p w:rsidR="0008544A" w:rsidRDefault="00827A03" w:rsidP="00827A03">
      <w:pPr>
        <w:pStyle w:val="Caption"/>
      </w:pPr>
      <w:bookmarkStart w:id="22" w:name="_Toc463592528"/>
      <w:r w:rsidRPr="00B302E9">
        <w:lastRenderedPageBreak/>
        <w:t>Figu</w:t>
      </w:r>
      <w:r>
        <w:t>u</w:t>
      </w:r>
      <w:r w:rsidRPr="00B302E9">
        <w:t xml:space="preserve">r </w:t>
      </w:r>
      <w:r w:rsidR="00301DB0">
        <w:fldChar w:fldCharType="begin"/>
      </w:r>
      <w:r w:rsidR="00301DB0">
        <w:instrText xml:space="preserve"> SEQ Figuur \* ARABIC </w:instrText>
      </w:r>
      <w:r w:rsidR="00301DB0">
        <w:fldChar w:fldCharType="separate"/>
      </w:r>
      <w:r w:rsidR="00A65B8D">
        <w:rPr>
          <w:noProof/>
        </w:rPr>
        <w:t>1</w:t>
      </w:r>
      <w:r w:rsidR="00301DB0">
        <w:rPr>
          <w:noProof/>
        </w:rPr>
        <w:fldChar w:fldCharType="end"/>
      </w:r>
      <w:r w:rsidRPr="00B302E9">
        <w:tab/>
      </w:r>
      <w:r w:rsidR="0008544A">
        <w:t xml:space="preserve">Vergelijking tussen aantal slaapkamers en oppervlakte, </w:t>
      </w:r>
      <w:r w:rsidR="0024544F">
        <w:t>Huurschatter</w:t>
      </w:r>
      <w:r w:rsidR="0008544A">
        <w:t>, Referentiestaal, Normen</w:t>
      </w:r>
      <w:bookmarkEnd w:id="22"/>
    </w:p>
    <w:p w:rsidR="0008544A" w:rsidRPr="008437F9" w:rsidRDefault="0008544A" w:rsidP="0008544A">
      <w:pPr>
        <w:pStyle w:val="Tabel-Tekst"/>
      </w:pPr>
      <w:r w:rsidRPr="008437F9">
        <w:rPr>
          <w:noProof/>
          <w:lang w:eastAsia="nl-BE"/>
        </w:rPr>
        <w:drawing>
          <wp:inline distT="0" distB="0" distL="0" distR="0" wp14:anchorId="32858671" wp14:editId="47836D4D">
            <wp:extent cx="5759450" cy="3768725"/>
            <wp:effectExtent l="0" t="0" r="0" b="317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a:stretch>
                      <a:fillRect/>
                    </a:stretch>
                  </pic:blipFill>
                  <pic:spPr>
                    <a:xfrm>
                      <a:off x="0" y="0"/>
                      <a:ext cx="5759450" cy="3768725"/>
                    </a:xfrm>
                    <a:prstGeom prst="rect">
                      <a:avLst/>
                    </a:prstGeom>
                  </pic:spPr>
                </pic:pic>
              </a:graphicData>
            </a:graphic>
          </wp:inline>
        </w:drawing>
      </w:r>
    </w:p>
    <w:p w:rsidR="0008544A" w:rsidRDefault="0008544A" w:rsidP="0008544A">
      <w:pPr>
        <w:pStyle w:val="Heading2"/>
      </w:pPr>
      <w:bookmarkStart w:id="23" w:name="_Toc464122177"/>
      <w:r>
        <w:t>Conclusie</w:t>
      </w:r>
      <w:bookmarkEnd w:id="23"/>
    </w:p>
    <w:p w:rsidR="0008544A" w:rsidRDefault="0008544A" w:rsidP="00827A03">
      <w:r>
        <w:t>Bij een vergelijking van de verschillende data is het van belang om ook na te gaan hoe de steekproef is samengesteld en hoe de verschillende velden gemeten worden.</w:t>
      </w:r>
      <w:r w:rsidR="0024544F">
        <w:t xml:space="preserve"> </w:t>
      </w:r>
      <w:r>
        <w:t xml:space="preserve">Zo vinden we in de sociale huurmarkt dat de woning gemiddeld kleiner zijn dan in de private en eigenaarsmarkt. De oppervlakte is alvast een belangrijke variabele. De manier waarop de </w:t>
      </w:r>
      <w:r w:rsidRPr="00921588">
        <w:t xml:space="preserve">bewoonbare oppervlakte </w:t>
      </w:r>
      <w:r>
        <w:t xml:space="preserve">gedefinieerd en ingevuld is in de </w:t>
      </w:r>
      <w:r w:rsidR="0024544F">
        <w:t>Huurschatter</w:t>
      </w:r>
      <w:r w:rsidRPr="00921588">
        <w:t xml:space="preserve"> leunt </w:t>
      </w:r>
      <w:r>
        <w:t xml:space="preserve">alvast </w:t>
      </w:r>
      <w:r w:rsidRPr="00921588">
        <w:t xml:space="preserve">nauw aan bij </w:t>
      </w:r>
      <w:r>
        <w:t xml:space="preserve">de </w:t>
      </w:r>
      <w:r w:rsidRPr="00921588">
        <w:t>schattingen van SHM verhuurders en bouwnormen VMSW</w:t>
      </w:r>
      <w:r>
        <w:t>. Op basis van het GWO zagen de dat de definitie een belangrijke impact heeft op de bewoonbare oppervlakte. Bovendien kon op basis van het GWO ook nagegaan worden hoe de gemiddelde groottes verschillen tussen sociale en private huurwoningen.</w:t>
      </w:r>
      <w:r w:rsidR="0024544F">
        <w:t xml:space="preserve"> </w:t>
      </w:r>
    </w:p>
    <w:p w:rsidR="0008544A" w:rsidRDefault="0008544A" w:rsidP="00827A03">
      <w:pPr>
        <w:pStyle w:val="NormalIndent"/>
      </w:pPr>
      <w:r>
        <w:t xml:space="preserve">De oppervlakte van de sociale huurwoningen is echter veelal niet gekend. Het feit dat de sociale woningen gebouwd worden volgens een normenstelsel, zorgt ervoor dat men op basis van deze </w:t>
      </w:r>
      <w:r w:rsidRPr="00921588">
        <w:t>nor</w:t>
      </w:r>
      <w:r w:rsidR="00711296">
        <w:softHyphen/>
      </w:r>
      <w:r w:rsidRPr="00921588">
        <w:t xml:space="preserve">men </w:t>
      </w:r>
      <w:r>
        <w:t xml:space="preserve">vanuit het </w:t>
      </w:r>
      <w:r w:rsidRPr="00921588">
        <w:t xml:space="preserve">aantal slaapkamers vaak een goede indicatie krijgen van </w:t>
      </w:r>
      <w:r>
        <w:t>de totale oppervlakte.</w:t>
      </w:r>
    </w:p>
    <w:p w:rsidR="0008544A" w:rsidRDefault="0008544A" w:rsidP="00827A03">
      <w:pPr>
        <w:pStyle w:val="NormalIndent"/>
      </w:pPr>
      <w:r>
        <w:t>In de toekomst lijkt het alvast een suggestie om op basis van kadastrale gegevens of andere data</w:t>
      </w:r>
      <w:r w:rsidR="00711296">
        <w:softHyphen/>
      </w:r>
      <w:r>
        <w:t>bronnen ook een beeld van de grootte van de sociale woningen bij te houden.</w:t>
      </w:r>
    </w:p>
    <w:p w:rsidR="00827A03" w:rsidRDefault="00827A03">
      <w:pPr>
        <w:spacing w:before="0" w:line="240" w:lineRule="auto"/>
        <w:jc w:val="left"/>
      </w:pPr>
      <w:r>
        <w:br w:type="page"/>
      </w:r>
    </w:p>
    <w:p w:rsidR="0008544A" w:rsidRDefault="0008544A" w:rsidP="0008544A">
      <w:pPr>
        <w:pStyle w:val="Heading1"/>
      </w:pPr>
      <w:bookmarkStart w:id="24" w:name="_Toc464122178"/>
      <w:r>
        <w:lastRenderedPageBreak/>
        <w:t>Ligging en sociale huisvesting</w:t>
      </w:r>
      <w:bookmarkEnd w:id="24"/>
    </w:p>
    <w:p w:rsidR="0008544A" w:rsidRPr="00694D69" w:rsidRDefault="0008544A" w:rsidP="00827A03">
      <w:r>
        <w:t xml:space="preserve">In dit hoofdstuk gaan we na </w:t>
      </w:r>
      <w:r w:rsidRPr="00694D69">
        <w:t>wat de relatie is tussen de liggingskenmerken van statistische sectoren en de aanwezigheid van sociale woningen. Zorgen grote sociale huisvestingprojecten bijvoorbeeld voor een meer uniform en meer geapprecieerd geheel, of heeft het eerder een negatieve impact? Het voor</w:t>
      </w:r>
      <w:r w:rsidR="00711296">
        <w:softHyphen/>
      </w:r>
      <w:r w:rsidRPr="00694D69">
        <w:t xml:space="preserve">deel van de </w:t>
      </w:r>
      <w:r w:rsidR="0024544F">
        <w:t>Huurschatter</w:t>
      </w:r>
      <w:r w:rsidRPr="00694D69">
        <w:t xml:space="preserve"> is dat er kan nagegaan worden welke impact dit heeft op de huurprijzen. </w:t>
      </w:r>
    </w:p>
    <w:p w:rsidR="0008544A" w:rsidRDefault="0008544A" w:rsidP="0008544A">
      <w:pPr>
        <w:pStyle w:val="Heading2"/>
      </w:pPr>
      <w:bookmarkStart w:id="25" w:name="_Toc464122179"/>
      <w:r>
        <w:t>Algemene liggingseffecten</w:t>
      </w:r>
      <w:bookmarkEnd w:id="25"/>
    </w:p>
    <w:p w:rsidR="0008544A" w:rsidRPr="00E67E84" w:rsidRDefault="0008544A" w:rsidP="00827A03">
      <w:r>
        <w:t xml:space="preserve">Vooraleer in detail op het effect van het aandeel sociale woningen in te gaan schetsen we kort hoe de liggingseffecten berekend worden. In onderstaande figuren worden deze voor zowel </w:t>
      </w:r>
      <w:r w:rsidR="00804CBF">
        <w:t>appartementen</w:t>
      </w:r>
      <w:r>
        <w:t xml:space="preserve"> als huizen weergegeven. Tussen beiden is zoals te verwachten een zeer sterke correlatie. Het liggings</w:t>
      </w:r>
      <w:r w:rsidR="00711296">
        <w:softHyphen/>
      </w:r>
      <w:r>
        <w:t>effect is een combinatie van twee benaderingen. Vooreerst wordt het liggingseffect door verklarende variabelen, zoals het fiscale inkomen van een belastingplichtige in de statistische sector. Daarnaast wordt de rest van het liggingseffect verklaard door een dummy/</w:t>
      </w:r>
      <w:proofErr w:type="spellStart"/>
      <w:r>
        <w:t>fixed</w:t>
      </w:r>
      <w:proofErr w:type="spellEnd"/>
      <w:r>
        <w:t xml:space="preserve"> effect. Het is namelijk zo dat verklarende variabelen niet nodig zijn indien er voldoende observaties beschikbaar zijn in een statis</w:t>
      </w:r>
      <w:r w:rsidR="00711296">
        <w:softHyphen/>
      </w:r>
      <w:r>
        <w:t>tische sector. In dat geval kan het model zelf bepalen wat het ligginseffect is voor die specifieke statis</w:t>
      </w:r>
      <w:r w:rsidR="00711296">
        <w:softHyphen/>
      </w:r>
      <w:r>
        <w:t>tische sector. Daartoe is er een algoritme ontwikkeld dat nagaat indien er voldoende observaties beschikbaar zijn (op niveau van statistische s</w:t>
      </w:r>
      <w:r w:rsidR="00827A03">
        <w:t>ector, deelgemeente, gemeente, …</w:t>
      </w:r>
      <w:r>
        <w:t>) om al zo te bepalen te bepalen voor welk gebied een apart liggingseffect geschat kan worden. Indien dit op gemeente</w:t>
      </w:r>
      <w:r w:rsidR="00711296">
        <w:softHyphen/>
      </w:r>
      <w:r>
        <w:t xml:space="preserve">niveau is, kunnen de verklarende statistische sectorvariabelen </w:t>
      </w:r>
      <w:r w:rsidR="00804CBF">
        <w:t xml:space="preserve">nog altijd de </w:t>
      </w:r>
      <w:proofErr w:type="spellStart"/>
      <w:r w:rsidR="00804CBF">
        <w:t>intragemeentelijk</w:t>
      </w:r>
      <w:r>
        <w:t>e</w:t>
      </w:r>
      <w:proofErr w:type="spellEnd"/>
      <w:r>
        <w:t xml:space="preserve"> ver</w:t>
      </w:r>
      <w:r w:rsidR="00711296">
        <w:softHyphen/>
      </w:r>
      <w:r>
        <w:t xml:space="preserve">schillen verder verfijnen. </w:t>
      </w:r>
    </w:p>
    <w:p w:rsidR="008322C3" w:rsidRPr="008322C3" w:rsidRDefault="008322C3" w:rsidP="008322C3">
      <w:pPr>
        <w:pStyle w:val="Caption"/>
      </w:pPr>
      <w:bookmarkStart w:id="26" w:name="_Toc463592529"/>
      <w:r w:rsidRPr="008322C3">
        <w:lastRenderedPageBreak/>
        <w:t xml:space="preserve">Figuur </w:t>
      </w:r>
      <w:r w:rsidR="00301DB0">
        <w:fldChar w:fldCharType="begin"/>
      </w:r>
      <w:r w:rsidR="00301DB0">
        <w:instrText xml:space="preserve"> SEQ Figuur \* ARABIC </w:instrText>
      </w:r>
      <w:r w:rsidR="00301DB0">
        <w:fldChar w:fldCharType="separate"/>
      </w:r>
      <w:r w:rsidR="00A65B8D">
        <w:rPr>
          <w:noProof/>
        </w:rPr>
        <w:t>2</w:t>
      </w:r>
      <w:r w:rsidR="00301DB0">
        <w:rPr>
          <w:noProof/>
        </w:rPr>
        <w:fldChar w:fldCharType="end"/>
      </w:r>
      <w:r w:rsidRPr="008322C3">
        <w:tab/>
        <w:t>Locatie-effecten van woonhuizen volgens de 3 modelleringen</w:t>
      </w:r>
      <w:bookmarkEnd w:id="26"/>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070"/>
      </w:tblGrid>
      <w:tr w:rsidR="0008544A" w:rsidTr="00E808D6">
        <w:tc>
          <w:tcPr>
            <w:tcW w:w="9062" w:type="dxa"/>
          </w:tcPr>
          <w:p w:rsidR="0008544A" w:rsidRPr="006F47D3" w:rsidRDefault="0008544A" w:rsidP="00E808D6">
            <w:pPr>
              <w:pStyle w:val="Tabel-Tekst"/>
              <w:rPr>
                <w:lang w:val="nl-NL"/>
              </w:rPr>
            </w:pPr>
            <w:r>
              <w:rPr>
                <w:lang w:val="nl-NL"/>
              </w:rPr>
              <w:t>Log-lineair: woonhuizen</w:t>
            </w:r>
          </w:p>
          <w:p w:rsidR="0008544A" w:rsidRPr="008322C3" w:rsidRDefault="0008544A" w:rsidP="008322C3">
            <w:pPr>
              <w:pStyle w:val="Figuur-RegelafstandEnkel"/>
              <w:keepNext w:val="0"/>
            </w:pPr>
            <w:r w:rsidRPr="008322C3">
              <w:rPr>
                <w:noProof/>
                <w:lang w:eastAsia="nl-BE"/>
              </w:rPr>
              <w:drawing>
                <wp:inline distT="0" distB="0" distL="0" distR="0" wp14:anchorId="1804EB0E" wp14:editId="0FBA47E3">
                  <wp:extent cx="5760000" cy="2210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atie_effecten_woonhuizen_huurschatter.png"/>
                          <pic:cNvPicPr/>
                        </pic:nvPicPr>
                        <pic:blipFill>
                          <a:blip r:embed="rId27">
                            <a:extLst>
                              <a:ext uri="{28A0092B-C50C-407E-A947-70E740481C1C}">
                                <a14:useLocalDpi xmlns:a14="http://schemas.microsoft.com/office/drawing/2010/main" val="0"/>
                              </a:ext>
                            </a:extLst>
                          </a:blip>
                          <a:stretch>
                            <a:fillRect/>
                          </a:stretch>
                        </pic:blipFill>
                        <pic:spPr>
                          <a:xfrm>
                            <a:off x="0" y="0"/>
                            <a:ext cx="5760000" cy="2210160"/>
                          </a:xfrm>
                          <a:prstGeom prst="rect">
                            <a:avLst/>
                          </a:prstGeom>
                        </pic:spPr>
                      </pic:pic>
                    </a:graphicData>
                  </a:graphic>
                </wp:inline>
              </w:drawing>
            </w:r>
          </w:p>
        </w:tc>
      </w:tr>
    </w:tbl>
    <w:p w:rsidR="0008544A" w:rsidRPr="008322C3" w:rsidRDefault="008322C3" w:rsidP="008322C3">
      <w:pPr>
        <w:pStyle w:val="Caption"/>
      </w:pPr>
      <w:bookmarkStart w:id="27" w:name="_Toc463592530"/>
      <w:r w:rsidRPr="008322C3">
        <w:t xml:space="preserve">Figuur </w:t>
      </w:r>
      <w:r w:rsidR="00301DB0">
        <w:fldChar w:fldCharType="begin"/>
      </w:r>
      <w:r w:rsidR="00301DB0">
        <w:instrText xml:space="preserve"> SEQ Figuur \* ARABIC </w:instrText>
      </w:r>
      <w:r w:rsidR="00301DB0">
        <w:fldChar w:fldCharType="separate"/>
      </w:r>
      <w:r w:rsidR="00A65B8D">
        <w:rPr>
          <w:noProof/>
        </w:rPr>
        <w:t>3</w:t>
      </w:r>
      <w:r w:rsidR="00301DB0">
        <w:rPr>
          <w:noProof/>
        </w:rPr>
        <w:fldChar w:fldCharType="end"/>
      </w:r>
      <w:r w:rsidRPr="008322C3">
        <w:tab/>
      </w:r>
      <w:r w:rsidR="0008544A" w:rsidRPr="008322C3">
        <w:t>Locatie-effecten van appartementen volgens de 3 modelleringen</w:t>
      </w:r>
      <w:bookmarkEnd w:id="27"/>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070"/>
      </w:tblGrid>
      <w:tr w:rsidR="0008544A" w:rsidTr="00E808D6">
        <w:tc>
          <w:tcPr>
            <w:tcW w:w="9062" w:type="dxa"/>
          </w:tcPr>
          <w:p w:rsidR="0008544A" w:rsidRDefault="0008544A" w:rsidP="00E808D6">
            <w:pPr>
              <w:pStyle w:val="Tabel-Tekst"/>
              <w:rPr>
                <w:lang w:val="nl-NL"/>
              </w:rPr>
            </w:pPr>
            <w:r>
              <w:rPr>
                <w:lang w:val="nl-NL"/>
              </w:rPr>
              <w:t>Log-lineair: appartementen</w:t>
            </w:r>
          </w:p>
          <w:p w:rsidR="0008544A" w:rsidRPr="006F47D3" w:rsidRDefault="0008544A" w:rsidP="008322C3">
            <w:pPr>
              <w:pStyle w:val="Figuur-RegelafstandEnkel"/>
              <w:keepNext w:val="0"/>
              <w:rPr>
                <w:lang w:val="nl-NL"/>
              </w:rPr>
            </w:pPr>
            <w:r>
              <w:rPr>
                <w:noProof/>
                <w:lang w:eastAsia="nl-BE"/>
              </w:rPr>
              <w:drawing>
                <wp:inline distT="0" distB="0" distL="0" distR="0" wp14:anchorId="78649419" wp14:editId="45926B9B">
                  <wp:extent cx="5760000" cy="2210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atie_effecten_appartementen_huurschatter.png"/>
                          <pic:cNvPicPr/>
                        </pic:nvPicPr>
                        <pic:blipFill>
                          <a:blip r:embed="rId28">
                            <a:extLst>
                              <a:ext uri="{28A0092B-C50C-407E-A947-70E740481C1C}">
                                <a14:useLocalDpi xmlns:a14="http://schemas.microsoft.com/office/drawing/2010/main" val="0"/>
                              </a:ext>
                            </a:extLst>
                          </a:blip>
                          <a:stretch>
                            <a:fillRect/>
                          </a:stretch>
                        </pic:blipFill>
                        <pic:spPr>
                          <a:xfrm>
                            <a:off x="0" y="0"/>
                            <a:ext cx="5760000" cy="2210160"/>
                          </a:xfrm>
                          <a:prstGeom prst="rect">
                            <a:avLst/>
                          </a:prstGeom>
                        </pic:spPr>
                      </pic:pic>
                    </a:graphicData>
                  </a:graphic>
                </wp:inline>
              </w:drawing>
            </w:r>
          </w:p>
        </w:tc>
      </w:tr>
    </w:tbl>
    <w:p w:rsidR="0008544A" w:rsidRPr="009B0239" w:rsidRDefault="0008544A" w:rsidP="0008544A">
      <w:pPr>
        <w:pStyle w:val="Heading2"/>
      </w:pPr>
      <w:bookmarkStart w:id="28" w:name="_Toc464122180"/>
      <w:r>
        <w:t>Invloed aanwezigheid sociale huurwoningen</w:t>
      </w:r>
      <w:bookmarkEnd w:id="28"/>
    </w:p>
    <w:p w:rsidR="0008544A" w:rsidRDefault="0008544A" w:rsidP="008322C3">
      <w:r>
        <w:t xml:space="preserve">Aangezien de </w:t>
      </w:r>
      <w:r w:rsidR="0024544F">
        <w:t>Huurschatter</w:t>
      </w:r>
      <w:r>
        <w:t xml:space="preserve"> de private huurwoningen schat is het interessant om na te gaan indien er een invloed is van het aandeel sociale huurwoningen op het locatie-effect. Het effect is niet zo een</w:t>
      </w:r>
      <w:r w:rsidR="00711296">
        <w:softHyphen/>
      </w:r>
      <w:r>
        <w:t>duidig. Onderstaande coëfficiënten suggereren het volgende. Huurprijzen van gelijkaardige woningen zijn duurder in statistische sectoren waar inwoners hoger opgeleid zijn en een hoger inkomen hebben.</w:t>
      </w:r>
      <w:r w:rsidR="0024544F">
        <w:t xml:space="preserve"> </w:t>
      </w:r>
      <w:r>
        <w:t>Huurprijzen voor gelijkaardige woningen zijn lager in statistische sectoren waar er veel eigenaars zijn. Dit mag op het eerste zicht verwonderlijk lijken, aangezien een hoger aandeel eigenaars veelal ge</w:t>
      </w:r>
      <w:r w:rsidR="00711296">
        <w:softHyphen/>
      </w:r>
      <w:r>
        <w:t>associeerd wordt met hogere woningprijzen. Het effect van het aandeel eigenaars is echter residueel, want er is reeds gecontroleerd voor het hogere fiscale inkomen en het gevolgde onderwijs. Een hoger aandeel eigenaars</w:t>
      </w:r>
      <w:r w:rsidR="0024544F">
        <w:t xml:space="preserve"> </w:t>
      </w:r>
      <w:r>
        <w:t>wijst op die manier op een locatie die voor huurders minder aantrekkelijk is. Het suggereert alvast dat de liggingseffecten voor huurders en eigenaars verschillen, een</w:t>
      </w:r>
      <w:r w:rsidR="0024544F">
        <w:t xml:space="preserve"> </w:t>
      </w:r>
      <w:r>
        <w:t>resultaat dat ook gesuggereerd werd op basis van de rendementsanalyse (nieuwe rol private huur deel 3 rendements</w:t>
      </w:r>
      <w:r w:rsidR="00711296">
        <w:softHyphen/>
      </w:r>
      <w:r>
        <w:lastRenderedPageBreak/>
        <w:t>berekening). Echter deze verschillen zijn niet zo groot, en de locatie-effecten voor de huur- en eige</w:t>
      </w:r>
      <w:r w:rsidR="00711296">
        <w:softHyphen/>
      </w:r>
      <w:r>
        <w:t xml:space="preserve">naarsmarkt zijn vooral zeer gelijkaardig. De bovenstaande figuren van de liggingseffecten hierboven zijn immers redelijk gelijkaardig aan die van figuren die de locatie-effecten van eigenaarswoningen in kaart brengen. </w:t>
      </w:r>
    </w:p>
    <w:p w:rsidR="0008544A" w:rsidRDefault="0008544A" w:rsidP="008322C3">
      <w:r>
        <w:t>Specifiek voor de sociale huurmarkt zien we dat het aandeel van sociale huurwoningen geen signifi</w:t>
      </w:r>
      <w:r w:rsidR="00711296">
        <w:softHyphen/>
      </w:r>
      <w:r>
        <w:t>cante invloed heeft op het locatie-effect. Indien we enkel naar het teken kijken en niet naar de signifi</w:t>
      </w:r>
      <w:r w:rsidR="00711296">
        <w:softHyphen/>
      </w:r>
      <w:r>
        <w:t>cantie, lijkt de invloed van sociale woonhuizen een licht positief effect te hebben op de ligging, terwijl dit bij appartementen licht negatief</w:t>
      </w:r>
      <w:r>
        <w:rPr>
          <w:rStyle w:val="FootnoteReference"/>
        </w:rPr>
        <w:footnoteReference w:id="3"/>
      </w:r>
      <w:r>
        <w:t xml:space="preserve"> is. Dit kan mogelijk verklaard worden door een hoger aandeel grote en hoge woonblokken in de sociale huisvesting bij appartementen dat negatief door de omgeving gewaardeerd wordt. De aanwezigheid van homogenere sociale huurhuizen in tuinwijken kan dan weer als positief gewaardeerd worden. </w:t>
      </w:r>
    </w:p>
    <w:p w:rsidR="0008544A" w:rsidRDefault="008322C3" w:rsidP="008322C3">
      <w:pPr>
        <w:pStyle w:val="Caption"/>
      </w:pPr>
      <w:bookmarkStart w:id="29" w:name="_Ref452644572"/>
      <w:r w:rsidRPr="008322C3">
        <w:t xml:space="preserve">Tabel </w:t>
      </w:r>
      <w:r w:rsidR="00301DB0">
        <w:fldChar w:fldCharType="begin"/>
      </w:r>
      <w:r w:rsidR="00301DB0">
        <w:instrText xml:space="preserve"> SEQ Tabel \* ARABIC </w:instrText>
      </w:r>
      <w:r w:rsidR="00301DB0">
        <w:fldChar w:fldCharType="separate"/>
      </w:r>
      <w:r w:rsidR="00A65B8D">
        <w:rPr>
          <w:noProof/>
        </w:rPr>
        <w:t>10</w:t>
      </w:r>
      <w:r w:rsidR="00301DB0">
        <w:rPr>
          <w:noProof/>
        </w:rPr>
        <w:fldChar w:fldCharType="end"/>
      </w:r>
      <w:r w:rsidRPr="008322C3">
        <w:tab/>
      </w:r>
      <w:bookmarkEnd w:id="29"/>
      <w:r w:rsidR="0008544A" w:rsidRPr="008322C3">
        <w:t>Coëfficiënten van statistische sectorvariabelen voor appartementen en woonhuizen, Huur</w:t>
      </w:r>
      <w:r w:rsidR="00711296">
        <w:softHyphen/>
      </w:r>
      <w:r w:rsidR="0008544A" w:rsidRPr="008322C3">
        <w:t>schatter 2016</w:t>
      </w:r>
    </w:p>
    <w:tbl>
      <w:tblPr>
        <w:tblStyle w:val="LightShading1"/>
        <w:tblW w:w="4887" w:type="pct"/>
        <w:tblLayout w:type="fixed"/>
        <w:tblLook w:val="0020" w:firstRow="1" w:lastRow="0" w:firstColumn="0" w:lastColumn="0" w:noHBand="0" w:noVBand="0"/>
      </w:tblPr>
      <w:tblGrid>
        <w:gridCol w:w="4534"/>
        <w:gridCol w:w="2151"/>
        <w:gridCol w:w="2151"/>
      </w:tblGrid>
      <w:tr w:rsidR="0008544A" w:rsidTr="008322C3">
        <w:trPr>
          <w:cnfStyle w:val="100000000000" w:firstRow="1" w:lastRow="0" w:firstColumn="0" w:lastColumn="0" w:oddVBand="0" w:evenVBand="0" w:oddHBand="0" w:evenHBand="0" w:firstRowFirstColumn="0" w:firstRowLastColumn="0" w:lastRowFirstColumn="0" w:lastRowLastColumn="0"/>
        </w:trPr>
        <w:tc>
          <w:tcPr>
            <w:tcW w:w="2566" w:type="pct"/>
            <w:vAlign w:val="top"/>
          </w:tcPr>
          <w:p w:rsidR="0008544A" w:rsidRPr="008322C3" w:rsidRDefault="0008544A" w:rsidP="008322C3">
            <w:pPr>
              <w:pStyle w:val="Tabel-Tekst"/>
            </w:pPr>
          </w:p>
        </w:tc>
        <w:tc>
          <w:tcPr>
            <w:tcW w:w="1217" w:type="pct"/>
            <w:vAlign w:val="top"/>
          </w:tcPr>
          <w:p w:rsidR="0008544A" w:rsidRPr="008322C3" w:rsidRDefault="008322C3" w:rsidP="00411632">
            <w:pPr>
              <w:pStyle w:val="Tabel-Tekst"/>
              <w:jc w:val="center"/>
            </w:pPr>
            <w:r>
              <w:t>A</w:t>
            </w:r>
            <w:r w:rsidR="0008544A" w:rsidRPr="008322C3">
              <w:t>ppartementen</w:t>
            </w:r>
          </w:p>
        </w:tc>
        <w:tc>
          <w:tcPr>
            <w:tcW w:w="1217" w:type="pct"/>
            <w:vAlign w:val="top"/>
          </w:tcPr>
          <w:p w:rsidR="0008544A" w:rsidRPr="008322C3" w:rsidRDefault="008322C3" w:rsidP="00411632">
            <w:pPr>
              <w:pStyle w:val="Tabel-Tekst"/>
              <w:jc w:val="center"/>
            </w:pPr>
            <w:r>
              <w:t>W</w:t>
            </w:r>
            <w:r w:rsidR="0008544A" w:rsidRPr="008322C3">
              <w:t>oonhuizen</w:t>
            </w:r>
          </w:p>
        </w:tc>
      </w:tr>
      <w:tr w:rsidR="0008544A" w:rsidTr="008322C3">
        <w:tc>
          <w:tcPr>
            <w:tcW w:w="2566" w:type="pct"/>
            <w:vMerge w:val="restart"/>
            <w:vAlign w:val="top"/>
          </w:tcPr>
          <w:p w:rsidR="0008544A" w:rsidRPr="008322C3" w:rsidRDefault="0008544A" w:rsidP="00411632">
            <w:pPr>
              <w:pStyle w:val="Tabel-Tekst"/>
            </w:pPr>
            <w:r w:rsidRPr="008322C3">
              <w:t xml:space="preserve">Fiscale inkomen: </w:t>
            </w:r>
            <w:r w:rsidR="008322C3">
              <w:t>g</w:t>
            </w:r>
            <w:r w:rsidRPr="008322C3">
              <w:t>emiddeld fiscale inkomen per belastingplichtige</w:t>
            </w:r>
            <w:r w:rsidR="00411632">
              <w:t>.</w:t>
            </w:r>
            <w:r w:rsidR="00411632">
              <w:br/>
              <w:t>B</w:t>
            </w:r>
            <w:r w:rsidRPr="008322C3">
              <w:t>ron: Fiscale inkomensstatistieken)</w:t>
            </w:r>
          </w:p>
        </w:tc>
        <w:tc>
          <w:tcPr>
            <w:tcW w:w="1217" w:type="pct"/>
            <w:vAlign w:val="top"/>
          </w:tcPr>
          <w:p w:rsidR="0008544A" w:rsidRPr="008322C3" w:rsidRDefault="0008544A" w:rsidP="00411632">
            <w:pPr>
              <w:pStyle w:val="Tabel-Tekst"/>
              <w:tabs>
                <w:tab w:val="decimal" w:pos="838"/>
              </w:tabs>
            </w:pPr>
            <w:r w:rsidRPr="008322C3">
              <w:t>0</w:t>
            </w:r>
            <w:r w:rsidR="00411632">
              <w:t>,</w:t>
            </w:r>
            <w:r w:rsidRPr="008322C3">
              <w:t>118***</w:t>
            </w:r>
          </w:p>
        </w:tc>
        <w:tc>
          <w:tcPr>
            <w:tcW w:w="1217" w:type="pct"/>
            <w:vAlign w:val="top"/>
          </w:tcPr>
          <w:p w:rsidR="0008544A" w:rsidRPr="008322C3" w:rsidRDefault="0008544A" w:rsidP="00411632">
            <w:pPr>
              <w:pStyle w:val="Tabel-Tekst"/>
              <w:tabs>
                <w:tab w:val="decimal" w:pos="851"/>
              </w:tabs>
            </w:pPr>
            <w:r w:rsidRPr="008322C3">
              <w:t>0</w:t>
            </w:r>
            <w:r w:rsidR="00411632">
              <w:t>,</w:t>
            </w:r>
            <w:r w:rsidRPr="008322C3">
              <w:t>0582**</w:t>
            </w:r>
          </w:p>
        </w:tc>
      </w:tr>
      <w:tr w:rsidR="0008544A" w:rsidTr="00411632">
        <w:tc>
          <w:tcPr>
            <w:tcW w:w="2566" w:type="pct"/>
            <w:vMerge/>
            <w:tcBorders>
              <w:bottom w:val="single" w:sz="4" w:space="0" w:color="808080"/>
            </w:tcBorders>
            <w:vAlign w:val="top"/>
          </w:tcPr>
          <w:p w:rsidR="0008544A" w:rsidRPr="008322C3" w:rsidRDefault="0008544A" w:rsidP="008322C3">
            <w:pPr>
              <w:pStyle w:val="Tabel-Tekst"/>
            </w:pPr>
          </w:p>
        </w:tc>
        <w:tc>
          <w:tcPr>
            <w:tcW w:w="1217" w:type="pct"/>
            <w:tcBorders>
              <w:bottom w:val="single" w:sz="4" w:space="0" w:color="808080"/>
            </w:tcBorders>
            <w:vAlign w:val="top"/>
          </w:tcPr>
          <w:p w:rsidR="0008544A" w:rsidRPr="008322C3" w:rsidRDefault="0008544A" w:rsidP="00411632">
            <w:pPr>
              <w:pStyle w:val="Tabel-Tekst"/>
              <w:tabs>
                <w:tab w:val="decimal" w:pos="838"/>
              </w:tabs>
            </w:pPr>
            <w:r w:rsidRPr="008322C3">
              <w:t>(0</w:t>
            </w:r>
            <w:r w:rsidR="00411632">
              <w:t>,</w:t>
            </w:r>
            <w:r w:rsidRPr="008322C3">
              <w:t>0204)</w:t>
            </w:r>
          </w:p>
        </w:tc>
        <w:tc>
          <w:tcPr>
            <w:tcW w:w="1217" w:type="pct"/>
            <w:tcBorders>
              <w:bottom w:val="single" w:sz="4" w:space="0" w:color="808080"/>
            </w:tcBorders>
            <w:vAlign w:val="top"/>
          </w:tcPr>
          <w:p w:rsidR="0008544A" w:rsidRPr="008322C3" w:rsidRDefault="0008544A" w:rsidP="00411632">
            <w:pPr>
              <w:pStyle w:val="Tabel-Tekst"/>
              <w:tabs>
                <w:tab w:val="decimal" w:pos="851"/>
              </w:tabs>
            </w:pPr>
            <w:r w:rsidRPr="008322C3">
              <w:t>(0</w:t>
            </w:r>
            <w:r w:rsidR="00411632">
              <w:t>,</w:t>
            </w:r>
            <w:r w:rsidRPr="008322C3">
              <w:t>0238)</w:t>
            </w:r>
          </w:p>
        </w:tc>
      </w:tr>
      <w:tr w:rsidR="0008544A" w:rsidTr="00411632">
        <w:tc>
          <w:tcPr>
            <w:tcW w:w="2566" w:type="pct"/>
            <w:vMerge w:val="restart"/>
            <w:tcBorders>
              <w:top w:val="single" w:sz="4" w:space="0" w:color="808080"/>
              <w:bottom w:val="nil"/>
            </w:tcBorders>
            <w:vAlign w:val="top"/>
          </w:tcPr>
          <w:p w:rsidR="0008544A" w:rsidRPr="008322C3" w:rsidRDefault="0008544A" w:rsidP="008322C3">
            <w:pPr>
              <w:pStyle w:val="Tabel-Tekst"/>
            </w:pPr>
            <w:r w:rsidRPr="008322C3">
              <w:t xml:space="preserve">Hoger onderwijs: % inwoners dat hoger </w:t>
            </w:r>
            <w:r w:rsidR="005E1D1F" w:rsidRPr="008322C3">
              <w:t>onderwijs</w:t>
            </w:r>
            <w:r w:rsidRPr="008322C3">
              <w:t xml:space="preserve"> genoten heeft. </w:t>
            </w:r>
            <w:r w:rsidR="00411632">
              <w:br/>
            </w:r>
            <w:r w:rsidRPr="008322C3">
              <w:t>Bron: Census 2011</w:t>
            </w:r>
          </w:p>
        </w:tc>
        <w:tc>
          <w:tcPr>
            <w:tcW w:w="1217" w:type="pct"/>
            <w:tcBorders>
              <w:top w:val="single" w:sz="4" w:space="0" w:color="808080"/>
              <w:bottom w:val="nil"/>
            </w:tcBorders>
            <w:vAlign w:val="top"/>
          </w:tcPr>
          <w:p w:rsidR="0008544A" w:rsidRPr="008322C3" w:rsidRDefault="0008544A" w:rsidP="00411632">
            <w:pPr>
              <w:pStyle w:val="Tabel-Tekst"/>
              <w:tabs>
                <w:tab w:val="decimal" w:pos="838"/>
              </w:tabs>
            </w:pPr>
            <w:r w:rsidRPr="008322C3">
              <w:t>0</w:t>
            </w:r>
            <w:r w:rsidR="00411632">
              <w:t>,</w:t>
            </w:r>
            <w:r w:rsidRPr="008322C3">
              <w:t>0981***</w:t>
            </w:r>
          </w:p>
        </w:tc>
        <w:tc>
          <w:tcPr>
            <w:tcW w:w="1217" w:type="pct"/>
            <w:tcBorders>
              <w:top w:val="single" w:sz="4" w:space="0" w:color="808080"/>
              <w:bottom w:val="nil"/>
            </w:tcBorders>
            <w:vAlign w:val="top"/>
          </w:tcPr>
          <w:p w:rsidR="0008544A" w:rsidRPr="008322C3" w:rsidRDefault="0008544A" w:rsidP="00411632">
            <w:pPr>
              <w:pStyle w:val="Tabel-Tekst"/>
              <w:tabs>
                <w:tab w:val="decimal" w:pos="851"/>
              </w:tabs>
            </w:pPr>
            <w:r w:rsidRPr="008322C3">
              <w:t>0</w:t>
            </w:r>
            <w:r w:rsidR="00411632">
              <w:t>,</w:t>
            </w:r>
            <w:r w:rsidRPr="008322C3">
              <w:t>263***</w:t>
            </w:r>
          </w:p>
        </w:tc>
      </w:tr>
      <w:tr w:rsidR="0008544A" w:rsidTr="00411632">
        <w:tc>
          <w:tcPr>
            <w:tcW w:w="2566" w:type="pct"/>
            <w:vMerge/>
            <w:tcBorders>
              <w:top w:val="nil"/>
              <w:bottom w:val="single" w:sz="4" w:space="0" w:color="808080"/>
            </w:tcBorders>
            <w:vAlign w:val="top"/>
          </w:tcPr>
          <w:p w:rsidR="0008544A" w:rsidRPr="008322C3" w:rsidRDefault="0008544A" w:rsidP="008322C3">
            <w:pPr>
              <w:pStyle w:val="Tabel-Tekst"/>
            </w:pPr>
          </w:p>
        </w:tc>
        <w:tc>
          <w:tcPr>
            <w:tcW w:w="1217" w:type="pct"/>
            <w:tcBorders>
              <w:top w:val="nil"/>
              <w:bottom w:val="single" w:sz="4" w:space="0" w:color="808080"/>
            </w:tcBorders>
            <w:vAlign w:val="top"/>
          </w:tcPr>
          <w:p w:rsidR="0008544A" w:rsidRPr="008322C3" w:rsidRDefault="0008544A" w:rsidP="00411632">
            <w:pPr>
              <w:pStyle w:val="Tabel-Tekst"/>
              <w:tabs>
                <w:tab w:val="decimal" w:pos="851"/>
              </w:tabs>
            </w:pPr>
            <w:r w:rsidRPr="008322C3">
              <w:t>(0</w:t>
            </w:r>
            <w:r w:rsidR="00411632">
              <w:t>,</w:t>
            </w:r>
            <w:r w:rsidRPr="008322C3">
              <w:t>0323)</w:t>
            </w:r>
          </w:p>
        </w:tc>
        <w:tc>
          <w:tcPr>
            <w:tcW w:w="1217" w:type="pct"/>
            <w:tcBorders>
              <w:top w:val="nil"/>
              <w:bottom w:val="single" w:sz="4" w:space="0" w:color="808080"/>
            </w:tcBorders>
            <w:vAlign w:val="top"/>
          </w:tcPr>
          <w:p w:rsidR="0008544A" w:rsidRPr="008322C3" w:rsidRDefault="0008544A" w:rsidP="00411632">
            <w:pPr>
              <w:pStyle w:val="Tabel-Tekst"/>
              <w:tabs>
                <w:tab w:val="decimal" w:pos="851"/>
              </w:tabs>
            </w:pPr>
            <w:r w:rsidRPr="008322C3">
              <w:t>(0</w:t>
            </w:r>
            <w:r w:rsidR="00411632">
              <w:t>,</w:t>
            </w:r>
            <w:r w:rsidRPr="008322C3">
              <w:t>0370)</w:t>
            </w:r>
          </w:p>
        </w:tc>
      </w:tr>
      <w:tr w:rsidR="0008544A" w:rsidTr="00411632">
        <w:tc>
          <w:tcPr>
            <w:tcW w:w="2566" w:type="pct"/>
            <w:tcBorders>
              <w:top w:val="single" w:sz="4" w:space="0" w:color="808080"/>
              <w:bottom w:val="single" w:sz="4" w:space="0" w:color="808080"/>
            </w:tcBorders>
            <w:vAlign w:val="top"/>
          </w:tcPr>
          <w:p w:rsidR="0008544A" w:rsidRPr="008322C3" w:rsidRDefault="0008544A" w:rsidP="008322C3">
            <w:pPr>
              <w:pStyle w:val="Tabel-Tekst"/>
            </w:pPr>
            <w:r w:rsidRPr="008322C3">
              <w:t>% Eigenaars-bewoners: bron: census 2011 + eigen herwerking om rekening te houden met collectieve huishoudens zoals</w:t>
            </w:r>
            <w:r w:rsidR="0024544F" w:rsidRPr="008322C3">
              <w:t xml:space="preserve"> </w:t>
            </w:r>
            <w:r w:rsidRPr="008322C3">
              <w:t>rusthuizen.</w:t>
            </w:r>
          </w:p>
        </w:tc>
        <w:tc>
          <w:tcPr>
            <w:tcW w:w="1217" w:type="pct"/>
            <w:tcBorders>
              <w:top w:val="single" w:sz="4" w:space="0" w:color="808080"/>
              <w:bottom w:val="single" w:sz="4" w:space="0" w:color="808080"/>
            </w:tcBorders>
            <w:vAlign w:val="top"/>
          </w:tcPr>
          <w:p w:rsidR="0008544A" w:rsidRPr="008322C3" w:rsidRDefault="0008544A" w:rsidP="00411632">
            <w:pPr>
              <w:pStyle w:val="Tabel-Tekst"/>
              <w:tabs>
                <w:tab w:val="decimal" w:pos="838"/>
              </w:tabs>
            </w:pPr>
            <w:r w:rsidRPr="008322C3">
              <w:t>-0</w:t>
            </w:r>
            <w:r w:rsidR="00411632">
              <w:t>,</w:t>
            </w:r>
            <w:r w:rsidRPr="008322C3">
              <w:t>107***</w:t>
            </w:r>
          </w:p>
        </w:tc>
        <w:tc>
          <w:tcPr>
            <w:tcW w:w="1217" w:type="pct"/>
            <w:tcBorders>
              <w:top w:val="single" w:sz="4" w:space="0" w:color="808080"/>
              <w:bottom w:val="single" w:sz="4" w:space="0" w:color="808080"/>
            </w:tcBorders>
            <w:vAlign w:val="top"/>
          </w:tcPr>
          <w:p w:rsidR="0008544A" w:rsidRPr="008322C3" w:rsidRDefault="0008544A" w:rsidP="00411632">
            <w:pPr>
              <w:pStyle w:val="Tabel-Tekst"/>
              <w:tabs>
                <w:tab w:val="decimal" w:pos="851"/>
              </w:tabs>
            </w:pPr>
            <w:r w:rsidRPr="008322C3">
              <w:t>-0</w:t>
            </w:r>
            <w:r w:rsidR="00411632">
              <w:t>,</w:t>
            </w:r>
            <w:r w:rsidRPr="008322C3">
              <w:t>128***</w:t>
            </w:r>
          </w:p>
        </w:tc>
      </w:tr>
      <w:tr w:rsidR="00411632" w:rsidTr="00411632">
        <w:tc>
          <w:tcPr>
            <w:tcW w:w="2566" w:type="pct"/>
            <w:vMerge w:val="restart"/>
            <w:tcBorders>
              <w:top w:val="single" w:sz="4" w:space="0" w:color="808080"/>
            </w:tcBorders>
            <w:vAlign w:val="top"/>
          </w:tcPr>
          <w:p w:rsidR="00411632" w:rsidRPr="008322C3" w:rsidRDefault="00411632" w:rsidP="008322C3">
            <w:pPr>
              <w:pStyle w:val="Tabel-Tekst"/>
            </w:pPr>
            <w:r w:rsidRPr="008322C3">
              <w:t xml:space="preserve">% Sociale huurwoningen t.o.v. alle woongelegenheden. </w:t>
            </w:r>
            <w:r>
              <w:br/>
            </w:r>
            <w:r w:rsidRPr="008322C3">
              <w:t xml:space="preserve">Bron: Census 2011, </w:t>
            </w:r>
            <w:proofErr w:type="spellStart"/>
            <w:r w:rsidRPr="008322C3">
              <w:t>SHM’s</w:t>
            </w:r>
            <w:proofErr w:type="spellEnd"/>
            <w:r w:rsidRPr="008322C3">
              <w:t xml:space="preserve"> + eigen berekeningen</w:t>
            </w:r>
          </w:p>
        </w:tc>
        <w:tc>
          <w:tcPr>
            <w:tcW w:w="1217" w:type="pct"/>
            <w:tcBorders>
              <w:top w:val="single" w:sz="4" w:space="0" w:color="808080"/>
              <w:bottom w:val="nil"/>
            </w:tcBorders>
            <w:vAlign w:val="top"/>
          </w:tcPr>
          <w:p w:rsidR="00411632" w:rsidRPr="008322C3" w:rsidRDefault="00411632" w:rsidP="00411632">
            <w:pPr>
              <w:pStyle w:val="Tabel-Tekst"/>
              <w:tabs>
                <w:tab w:val="decimal" w:pos="838"/>
              </w:tabs>
            </w:pPr>
            <w:r w:rsidRPr="008322C3">
              <w:t>-0</w:t>
            </w:r>
            <w:r>
              <w:t>,</w:t>
            </w:r>
            <w:r w:rsidRPr="008322C3">
              <w:t>0130</w:t>
            </w:r>
          </w:p>
        </w:tc>
        <w:tc>
          <w:tcPr>
            <w:tcW w:w="1217" w:type="pct"/>
            <w:tcBorders>
              <w:top w:val="single" w:sz="4" w:space="0" w:color="808080"/>
              <w:bottom w:val="nil"/>
            </w:tcBorders>
            <w:vAlign w:val="top"/>
          </w:tcPr>
          <w:p w:rsidR="00411632" w:rsidRPr="008322C3" w:rsidRDefault="00411632" w:rsidP="00411632">
            <w:pPr>
              <w:pStyle w:val="Tabel-Tekst"/>
              <w:tabs>
                <w:tab w:val="decimal" w:pos="851"/>
              </w:tabs>
            </w:pPr>
            <w:r w:rsidRPr="008322C3">
              <w:t>0</w:t>
            </w:r>
            <w:r>
              <w:t>,</w:t>
            </w:r>
            <w:r w:rsidRPr="008322C3">
              <w:t>00788</w:t>
            </w:r>
          </w:p>
        </w:tc>
      </w:tr>
      <w:tr w:rsidR="00411632" w:rsidTr="00411632">
        <w:tc>
          <w:tcPr>
            <w:tcW w:w="2566" w:type="pct"/>
            <w:vMerge/>
            <w:vAlign w:val="top"/>
          </w:tcPr>
          <w:p w:rsidR="00411632" w:rsidRPr="008322C3" w:rsidRDefault="00411632" w:rsidP="008322C3">
            <w:pPr>
              <w:pStyle w:val="Tabel-Tekst"/>
            </w:pPr>
          </w:p>
        </w:tc>
        <w:tc>
          <w:tcPr>
            <w:tcW w:w="1217" w:type="pct"/>
            <w:tcBorders>
              <w:top w:val="nil"/>
            </w:tcBorders>
            <w:vAlign w:val="top"/>
          </w:tcPr>
          <w:p w:rsidR="00411632" w:rsidRPr="008322C3" w:rsidRDefault="00411632" w:rsidP="00411632">
            <w:pPr>
              <w:pStyle w:val="Tabel-Tekst"/>
              <w:tabs>
                <w:tab w:val="decimal" w:pos="838"/>
              </w:tabs>
            </w:pPr>
            <w:r w:rsidRPr="008322C3">
              <w:t>(0</w:t>
            </w:r>
            <w:r>
              <w:t>,</w:t>
            </w:r>
            <w:r w:rsidRPr="008322C3">
              <w:t>0123)</w:t>
            </w:r>
          </w:p>
        </w:tc>
        <w:tc>
          <w:tcPr>
            <w:tcW w:w="1217" w:type="pct"/>
            <w:tcBorders>
              <w:top w:val="nil"/>
            </w:tcBorders>
            <w:vAlign w:val="top"/>
          </w:tcPr>
          <w:p w:rsidR="00411632" w:rsidRPr="008322C3" w:rsidRDefault="00411632" w:rsidP="00411632">
            <w:pPr>
              <w:pStyle w:val="Tabel-Tekst"/>
              <w:tabs>
                <w:tab w:val="decimal" w:pos="851"/>
              </w:tabs>
            </w:pPr>
            <w:r w:rsidRPr="008322C3">
              <w:t>(0</w:t>
            </w:r>
            <w:r>
              <w:t>,</w:t>
            </w:r>
            <w:r w:rsidRPr="008322C3">
              <w:t>0183)</w:t>
            </w:r>
          </w:p>
        </w:tc>
      </w:tr>
    </w:tbl>
    <w:p w:rsidR="0008544A" w:rsidRDefault="0008544A" w:rsidP="0008544A">
      <w:pPr>
        <w:pStyle w:val="Tabel-Tekst"/>
      </w:pPr>
      <w:r>
        <w:t>Bron: Helgers en Vastmans (2016)</w:t>
      </w:r>
    </w:p>
    <w:p w:rsidR="0008544A" w:rsidRDefault="0008544A" w:rsidP="00411632">
      <w:r>
        <w:t xml:space="preserve">Bovenstaande analyse wil niet zeggen dat sociale huurwoningen gelegen zijn op even interessante locaties als de gemiddelde huurwoning. Daarom hebben we een korte </w:t>
      </w:r>
      <w:r w:rsidR="005E1D1F">
        <w:t>regressieanalyse</w:t>
      </w:r>
      <w:r>
        <w:t xml:space="preserve"> uitgevoerd om na te gaan wat de kenmerken zijn van de statistische sectoren met een hoger aandeel sociale huis</w:t>
      </w:r>
      <w:r w:rsidR="00711296">
        <w:softHyphen/>
      </w:r>
      <w:r>
        <w:t xml:space="preserve">vesting. De </w:t>
      </w:r>
      <w:r w:rsidR="005E1D1F">
        <w:t>regressieanalyse</w:t>
      </w:r>
      <w:r>
        <w:t xml:space="preserve"> wijst erop dat hoe lager het fiscale inkomen, het aandeel buitenlanders, het aandeel dichte bebouwing en het aandeel eigenaars, hoe hoger het aandeel sociale huisvesting. Hoe hoger het aandeel werkzoekenden, het aandeel twintigers en bejaarden, hoe hoger het aandeel sociale huisvesting. Opvallend is dat een hoger aandeel personen die hoger onderwijs gevolgd hebben ook positief gecorreleerd is met het aandeel sociale huisvesting.</w:t>
      </w:r>
      <w:r w:rsidR="0024544F">
        <w:t xml:space="preserve"> </w:t>
      </w:r>
      <w:r>
        <w:t xml:space="preserve">De totale verklaringskracht van het regressiemodel is wel zeer beperkt (R² = 5%). </w:t>
      </w:r>
    </w:p>
    <w:p w:rsidR="0008544A" w:rsidRDefault="00411632" w:rsidP="00411632">
      <w:pPr>
        <w:pStyle w:val="Caption"/>
      </w:pPr>
      <w:r>
        <w:lastRenderedPageBreak/>
        <w:t>Tabel</w:t>
      </w:r>
      <w:r w:rsidRPr="009E1119">
        <w:t xml:space="preserve"> </w:t>
      </w:r>
      <w:r w:rsidR="00301DB0">
        <w:fldChar w:fldCharType="begin"/>
      </w:r>
      <w:r w:rsidR="00301DB0">
        <w:instrText xml:space="preserve"> SEQ Tabel \* ARABIC </w:instrText>
      </w:r>
      <w:r w:rsidR="00301DB0">
        <w:fldChar w:fldCharType="separate"/>
      </w:r>
      <w:r w:rsidR="00A65B8D">
        <w:rPr>
          <w:noProof/>
        </w:rPr>
        <w:t>11</w:t>
      </w:r>
      <w:r w:rsidR="00301DB0">
        <w:rPr>
          <w:noProof/>
        </w:rPr>
        <w:fldChar w:fldCharType="end"/>
      </w:r>
      <w:r w:rsidRPr="009E1119">
        <w:tab/>
      </w:r>
      <w:r w:rsidRPr="00411632">
        <w:t>Coëfficiënten van statistische sectorvariabelen die aandeel sociale huisvesting verklaren</w:t>
      </w:r>
    </w:p>
    <w:tbl>
      <w:tblPr>
        <w:tblStyle w:val="LightShading1"/>
        <w:tblW w:w="9072" w:type="dxa"/>
        <w:tblLayout w:type="fixed"/>
        <w:tblLook w:val="04A0" w:firstRow="1" w:lastRow="0" w:firstColumn="1" w:lastColumn="0" w:noHBand="0" w:noVBand="1"/>
      </w:tblPr>
      <w:tblGrid>
        <w:gridCol w:w="3969"/>
        <w:gridCol w:w="1701"/>
        <w:gridCol w:w="1701"/>
        <w:gridCol w:w="1701"/>
      </w:tblGrid>
      <w:tr w:rsidR="0008544A" w:rsidRPr="007978CA" w:rsidTr="00411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variabele</w:t>
            </w:r>
          </w:p>
        </w:tc>
        <w:tc>
          <w:tcPr>
            <w:tcW w:w="1701" w:type="dxa"/>
            <w:vAlign w:val="top"/>
          </w:tcPr>
          <w:p w:rsidR="0008544A" w:rsidRDefault="0008544A" w:rsidP="00411632">
            <w:pPr>
              <w:pStyle w:val="Tabel-Tekst"/>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Verband</w:t>
            </w:r>
          </w:p>
        </w:tc>
        <w:tc>
          <w:tcPr>
            <w:tcW w:w="1701" w:type="dxa"/>
            <w:vAlign w:val="top"/>
            <w:hideMark/>
          </w:tcPr>
          <w:p w:rsidR="0008544A" w:rsidRPr="007978CA" w:rsidRDefault="0008544A" w:rsidP="00411632">
            <w:pPr>
              <w:pStyle w:val="Tabel-Tekst"/>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coëfficiënt</w:t>
            </w:r>
          </w:p>
        </w:tc>
        <w:tc>
          <w:tcPr>
            <w:tcW w:w="1701" w:type="dxa"/>
            <w:vAlign w:val="top"/>
            <w:hideMark/>
          </w:tcPr>
          <w:p w:rsidR="0008544A" w:rsidRPr="007978CA" w:rsidRDefault="0008544A" w:rsidP="00411632">
            <w:pPr>
              <w:pStyle w:val="Tabel-Tekst"/>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P-</w:t>
            </w:r>
            <w:proofErr w:type="spellStart"/>
            <w:r>
              <w:rPr>
                <w:lang w:eastAsia="nl-BE"/>
              </w:rPr>
              <w:t>value</w:t>
            </w:r>
            <w:proofErr w:type="spellEnd"/>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Fiscaal inkomen</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-2</w:t>
            </w:r>
            <w:r w:rsidR="00411632">
              <w:rPr>
                <w:lang w:eastAsia="nl-BE"/>
              </w:rPr>
              <w:t>,</w:t>
            </w:r>
            <w:r w:rsidRPr="006001EA">
              <w:rPr>
                <w:lang w:eastAsia="nl-BE"/>
              </w:rPr>
              <w:t>01e-06</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036</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xml:space="preserve">% </w:t>
            </w:r>
            <w:r w:rsidRPr="007978CA">
              <w:rPr>
                <w:lang w:eastAsia="nl-BE"/>
              </w:rPr>
              <w:t>werkzoekenden</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1</w:t>
            </w:r>
            <w:r w:rsidR="00411632">
              <w:rPr>
                <w:lang w:eastAsia="nl-BE"/>
              </w:rPr>
              <w:t>,</w:t>
            </w:r>
            <w:r w:rsidRPr="006001EA">
              <w:rPr>
                <w:lang w:eastAsia="nl-BE"/>
              </w:rPr>
              <w:t>18665</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000</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Bevolkingsdichtheid</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-1</w:t>
            </w:r>
            <w:r w:rsidR="00411632">
              <w:rPr>
                <w:lang w:eastAsia="nl-BE"/>
              </w:rPr>
              <w:t>,</w:t>
            </w:r>
            <w:r w:rsidRPr="006001EA">
              <w:rPr>
                <w:lang w:eastAsia="nl-BE"/>
              </w:rPr>
              <w:t>89e-06</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262</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buitenlanders</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w:t>
            </w:r>
            <w:r w:rsidR="00692E63">
              <w:rPr>
                <w:lang w:eastAsia="nl-BE"/>
              </w:rPr>
              <w:t>0</w:t>
            </w:r>
            <w:r w:rsidR="00411632">
              <w:rPr>
                <w:lang w:eastAsia="nl-BE"/>
              </w:rPr>
              <w:t>,</w:t>
            </w:r>
            <w:r w:rsidRPr="006001EA">
              <w:rPr>
                <w:lang w:eastAsia="nl-BE"/>
              </w:rPr>
              <w:t>1849008</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000</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xml:space="preserve">% </w:t>
            </w:r>
            <w:r w:rsidRPr="007978CA">
              <w:rPr>
                <w:lang w:eastAsia="nl-BE"/>
              </w:rPr>
              <w:t>twintigers</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692E63"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411632">
              <w:rPr>
                <w:lang w:eastAsia="nl-BE"/>
              </w:rPr>
              <w:t>,</w:t>
            </w:r>
            <w:r w:rsidR="0008544A" w:rsidRPr="006001EA">
              <w:rPr>
                <w:lang w:eastAsia="nl-BE"/>
              </w:rPr>
              <w:t>1864605</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004</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personen 65+</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692E63"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411632">
              <w:rPr>
                <w:lang w:eastAsia="nl-BE"/>
              </w:rPr>
              <w:t>,</w:t>
            </w:r>
            <w:r w:rsidR="0008544A" w:rsidRPr="006001EA">
              <w:rPr>
                <w:lang w:eastAsia="nl-BE"/>
              </w:rPr>
              <w:t>0778127</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034</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xml:space="preserve">Gemiddelde </w:t>
            </w:r>
            <w:r w:rsidRPr="007978CA">
              <w:rPr>
                <w:lang w:eastAsia="nl-BE"/>
              </w:rPr>
              <w:t>bouwjaar</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692E63"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411632">
              <w:rPr>
                <w:lang w:eastAsia="nl-BE"/>
              </w:rPr>
              <w:t>,</w:t>
            </w:r>
            <w:r w:rsidR="0008544A" w:rsidRPr="006001EA">
              <w:rPr>
                <w:lang w:eastAsia="nl-BE"/>
              </w:rPr>
              <w:t>0005811</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003</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xml:space="preserve">% </w:t>
            </w:r>
            <w:r w:rsidRPr="007978CA">
              <w:rPr>
                <w:lang w:eastAsia="nl-BE"/>
              </w:rPr>
              <w:t>eigenaars</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w:t>
            </w:r>
            <w:r w:rsidR="00692E63">
              <w:rPr>
                <w:lang w:eastAsia="nl-BE"/>
              </w:rPr>
              <w:t>0</w:t>
            </w:r>
            <w:r w:rsidR="00411632">
              <w:rPr>
                <w:lang w:eastAsia="nl-BE"/>
              </w:rPr>
              <w:t>,</w:t>
            </w:r>
            <w:r w:rsidRPr="006001EA">
              <w:rPr>
                <w:lang w:eastAsia="nl-BE"/>
              </w:rPr>
              <w:t>2386054</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000</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xml:space="preserve">% </w:t>
            </w:r>
            <w:r w:rsidRPr="007978CA">
              <w:rPr>
                <w:lang w:eastAsia="nl-BE"/>
              </w:rPr>
              <w:t>hog</w:t>
            </w:r>
            <w:r>
              <w:rPr>
                <w:lang w:eastAsia="nl-BE"/>
              </w:rPr>
              <w:t>er onderwijs</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692E63"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411632">
              <w:rPr>
                <w:lang w:eastAsia="nl-BE"/>
              </w:rPr>
              <w:t>,</w:t>
            </w:r>
            <w:r w:rsidR="0008544A" w:rsidRPr="006001EA">
              <w:rPr>
                <w:lang w:eastAsia="nl-BE"/>
              </w:rPr>
              <w:t>0663631</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062</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Pr>
                <w:lang w:eastAsia="nl-BE"/>
              </w:rPr>
              <w:t xml:space="preserve">% aandeel appartementen en gesloten </w:t>
            </w:r>
            <w:r w:rsidR="00411632">
              <w:rPr>
                <w:lang w:eastAsia="nl-BE"/>
              </w:rPr>
              <w:t>B</w:t>
            </w:r>
            <w:r>
              <w:rPr>
                <w:lang w:eastAsia="nl-BE"/>
              </w:rPr>
              <w:t>ebouwing</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Pr>
                <w:lang w:eastAsia="nl-BE"/>
              </w:rPr>
              <w:t>-</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w:t>
            </w:r>
            <w:r w:rsidR="00692E63">
              <w:rPr>
                <w:lang w:eastAsia="nl-BE"/>
              </w:rPr>
              <w:t>0</w:t>
            </w:r>
            <w:r w:rsidR="00411632">
              <w:rPr>
                <w:lang w:eastAsia="nl-BE"/>
              </w:rPr>
              <w:t>,</w:t>
            </w:r>
            <w:r w:rsidRPr="006001EA">
              <w:rPr>
                <w:lang w:eastAsia="nl-BE"/>
              </w:rPr>
              <w:t>0232689</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0</w:t>
            </w:r>
            <w:r w:rsidR="00411632">
              <w:rPr>
                <w:lang w:eastAsia="nl-BE"/>
              </w:rPr>
              <w:t>,</w:t>
            </w:r>
            <w:r w:rsidRPr="006001EA">
              <w:rPr>
                <w:lang w:eastAsia="nl-BE"/>
              </w:rPr>
              <w:t>093</w:t>
            </w:r>
          </w:p>
        </w:tc>
      </w:tr>
      <w:tr w:rsidR="0008544A" w:rsidRPr="007978CA" w:rsidTr="00411632">
        <w:tc>
          <w:tcPr>
            <w:cnfStyle w:val="001000000000" w:firstRow="0" w:lastRow="0" w:firstColumn="1" w:lastColumn="0" w:oddVBand="0" w:evenVBand="0" w:oddHBand="0" w:evenHBand="0" w:firstRowFirstColumn="0" w:firstRowLastColumn="0" w:lastRowFirstColumn="0" w:lastRowLastColumn="0"/>
            <w:tcW w:w="3969" w:type="dxa"/>
            <w:vAlign w:val="top"/>
            <w:hideMark/>
          </w:tcPr>
          <w:p w:rsidR="0008544A" w:rsidRPr="007978CA" w:rsidRDefault="0008544A" w:rsidP="00411632">
            <w:pPr>
              <w:pStyle w:val="Tabel-Tekst"/>
              <w:rPr>
                <w:lang w:eastAsia="nl-BE"/>
              </w:rPr>
            </w:pPr>
            <w:r w:rsidRPr="007978CA">
              <w:rPr>
                <w:lang w:eastAsia="nl-BE"/>
              </w:rPr>
              <w:t>_cons</w:t>
            </w:r>
            <w:r>
              <w:rPr>
                <w:lang w:eastAsia="nl-BE"/>
              </w:rPr>
              <w:t>tante</w:t>
            </w:r>
          </w:p>
        </w:tc>
        <w:tc>
          <w:tcPr>
            <w:tcW w:w="1701" w:type="dxa"/>
            <w:vAlign w:val="top"/>
          </w:tcPr>
          <w:p w:rsidR="0008544A" w:rsidRPr="006001E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6001EA">
              <w:rPr>
                <w:lang w:eastAsia="nl-BE"/>
              </w:rPr>
              <w:t>-</w:t>
            </w:r>
            <w:r w:rsidR="00692E63">
              <w:rPr>
                <w:lang w:eastAsia="nl-BE"/>
              </w:rPr>
              <w:t>0</w:t>
            </w:r>
            <w:r w:rsidR="00411632">
              <w:rPr>
                <w:lang w:eastAsia="nl-BE"/>
              </w:rPr>
              <w:t>,</w:t>
            </w:r>
            <w:r w:rsidRPr="006001EA">
              <w:rPr>
                <w:lang w:eastAsia="nl-BE"/>
              </w:rPr>
              <w:t>9494981</w:t>
            </w:r>
          </w:p>
        </w:tc>
        <w:tc>
          <w:tcPr>
            <w:tcW w:w="1701" w:type="dxa"/>
            <w:vAlign w:val="top"/>
            <w:hideMark/>
          </w:tcPr>
          <w:p w:rsidR="0008544A" w:rsidRPr="007978CA" w:rsidRDefault="0008544A" w:rsidP="00411632">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7978CA">
              <w:rPr>
                <w:lang w:eastAsia="nl-BE"/>
              </w:rPr>
              <w:t>0</w:t>
            </w:r>
            <w:r w:rsidR="00411632">
              <w:rPr>
                <w:lang w:eastAsia="nl-BE"/>
              </w:rPr>
              <w:t>,</w:t>
            </w:r>
            <w:r w:rsidRPr="007978CA">
              <w:rPr>
                <w:lang w:eastAsia="nl-BE"/>
              </w:rPr>
              <w:t>0</w:t>
            </w:r>
            <w:r>
              <w:rPr>
                <w:lang w:eastAsia="nl-BE"/>
              </w:rPr>
              <w:t>14</w:t>
            </w:r>
          </w:p>
        </w:tc>
      </w:tr>
    </w:tbl>
    <w:p w:rsidR="0008544A" w:rsidRPr="009B0239" w:rsidRDefault="0008544A" w:rsidP="0008544A">
      <w:pPr>
        <w:pStyle w:val="NormalIndent"/>
        <w:ind w:firstLine="0"/>
      </w:pPr>
    </w:p>
    <w:p w:rsidR="0008544A" w:rsidRDefault="0008544A" w:rsidP="0008544A">
      <w:pPr>
        <w:spacing w:before="0" w:line="240" w:lineRule="auto"/>
        <w:jc w:val="left"/>
        <w:rPr>
          <w:rFonts w:ascii="Candara" w:hAnsi="Candara" w:cs="Arial"/>
          <w:b/>
          <w:bCs/>
          <w:color w:val="491469"/>
          <w:sz w:val="40"/>
          <w:szCs w:val="34"/>
        </w:rPr>
      </w:pPr>
      <w:r>
        <w:br w:type="page"/>
      </w:r>
    </w:p>
    <w:p w:rsidR="0008544A" w:rsidRPr="00880F09" w:rsidRDefault="0008544A" w:rsidP="00692E63">
      <w:pPr>
        <w:pStyle w:val="Heading1"/>
      </w:pPr>
      <w:bookmarkStart w:id="30" w:name="_Toc464122181"/>
      <w:r>
        <w:lastRenderedPageBreak/>
        <w:t xml:space="preserve">Hoe accuraat is de </w:t>
      </w:r>
      <w:r w:rsidR="0024544F">
        <w:t>Huurschatter</w:t>
      </w:r>
      <w:r>
        <w:t xml:space="preserve"> bij lagere huurprijzen</w:t>
      </w:r>
      <w:bookmarkEnd w:id="30"/>
    </w:p>
    <w:p w:rsidR="0008544A" w:rsidRDefault="0008544A" w:rsidP="00692E63">
      <w:pPr>
        <w:pStyle w:val="Heading2"/>
      </w:pPr>
      <w:bookmarkStart w:id="31" w:name="_Toc464122182"/>
      <w:r>
        <w:t>Verdeling huidige sociale huurmarktwaarden</w:t>
      </w:r>
      <w:bookmarkEnd w:id="31"/>
    </w:p>
    <w:p w:rsidR="0008544A" w:rsidRDefault="0008544A" w:rsidP="0008544A">
      <w:r>
        <w:t>De gemiddelde sociale huurmarktwaarden liggen typisch lager dan voor de private huurwoningen. Onderstaande figuur geeft de verdeling van de huidige sociale huurmarktwaarden. Op basis van de cumulatieve verdeling zien we dat 11% lager ligt dan 400</w:t>
      </w:r>
      <w:r w:rsidR="0024544F">
        <w:t> euro</w:t>
      </w:r>
      <w:r>
        <w:t xml:space="preserve"> en 13% hoger ligt dan 700</w:t>
      </w:r>
      <w:r w:rsidR="0024544F">
        <w:t> euro</w:t>
      </w:r>
      <w:r>
        <w:t xml:space="preserve"> (of 87% lager ligt dan 700</w:t>
      </w:r>
      <w:r w:rsidR="0024544F">
        <w:t> euro</w:t>
      </w:r>
      <w:r>
        <w:t>). De mediaan is 535</w:t>
      </w:r>
      <w:r w:rsidR="0024544F">
        <w:t> euro</w:t>
      </w:r>
      <w:r>
        <w:t>, het gemiddelde 554</w:t>
      </w:r>
      <w:r w:rsidR="0024544F">
        <w:t> euro</w:t>
      </w:r>
      <w:r>
        <w:t xml:space="preserve">. Net als bij de </w:t>
      </w:r>
      <w:r w:rsidR="0024544F">
        <w:t>Huurschatter</w:t>
      </w:r>
      <w:r>
        <w:t xml:space="preserve"> zien we dat de huurprijs vaak afgerond wordt op 100-tallen en 50-tallen. </w:t>
      </w:r>
    </w:p>
    <w:p w:rsidR="00692E63" w:rsidRPr="00B302E9" w:rsidRDefault="00692E63" w:rsidP="003A3594">
      <w:pPr>
        <w:pStyle w:val="Caption"/>
      </w:pPr>
      <w:bookmarkStart w:id="32" w:name="_Toc463592531"/>
      <w:r w:rsidRPr="00B302E9">
        <w:t>Figu</w:t>
      </w:r>
      <w:r>
        <w:t>u</w:t>
      </w:r>
      <w:r w:rsidRPr="00B302E9">
        <w:t xml:space="preserve">r </w:t>
      </w:r>
      <w:r w:rsidR="00301DB0">
        <w:fldChar w:fldCharType="begin"/>
      </w:r>
      <w:r w:rsidR="00301DB0">
        <w:instrText xml:space="preserve"> SEQ Figuur \* ARABIC </w:instrText>
      </w:r>
      <w:r w:rsidR="00301DB0">
        <w:fldChar w:fldCharType="separate"/>
      </w:r>
      <w:r w:rsidR="00A65B8D">
        <w:rPr>
          <w:noProof/>
        </w:rPr>
        <w:t>4</w:t>
      </w:r>
      <w:r w:rsidR="00301DB0">
        <w:rPr>
          <w:noProof/>
        </w:rPr>
        <w:fldChar w:fldCharType="end"/>
      </w:r>
      <w:r w:rsidRPr="00B302E9">
        <w:tab/>
      </w:r>
      <w:r>
        <w:t>A</w:t>
      </w:r>
      <w:r w:rsidRPr="00692E63">
        <w:t>antal sociale woningen volgens huidige sociale huurmarktwaarde, 2014</w:t>
      </w:r>
      <w:bookmarkEnd w:id="32"/>
    </w:p>
    <w:p w:rsidR="0008544A" w:rsidRDefault="0008544A" w:rsidP="00692E63">
      <w:pPr>
        <w:pStyle w:val="Figuur-RegelafstandEnkel"/>
      </w:pPr>
      <w:r>
        <w:rPr>
          <w:noProof/>
          <w:lang w:eastAsia="nl-BE"/>
        </w:rPr>
        <w:drawing>
          <wp:inline distT="0" distB="0" distL="0" distR="0" wp14:anchorId="1D370223" wp14:editId="6259B09C">
            <wp:extent cx="5759450" cy="3766820"/>
            <wp:effectExtent l="0" t="0" r="12700"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8544A" w:rsidRPr="00692E63" w:rsidRDefault="0008544A" w:rsidP="00692E63">
      <w:pPr>
        <w:pStyle w:val="FiguurTabel-TekstBron"/>
        <w:rPr>
          <w:rStyle w:val="Grijs"/>
        </w:rPr>
      </w:pPr>
      <w:r w:rsidRPr="00692E63">
        <w:rPr>
          <w:rStyle w:val="Grijs"/>
        </w:rPr>
        <w:t>Bron: VMSW, wonen Vlaanderen</w:t>
      </w:r>
    </w:p>
    <w:p w:rsidR="0008544A" w:rsidRPr="00880F09" w:rsidRDefault="0008544A" w:rsidP="0008544A">
      <w:pPr>
        <w:pStyle w:val="Heading2"/>
      </w:pPr>
      <w:bookmarkStart w:id="33" w:name="_Toc464122183"/>
      <w:r>
        <w:t>De werkelijke, de objectieve en de geschatte huurprijs</w:t>
      </w:r>
      <w:bookmarkEnd w:id="33"/>
    </w:p>
    <w:p w:rsidR="0008544A" w:rsidRDefault="0008544A" w:rsidP="0008544A">
      <w:r>
        <w:t xml:space="preserve">Gezien het groot aantal sociale huurmarktwaarden in de sociale huursector en het beperkt aandeel in de </w:t>
      </w:r>
      <w:r w:rsidR="0024544F">
        <w:t>Huurschatter</w:t>
      </w:r>
      <w:r>
        <w:t xml:space="preserve"> is er de vraag indien de </w:t>
      </w:r>
      <w:r w:rsidR="0024544F">
        <w:t>Huurschatter</w:t>
      </w:r>
      <w:r>
        <w:t xml:space="preserve"> deze wel kan voorspellen. Het is alvast zo dat een </w:t>
      </w:r>
      <w:proofErr w:type="spellStart"/>
      <w:r>
        <w:t>hedonisch</w:t>
      </w:r>
      <w:proofErr w:type="spellEnd"/>
      <w:r>
        <w:t xml:space="preserve"> prijsmodel geen nood heeft aan een representatieve steekproef om valide uitspraken te doen. Er dient enkel een voldoende aantal observaties beschikbaar te zijn om de schatting op te baseren. Dit wil zeggen dat het niet zo is dat de </w:t>
      </w:r>
      <w:r w:rsidR="0024544F">
        <w:t>Huurschatter</w:t>
      </w:r>
      <w:r>
        <w:t xml:space="preserve"> niet goed kan werken voor het lagere </w:t>
      </w:r>
      <w:r w:rsidR="005E1D1F">
        <w:lastRenderedPageBreak/>
        <w:t>segment</w:t>
      </w:r>
      <w:r>
        <w:t xml:space="preserve"> omdat er relatief minder huurwoningen in het lagere </w:t>
      </w:r>
      <w:r w:rsidR="005E1D1F">
        <w:t>segment</w:t>
      </w:r>
      <w:r>
        <w:t xml:space="preserve"> van de </w:t>
      </w:r>
      <w:r w:rsidR="0024544F">
        <w:t>Huurschatter</w:t>
      </w:r>
      <w:r>
        <w:t xml:space="preserve"> gebruikt zouden </w:t>
      </w:r>
      <w:r w:rsidR="005E1D1F">
        <w:t>hebben</w:t>
      </w:r>
      <w:r>
        <w:t xml:space="preserve"> gemaakt. De </w:t>
      </w:r>
      <w:r w:rsidR="005E1D1F">
        <w:t>enige</w:t>
      </w:r>
      <w:r>
        <w:t xml:space="preserve"> voorwaarde is dat er wel voldoende observaties zijn (in absolute aantallen). </w:t>
      </w:r>
    </w:p>
    <w:p w:rsidR="0008544A" w:rsidRDefault="0008544A" w:rsidP="00692E63">
      <w:r>
        <w:t xml:space="preserve">Dit neemt niet weg dat er om andere redenen het lagere segment niet goed benaderd kan worden, bijvoorbeeld omdat de eigenschappen van een krotwoning onvoldoende ingegeven kunnen worden. De vraag blijft dus of met name voor de lagere huurprijzen deze wel voldoende accuraat zijn, wat zeker voor de toepassing van dit onderzoek van cruciaal belang is. Hierop kan geen duidelijk antwoord gegeven worden aangezien er twee elementen meespelen. </w:t>
      </w:r>
    </w:p>
    <w:p w:rsidR="0008544A" w:rsidRDefault="0008544A" w:rsidP="00692E63">
      <w:r>
        <w:t>Vooreerst is het zo dat de verdeling van de huidige huurmarktwaarden niet de werkelijke verdeling van de objectieve huurmarktwaarden is. Met de objectieve huurmarktwaarden bedoelen we huur</w:t>
      </w:r>
      <w:r w:rsidR="00711296">
        <w:softHyphen/>
      </w:r>
      <w:r>
        <w:t xml:space="preserve">marktwaarde zoals die in normale marktomstandigheden tot stand komt. Er zit dus een fout tussen de werkelijke (subject-afhankelijke) en objectieve huurprijs. Daar dient de </w:t>
      </w:r>
      <w:r w:rsidR="0024544F">
        <w:t>Huurschatter</w:t>
      </w:r>
      <w:r>
        <w:t xml:space="preserve"> net als tool voor, om de match tussen beiden te verhogen. Maar de geschatte huurmarktwaarden door de </w:t>
      </w:r>
      <w:r w:rsidR="0024544F">
        <w:t>Huurschatter</w:t>
      </w:r>
      <w:r>
        <w:t xml:space="preserve"> verschillen uiteraard ook van de objectieve huurmarktwaarden omdat er ook een fout is vanwege beperkingen in het model. Hierdoor zal de objectieve huurprijzen ongekend blijven. </w:t>
      </w:r>
    </w:p>
    <w:p w:rsidR="0008544A" w:rsidRPr="007F23B0" w:rsidRDefault="0008544A" w:rsidP="00692E63">
      <w:r>
        <w:t xml:space="preserve">Wij kennen echter enkel de fout als het verschil tussen de werkelijke en geschatte huurprijs. </w:t>
      </w:r>
    </w:p>
    <w:p w:rsidR="0008544A" w:rsidRDefault="0008544A" w:rsidP="00692E63">
      <w:r>
        <w:t>Fout = Werkelijke huurprijs - geschatte huurmarktwaarde door Huurschatter</w:t>
      </w:r>
    </w:p>
    <w:p w:rsidR="0008544A" w:rsidRDefault="0008544A" w:rsidP="00692E63">
      <w:r>
        <w:t xml:space="preserve">We kunnen nu twee extreme gevallen vooropstellen. In het eerste geval veronderstellen we dat de fout volledig toe te wijzen is aan gebreken in de </w:t>
      </w:r>
      <w:r w:rsidR="0024544F">
        <w:t>Huurschatter</w:t>
      </w:r>
      <w:r>
        <w:t xml:space="preserve">. In het tweede geval veronderstellen we dat de </w:t>
      </w:r>
      <w:r w:rsidR="0024544F">
        <w:t>Huurschatter</w:t>
      </w:r>
      <w:r>
        <w:t xml:space="preserve"> exact de objectieve huurprijs voorspelt en de fout volledig te wijten is aan een subjectieve fout en het gebrek aan transparantie en kennis van de huurprijzen op de huurmarkt van huurders en verhuurders. Indien we ons dan de vraag stellen als de </w:t>
      </w:r>
      <w:r w:rsidR="0024544F">
        <w:t>Huurschatter</w:t>
      </w:r>
      <w:r>
        <w:t xml:space="preserve"> accuraat is voor lage huurprijzen is het belangrijk om te bepalen wat we als referentie van de lage huurprijs nemen.</w:t>
      </w:r>
      <w:r w:rsidR="0024544F">
        <w:t xml:space="preserve"> </w:t>
      </w:r>
      <w:r>
        <w:t xml:space="preserve">Bij een fout van de </w:t>
      </w:r>
      <w:r w:rsidR="0024544F">
        <w:t>Huurschatter</w:t>
      </w:r>
      <w:r>
        <w:t xml:space="preserve"> dient men de actuele huurprijs te nemen, Is de </w:t>
      </w:r>
      <w:r w:rsidR="0024544F">
        <w:t>Huurschatter</w:t>
      </w:r>
      <w:r>
        <w:t xml:space="preserve"> echter correct en ligt de fout bij de actuele huurprijs die verschilt van de objectieve, dan kan men beter de schatting van de </w:t>
      </w:r>
      <w:r w:rsidR="0024544F">
        <w:t>Huurschatter</w:t>
      </w:r>
      <w:r>
        <w:t xml:space="preserve"> als referentie nemen. Deze referentie is belangrijk. In onderstaande figuur – met slechts twee punten voor de eenvoud- zien we dat de gemiddelde fout bij een geschatte huurprijs van 400</w:t>
      </w:r>
      <w:r w:rsidR="0024544F">
        <w:t> euro</w:t>
      </w:r>
      <w:r>
        <w:t xml:space="preserve"> nul is. Bij een werkelijke huurprijs van 200</w:t>
      </w:r>
      <w:r w:rsidR="0024544F">
        <w:t> euro</w:t>
      </w:r>
      <w:r>
        <w:t xml:space="preserve"> zien we dat de </w:t>
      </w:r>
      <w:r w:rsidR="0024544F">
        <w:t>Huurschatter</w:t>
      </w:r>
      <w:r>
        <w:t xml:space="preserve"> te hoog is. De werkelijkheid ligt natuurlijk in het midden, maar is niet te bepalen. Het is evenwel belangrijk, omdat de keuze voor de ene optie, dan wel de andere een ander beeld geeft van de accuraatheid van de lage huurprijzen.</w:t>
      </w:r>
    </w:p>
    <w:p w:rsidR="00C6355A" w:rsidRDefault="00C6355A">
      <w:pPr>
        <w:spacing w:before="0" w:line="240" w:lineRule="auto"/>
        <w:jc w:val="left"/>
      </w:pPr>
      <w:r>
        <w:br w:type="page"/>
      </w:r>
    </w:p>
    <w:p w:rsidR="00C6355A" w:rsidRDefault="00C6355A" w:rsidP="008D437F">
      <w:pPr>
        <w:pStyle w:val="Caption"/>
      </w:pPr>
      <w:proofErr w:type="spellStart"/>
      <w:r>
        <w:lastRenderedPageBreak/>
        <w:t>Ilustratie</w:t>
      </w:r>
      <w:proofErr w:type="spellEnd"/>
      <w:r>
        <w:t>: schematisch overzicht, waarom de Huurschatter bij een lage werkelijke huurprijs een schatting zal maken die eerder hoger dan wel  lager is dan de werkelijke huurprijs.</w:t>
      </w:r>
    </w:p>
    <w:p w:rsidR="00692E63" w:rsidRDefault="0008544A" w:rsidP="00692E63">
      <w:pPr>
        <w:spacing w:before="0" w:line="240" w:lineRule="auto"/>
        <w:jc w:val="left"/>
      </w:pPr>
      <w:r>
        <w:rPr>
          <w:noProof/>
          <w:lang w:eastAsia="nl-BE"/>
        </w:rPr>
        <mc:AlternateContent>
          <mc:Choice Requires="wpc">
            <w:drawing>
              <wp:inline distT="0" distB="0" distL="0" distR="0" wp14:anchorId="25D93DD8" wp14:editId="1A2653E6">
                <wp:extent cx="5486400" cy="3200400"/>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Straight Arrow Connector 2"/>
                        <wps:cNvCnPr/>
                        <wps:spPr>
                          <a:xfrm flipV="1">
                            <a:off x="1342685" y="2286000"/>
                            <a:ext cx="369604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flipV="1">
                            <a:off x="1295060" y="161925"/>
                            <a:ext cx="47625" cy="2114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1704975" y="304800"/>
                            <a:ext cx="1990725" cy="1676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4086224" y="2581274"/>
                            <a:ext cx="10350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B0" w:rsidRDefault="00301DB0" w:rsidP="00692E63">
                              <w:pPr>
                                <w:pStyle w:val="Figuur-RegelafstandEnkel"/>
                              </w:pPr>
                              <w:r>
                                <w:t>Werkelijke huurprijs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Text Box 29"/>
                        <wps:cNvSpPr txBox="1"/>
                        <wps:spPr>
                          <a:xfrm>
                            <a:off x="37125" y="456225"/>
                            <a:ext cx="9779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B0" w:rsidRDefault="00301DB0" w:rsidP="00692E63">
                              <w:pPr>
                                <w:pStyle w:val="Figuur-RegelafstandEnkel"/>
                              </w:pPr>
                              <w:r>
                                <w:t>geschatte huurprijs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 name="Oval 9"/>
                        <wps:cNvSpPr/>
                        <wps:spPr>
                          <a:xfrm>
                            <a:off x="1838325" y="1171575"/>
                            <a:ext cx="95250"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0"/>
                        <wps:cNvCnPr/>
                        <wps:spPr>
                          <a:xfrm flipH="1">
                            <a:off x="1885950" y="1171575"/>
                            <a:ext cx="1600200" cy="371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Straight Connector 11"/>
                        <wps:cNvCnPr/>
                        <wps:spPr>
                          <a:xfrm>
                            <a:off x="1880849" y="1286791"/>
                            <a:ext cx="0" cy="9801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2"/>
                        <wps:cNvCnPr/>
                        <wps:spPr>
                          <a:xfrm>
                            <a:off x="2641260" y="1228385"/>
                            <a:ext cx="16215" cy="1105240"/>
                          </a:xfrm>
                          <a:prstGeom prst="line">
                            <a:avLst/>
                          </a:prstGeom>
                          <a:ln w="3175">
                            <a:prstDash val="sysDot"/>
                          </a:ln>
                        </wps:spPr>
                        <wps:style>
                          <a:lnRef idx="1">
                            <a:schemeClr val="accent1"/>
                          </a:lnRef>
                          <a:fillRef idx="0">
                            <a:schemeClr val="accent1"/>
                          </a:fillRef>
                          <a:effectRef idx="0">
                            <a:schemeClr val="accent1"/>
                          </a:effectRef>
                          <a:fontRef idx="minor">
                            <a:schemeClr val="tx1"/>
                          </a:fontRef>
                        </wps:style>
                        <wps:bodyPr/>
                      </wps:wsp>
                      <wps:wsp>
                        <wps:cNvPr id="17" name="Text Box 29"/>
                        <wps:cNvSpPr txBox="1"/>
                        <wps:spPr>
                          <a:xfrm>
                            <a:off x="541950" y="981075"/>
                            <a:ext cx="55753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B0" w:rsidRDefault="00301DB0" w:rsidP="00692E63">
                              <w:pPr>
                                <w:pStyle w:val="Figuur-RegelafstandEnkel"/>
                              </w:pPr>
                              <w:r>
                                <w:t>400 euro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 name="Text Box 29"/>
                        <wps:cNvSpPr txBox="1"/>
                        <wps:spPr>
                          <a:xfrm>
                            <a:off x="1704975" y="2371724"/>
                            <a:ext cx="55753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B0" w:rsidRDefault="00301DB0" w:rsidP="00692E63">
                              <w:pPr>
                                <w:pStyle w:val="Figuur-RegelafstandEnkel"/>
                              </w:pPr>
                              <w:r>
                                <w:t>200 euro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 name="Text Box 29"/>
                        <wps:cNvSpPr txBox="1"/>
                        <wps:spPr>
                          <a:xfrm>
                            <a:off x="561000" y="1627800"/>
                            <a:ext cx="55753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B0" w:rsidRDefault="00301DB0" w:rsidP="00692E63">
                              <w:pPr>
                                <w:pStyle w:val="Figuur-RegelafstandEnkel"/>
                              </w:pPr>
                              <w:r>
                                <w:t>200 euro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29"/>
                        <wps:cNvSpPr txBox="1"/>
                        <wps:spPr>
                          <a:xfrm>
                            <a:off x="2427900" y="2371724"/>
                            <a:ext cx="55753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DB0" w:rsidRDefault="00301DB0" w:rsidP="00692E63">
                              <w:pPr>
                                <w:pStyle w:val="Figuur-RegelafstandEnkel"/>
                              </w:pPr>
                              <w:r>
                                <w:t>400 euro</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 name="Oval 19"/>
                        <wps:cNvSpPr/>
                        <wps:spPr>
                          <a:xfrm>
                            <a:off x="3418500" y="1122975"/>
                            <a:ext cx="95250" cy="123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Left Brace 20"/>
                        <wps:cNvSpPr/>
                        <wps:spPr>
                          <a:xfrm rot="5400000">
                            <a:off x="2074068" y="497682"/>
                            <a:ext cx="381000" cy="82391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eft Brace 21"/>
                        <wps:cNvSpPr/>
                        <wps:spPr>
                          <a:xfrm>
                            <a:off x="1401425" y="1162050"/>
                            <a:ext cx="381000" cy="706733"/>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5D93DD8" id="Canvas 27"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2" o:spid="_x0000_s1029" type="#_x0000_t32" style="position:absolute;left:13426;top:22860;width:36961;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dxsIAAADaAAAADwAAAGRycy9kb3ducmV2LnhtbESPQWsCMRSE7wX/Q3hCbzVbxW1ZjSKF&#10;SvFWV3p+3Tw3SzcvaxJ19dc3guBxmJlvmPmyt604kQ+NYwWvowwEceV0w7WCXfn58g4iRGSNrWNS&#10;cKEAy8XgaY6Fdmf+ptM21iJBOBSowMTYFVKGypDFMHIdcfL2zluMSfpaao/nBLetHGdZLi02nBYM&#10;dvRhqPrbHq2C3/KgpyYv9cZPXJ5frj9vm+Naqedhv5qBiNTHR/je/tIKxnC7km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GdxsIAAADaAAAADwAAAAAAAAAAAAAA&#10;AAChAgAAZHJzL2Rvd25yZXYueG1sUEsFBgAAAAAEAAQA+QAAAJADAAAAAA==&#10;" strokecolor="#4579b8 [3044]">
                  <v:stroke endarrow="block"/>
                </v:shape>
                <v:shape id="Straight Arrow Connector 5" o:spid="_x0000_s1030" type="#_x0000_t32" style="position:absolute;left:12950;top:1619;width:476;height:21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easMAAADaAAAADwAAAGRycy9kb3ducmV2LnhtbESP0WrCQBRE3wX/YbmCb7qxUJHoKqJt&#10;EcEHUz/gkr0m0ezduLuN0a93C4U+DjNzhlmsOlOLlpyvLCuYjBMQxLnVFRcKTt+foxkIH5A11pZJ&#10;wYM8rJb93gJTbe98pDYLhYgQ9ikqKENoUil9XpJBP7YNcfTO1hkMUbpCaof3CDe1fEuSqTRYcVwo&#10;saFNSfk1+zEKWjf9OiQf2bbZ61l2tefL8XB7KjUcdOs5iEBd+A//tXdawTv8Xok3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nmrDAAAA2gAAAA8AAAAAAAAAAAAA&#10;AAAAoQIAAGRycy9kb3ducmV2LnhtbFBLBQYAAAAABAAEAPkAAACRAwAAAAA=&#10;" strokecolor="#4579b8 [3044]">
                  <v:stroke endarrow="block"/>
                </v:shape>
                <v:line id="Straight Connector 6" o:spid="_x0000_s1031" style="position:absolute;flip:y;visibility:visible;mso-wrap-style:square" from="17049,3048" to="36957,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WXMQAAADaAAAADwAAAGRycy9kb3ducmV2LnhtbESPT2vCQBTE7wW/w/IEb7rxD1qiq4gg&#10;BgtttT30+Mg+k2D2bcyuJvXTuwWhx2FmfsMsVq0pxY1qV1hWMBxEIIhTqwvOFHx/bfuvIJxH1lha&#10;JgW/5GC17LwsMNa24QPdjj4TAcIuRgW591UspUtzMugGtiIO3snWBn2QdSZ1jU2Am1KOomgqDRYc&#10;FnKsaJNTej5ejYIk4f3+ztuPn+HnZefHxdv7pJkp1eu26zkIT63/Dz/biVYwhb8r4Qb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FZcxAAAANoAAAAPAAAAAAAAAAAA&#10;AAAAAKECAABkcnMvZG93bnJldi54bWxQSwUGAAAAAAQABAD5AAAAkgMAAAAA&#10;" strokecolor="#4579b8 [3044]"/>
                <v:shape id="Text Box 7" o:spid="_x0000_s1032" type="#_x0000_t202" style="position:absolute;left:40862;top:25812;width:10350;height:4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vNMMA&#10;AADaAAAADwAAAGRycy9kb3ducmV2LnhtbESPQWvCQBSE7wX/w/IEb3WjhTZGVxFByEEPjYrXR/aZ&#10;BLNv4+5W4793C4Ueh5n5hlmsetOKOznfWFYwGScgiEurG64UHA/b9xSED8gaW8uk4EkeVsvB2wIz&#10;bR/8TfciVCJC2GeooA6hy6T0ZU0G/dh2xNG7WGcwROkqqR0+Ity0cpokn9Jgw3Ghxo42NZXX4sco&#10;2G9mRZpPn+48+8i3RXqb2F16Umo07NdzEIH68B/+a+dawRf8Xo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vNMMAAADaAAAADwAAAAAAAAAAAAAAAACYAgAAZHJzL2Rv&#10;d25yZXYueG1sUEsFBgAAAAAEAAQA9QAAAIgDAAAAAA==&#10;" fillcolor="white [3201]" stroked="f" strokeweight=".5pt">
                  <v:textbox>
                    <w:txbxContent>
                      <w:p w:rsidR="00301DB0" w:rsidRDefault="00301DB0" w:rsidP="00692E63">
                        <w:pPr>
                          <w:pStyle w:val="Figuur-RegelafstandEnkel"/>
                        </w:pPr>
                        <w:r>
                          <w:t>Werkelijke huurprijs</w:t>
                        </w:r>
                      </w:p>
                    </w:txbxContent>
                  </v:textbox>
                </v:shape>
                <v:shape id="Text Box 29" o:spid="_x0000_s1033" type="#_x0000_t202" style="position:absolute;left:371;top:4562;width:9779;height:5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7Rr8A&#10;AADaAAAADwAAAGRycy9kb3ducmV2LnhtbERPTYvCMBC9L/gfwgje1lQFqdUoIgg96GG7itehGdti&#10;M6lJ1PrvNwdhj4/3vdr0phVPcr6xrGAyTkAQl1Y3XCk4/e6/UxA+IGtsLZOCN3nYrAdfK8y0ffEP&#10;PYtQiRjCPkMFdQhdJqUvazLox7YjjtzVOoMhQldJ7fAVw00rp0kylwYbjg01drSrqbwVD6PguFsU&#10;aT59u8tilu+L9D6xh/Ss1GjYb5cgAvXhX/xx51pB3BqvxBs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TtGvwAAANoAAAAPAAAAAAAAAAAAAAAAAJgCAABkcnMvZG93bnJl&#10;di54bWxQSwUGAAAAAAQABAD1AAAAhAMAAAAA&#10;" fillcolor="white [3201]" stroked="f" strokeweight=".5pt">
                  <v:textbox>
                    <w:txbxContent>
                      <w:p w:rsidR="00301DB0" w:rsidRDefault="00301DB0" w:rsidP="00692E63">
                        <w:pPr>
                          <w:pStyle w:val="Figuur-RegelafstandEnkel"/>
                        </w:pPr>
                        <w:r>
                          <w:t>geschatte huurprijs</w:t>
                        </w:r>
                      </w:p>
                    </w:txbxContent>
                  </v:textbox>
                </v:shape>
                <v:oval id="Oval 9" o:spid="_x0000_s1034" style="position:absolute;left:18383;top:11715;width:952;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gF8YA&#10;AADbAAAADwAAAGRycy9kb3ducmV2LnhtbESPQWvCQBCF70L/wzIFL6Kb9hAkukotWAp6UNvSehuy&#10;YxKanU2zq0Z/vXMQepvhvXnvm+m8c7U6URsqzwaeRgko4tzbigsDnx/L4RhUiMgWa89k4EIB5rOH&#10;3hQz68+8pdMuFkpCOGRooIyxybQOeUkOw8g3xKIdfOswytoW2rZ4lnBX6+ckSbXDiqWhxIZeS8p/&#10;d0dnYJ8uF5xuVgNeNyFffL3h9ef7z5j+Y/cyARWpi//m+/W7FXyhl1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gF8YAAADbAAAADwAAAAAAAAAAAAAAAACYAgAAZHJz&#10;L2Rvd25yZXYueG1sUEsFBgAAAAAEAAQA9QAAAIsDAAAAAA==&#10;" fillcolor="#4f81bd [3204]" strokecolor="#243f60 [1604]" strokeweight="2pt"/>
                <v:line id="Straight Connector 10" o:spid="_x0000_s1035" style="position:absolute;flip:x;visibility:visible;mso-wrap-style:square" from="18859,11715" to="34861,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qZcMAAADbAAAADwAAAGRycy9kb3ducmV2LnhtbERPS2vCQBC+F/wPywje6ia1VImuIoIY&#10;LNTnweOQHZNgdjbNribtr+8WCr3Nx/ec2aIzlXhQ40rLCuJhBII4s7rkXMH5tH6egHAeWWNlmRR8&#10;kYPFvPc0w0Tblg/0OPpchBB2CSoovK8TKV1WkEE3tDVx4K62MegDbHKpG2xDuKnkSxS9SYMlh4YC&#10;a1oVlN2Od6MgTXm7/eb17hLvPzd+VL5/vLZjpQb9bjkF4anz/+I/d6rD/Bh+fwkH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1amXDAAAA2wAAAA8AAAAAAAAAAAAA&#10;AAAAoQIAAGRycy9kb3ducmV2LnhtbFBLBQYAAAAABAAEAPkAAACRAwAAAAA=&#10;" strokecolor="#4579b8 [3044]"/>
                <v:line id="Straight Connector 11" o:spid="_x0000_s1036" style="position:absolute;visibility:visible;mso-wrap-style:square" from="18808,12867" to="18808,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Straight Connector 12" o:spid="_x0000_s1037" style="position:absolute;visibility:visible;mso-wrap-style:square" from="26412,12283" to="26574,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UQL8AAADbAAAADwAAAGRycy9kb3ducmV2LnhtbERPTYvCMBC9L/gfwgje1lTXFalGEVlB&#10;8LTqxdvYjE2xmZQm2vjvjbCwt3m8z1msoq3Fg1pfOVYwGmYgiAunKy4VnI7bzxkIH5A11o5JwZM8&#10;rJa9jwXm2nX8S49DKEUKYZ+jAhNCk0vpC0MW/dA1xIm7utZiSLAtpW6xS+G2luMsm0qLFacGgw1t&#10;DBW3w90qOP803X4SbSWNvdwp7kenL7dVatCP6zmIQDH8i//cO53mf8P7l3S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ZUQL8AAADbAAAADwAAAAAAAAAAAAAAAACh&#10;AgAAZHJzL2Rvd25yZXYueG1sUEsFBgAAAAAEAAQA+QAAAI0DAAAAAA==&#10;" strokecolor="#4579b8 [3044]" strokeweight=".25pt">
                  <v:stroke dashstyle="1 1"/>
                </v:line>
                <v:shape id="Text Box 29" o:spid="_x0000_s1038" type="#_x0000_t202" style="position:absolute;left:5419;top:9810;width:5575;height:5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usEA&#10;AADbAAAADwAAAGRycy9kb3ducmV2LnhtbERPTYvCMBC9L/gfwgje1lQXdms1ighCD3rYqngdmrEt&#10;NpOaZLX+e7OwsLd5vM9ZrHrTijs531hWMBknIIhLqxuuFBwP2/cUhA/IGlvLpOBJHlbLwdsCM20f&#10;/E33IlQihrDPUEEdQpdJ6cuaDPqx7Ygjd7HOYIjQVVI7fMRw08ppknxKgw3Hhho72tRUXosfo2C/&#10;mRVpPn268+wj3xbpbWJ36Ump0bBfz0EE6sO/+M+d6zj/C35/i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zEbrBAAAA2wAAAA8AAAAAAAAAAAAAAAAAmAIAAGRycy9kb3du&#10;cmV2LnhtbFBLBQYAAAAABAAEAPUAAACGAwAAAAA=&#10;" fillcolor="white [3201]" stroked="f" strokeweight=".5pt">
                  <v:textbox>
                    <w:txbxContent>
                      <w:p w:rsidR="00301DB0" w:rsidRDefault="00301DB0" w:rsidP="00692E63">
                        <w:pPr>
                          <w:pStyle w:val="Figuur-RegelafstandEnkel"/>
                        </w:pPr>
                        <w:r>
                          <w:t>400 euro</w:t>
                        </w:r>
                      </w:p>
                    </w:txbxContent>
                  </v:textbox>
                </v:shape>
                <v:shape id="Text Box 29" o:spid="_x0000_s1039" type="#_x0000_t202" style="position:absolute;left:17049;top:23717;width:5576;height:5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Dc8AA&#10;AADbAAAADwAAAGRycy9kb3ducmV2LnhtbERPTYvCMBC9L/gfwgje1tQKS61GEUHoQQ/bVbwOzdgW&#10;m0lNotZ/vzks7PHxvlebwXTiSc63lhXMpgkI4srqlmsFp5/9ZwbCB2SNnWVS8CYPm/XoY4W5ti/+&#10;pmcZahFD2OeooAmhz6X0VUMG/dT2xJG7WmcwROhqqR2+YrjpZJokX9Jgy7GhwZ52DVW38mEUHHeL&#10;MivSt7ss5sW+zO4ze8jOSk3Gw3YJItAQ/sV/7kIrSOP6+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ZDc8AAAADbAAAADwAAAAAAAAAAAAAAAACYAgAAZHJzL2Rvd25y&#10;ZXYueG1sUEsFBgAAAAAEAAQA9QAAAIUDAAAAAA==&#10;" fillcolor="white [3201]" stroked="f" strokeweight=".5pt">
                  <v:textbox>
                    <w:txbxContent>
                      <w:p w:rsidR="00301DB0" w:rsidRDefault="00301DB0" w:rsidP="00692E63">
                        <w:pPr>
                          <w:pStyle w:val="Figuur-RegelafstandEnkel"/>
                        </w:pPr>
                        <w:r>
                          <w:t>200 euro</w:t>
                        </w:r>
                      </w:p>
                    </w:txbxContent>
                  </v:textbox>
                </v:shape>
                <v:shape id="Text Box 29" o:spid="_x0000_s1040" type="#_x0000_t202" style="position:absolute;left:5610;top:16278;width:5575;height:5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n8QA&#10;AADbAAAADwAAAGRycy9kb3ducmV2LnhtbESPQWvCQBSE7wX/w/IK3urGCCVJXaUIQg56aKr0+sg+&#10;k2D2bdxdNf57t1DocZiZb5jlejS9uJHznWUF81kCgri2uuNGweF7+5aB8AFZY2+ZFDzIw3o1eVli&#10;oe2dv+hWhUZECPsCFbQhDIWUvm7JoJ/ZgTh6J+sMhihdI7XDe4SbXqZJ8i4NdhwXWhxo01J9rq5G&#10;wX6TV1mZPtxPvii3VXaZ2112VGr6On5+gAg0hv/wX7vUCtIU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eJ/EAAAA2wAAAA8AAAAAAAAAAAAAAAAAmAIAAGRycy9k&#10;b3ducmV2LnhtbFBLBQYAAAAABAAEAPUAAACJAwAAAAA=&#10;" fillcolor="white [3201]" stroked="f" strokeweight=".5pt">
                  <v:textbox>
                    <w:txbxContent>
                      <w:p w:rsidR="00301DB0" w:rsidRDefault="00301DB0" w:rsidP="00692E63">
                        <w:pPr>
                          <w:pStyle w:val="Figuur-RegelafstandEnkel"/>
                        </w:pPr>
                        <w:r>
                          <w:t>200 euro</w:t>
                        </w:r>
                      </w:p>
                    </w:txbxContent>
                  </v:textbox>
                </v:shape>
                <v:shape id="Text Box 29" o:spid="_x0000_s1041" type="#_x0000_t202" style="position:absolute;left:24279;top:23717;width:5575;height:5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B8QA&#10;AADbAAAADwAAAGRycy9kb3ducmV2LnhtbESPQWvCQBSE7wX/w/IEb3VjhDamriKCkIMeGpVeH9nX&#10;JDT7Nu6uGv+9Wyj0OMzMN8xyPZhO3Mj51rKC2TQBQVxZ3XKt4HTcvWYgfEDW2FkmBQ/ysF6NXpaY&#10;a3vnT7qVoRYRwj5HBU0IfS6lrxoy6Ke2J47et3UGQ5SultrhPcJNJ9MkeZMGW44LDfa0baj6Ka9G&#10;wWG7KLMifbivxbzYldllZvfZWanJeNh8gAg0hP/wX7vQCtJ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2wfEAAAA2wAAAA8AAAAAAAAAAAAAAAAAmAIAAGRycy9k&#10;b3ducmV2LnhtbFBLBQYAAAAABAAEAPUAAACJAwAAAAA=&#10;" fillcolor="white [3201]" stroked="f" strokeweight=".5pt">
                  <v:textbox>
                    <w:txbxContent>
                      <w:p w:rsidR="00301DB0" w:rsidRDefault="00301DB0" w:rsidP="00692E63">
                        <w:pPr>
                          <w:pStyle w:val="Figuur-RegelafstandEnkel"/>
                        </w:pPr>
                        <w:r>
                          <w:t>400 euro</w:t>
                        </w:r>
                      </w:p>
                    </w:txbxContent>
                  </v:textbox>
                </v:shape>
                <v:oval id="Oval 19" o:spid="_x0000_s1042" style="position:absolute;left:34185;top:11229;width:952;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mrMMA&#10;AADbAAAADwAAAGRycy9kb3ducmV2LnhtbERPTWvCQBC9F/oflil4Kc1GD6GkWUULlkJ7sNFSvQ3Z&#10;MQnNzsbsaqK/3j0IHh/vO5sNphEn6lxtWcE4ikEQF1bXXCrYrJcvryCcR9bYWCYFZ3Iwmz4+ZJhq&#10;2/MPnXJfihDCLkUFlfdtKqUrKjLoItsSB25vO4M+wK6UusM+hJtGTuI4kQZrDg0VtvReUfGfH42C&#10;XbJccLL6eubv1hWL3w+8bP8OSo2ehvkbCE+Dv4tv7k+tYBLGhi/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1mrMMAAADbAAAADwAAAAAAAAAAAAAAAACYAgAAZHJzL2Rv&#10;d25yZXYueG1sUEsFBgAAAAAEAAQA9QAAAIgDAAAAAA==&#10;" fillcolor="#4f81bd [3204]" strokecolor="#243f60 [1604]" strokeweight="2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43" type="#_x0000_t87" style="position:absolute;left:20741;top:4976;width:3810;height:82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jMQA&#10;AADbAAAADwAAAGRycy9kb3ducmV2LnhtbESPQUsDMRSE74L/ITzBi9hs91B027QUsSKoB1sPPb5u&#10;XneXJu8tSeyu/74RBI/DzHzDLFajd+pMIXbCBqaTAhRxLbbjxsDXbnP/AComZItOmAz8UITV8vpq&#10;gZWVgT/pvE2NyhCOFRpoU+orrWPdksc4kZ44e0cJHlOWodE24JDh3umyKGbaY8d5ocWenlqqT9tv&#10;byC8fzQH2ovbvbk7WyZ5eZbBG3N7M67noBKN6T/81361BspH+P2Sf4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hozEAAAA2wAAAA8AAAAAAAAAAAAAAAAAmAIAAGRycy9k&#10;b3ducmV2LnhtbFBLBQYAAAAABAAEAPUAAACJAwAAAAA=&#10;" adj="832" strokecolor="#4579b8 [3044]"/>
                <v:shape id="Left Brace 21" o:spid="_x0000_s1044" type="#_x0000_t87" style="position:absolute;left:14014;top:11620;width:3810;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3SMMA&#10;AADbAAAADwAAAGRycy9kb3ducmV2LnhtbESPwW7CMAyG70h7h8hIu0ECkybUEdDYhGDaiQLa1TSm&#10;rdY4XROge/v5MImj9fv/7G++7H2jrtTFOrCFydiAIi6Cq7m0cNivRzNQMSE7bAKThV+KsFw8DOaY&#10;uXDjHV3zVCqBcMzQQpVSm2kdi4o8xnFoiSU7h85jkrErtevwJnDf6Kkxz9pjzXKhwpbeKiq+84sX&#10;yr7N4+dp9W4+wnFar9LXj+GNtY/D/vUFVKI+3Zf/21tn4Um+Fxfx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13SMMAAADbAAAADwAAAAAAAAAAAAAAAACYAgAAZHJzL2Rv&#10;d25yZXYueG1sUEsFBgAAAAAEAAQA9QAAAIgDAAAAAA==&#10;" adj="970" strokecolor="#4579b8 [3044]"/>
                <w10:anchorlock/>
              </v:group>
            </w:pict>
          </mc:Fallback>
        </mc:AlternateContent>
      </w:r>
    </w:p>
    <w:p w:rsidR="0008544A" w:rsidRDefault="0008544A" w:rsidP="00692E63">
      <w:r>
        <w:t>In onderstaande figuur hebben we verondersteld dat we de verdeling van de objectieve huurmarkt</w:t>
      </w:r>
      <w:r w:rsidR="00711296">
        <w:softHyphen/>
      </w:r>
      <w:r>
        <w:t>waarden wel kennen en veronderstellen vervolgens dat de huidige huurmarktwaarden deze benade</w:t>
      </w:r>
      <w:r w:rsidR="00711296">
        <w:softHyphen/>
      </w:r>
      <w:r>
        <w:t>ren.</w:t>
      </w:r>
      <w:r w:rsidR="0024544F">
        <w:t xml:space="preserve"> </w:t>
      </w:r>
      <w:r>
        <w:t>Men zou kunnen veronderstellen dat de objectieve huurmarktwaarde deze is die op een gegeven moment tot stand is gekomen, dus dat de huidige huurmarktwaarde per definitie de werkelijke huur</w:t>
      </w:r>
      <w:r w:rsidR="00711296">
        <w:softHyphen/>
      </w:r>
      <w:r>
        <w:t>marktwaarde is. Bij onze definitie van objectieve huurmarktwaarde gaan we er echter van uit dat de werkelijke huurmarktwaarde kan verschillen van de huidige huurmarktwaarde omdat we de eerste definiëren als de gemiddelde huurmarktwaarde van deze woning als deze nu in normale marktomstan</w:t>
      </w:r>
      <w:r w:rsidR="00711296">
        <w:softHyphen/>
      </w:r>
      <w:r>
        <w:t>digheden verhuurd zou worden. Beiden kunnen dus sterk verschillen van elkaar omwille van de sub</w:t>
      </w:r>
      <w:r w:rsidR="00711296">
        <w:softHyphen/>
      </w:r>
      <w:r>
        <w:t xml:space="preserve">jectieve eigenschappen van de verhuurder en huurder. Een verhuurder kan wensen om zijn woning snel te verhuren en hierdoor een iets lagere huurprijs te vragen. Een huurder kan onder bepaalde omstandigheden eveneens sneller een huurwoning wensen en daarvoor bereid zijn een woning te huren die duurder is dan de </w:t>
      </w:r>
      <w:r w:rsidR="0024544F">
        <w:t>‘</w:t>
      </w:r>
      <w:r>
        <w:t>normale</w:t>
      </w:r>
      <w:r w:rsidR="0024544F">
        <w:t>’</w:t>
      </w:r>
      <w:r>
        <w:t xml:space="preserve"> marktomstandigheden. Er is dus ook een zekere ruis tussen de huidige huurmarktwaarde en de objectieve huurmarktwaarde, waarbij deze laatste stabieler is. In onderstaande figuur is verondersteld dat de huidige huurmarktwaarde 40% kans heeft om exact de objectieve huurmarktwaarde te zijn, 20% kans dat deze 50</w:t>
      </w:r>
      <w:r w:rsidR="0024544F">
        <w:t> euro</w:t>
      </w:r>
      <w:r>
        <w:t xml:space="preserve"> hoger of lager ligt, en 10% kans dat deze 100</w:t>
      </w:r>
      <w:r w:rsidR="0024544F">
        <w:t> euro</w:t>
      </w:r>
      <w:r>
        <w:t xml:space="preserve"> hoger of lager ligt. Dit geeft een gemiddelde subjectieve afwijking van 40</w:t>
      </w:r>
      <w:r w:rsidR="0024544F">
        <w:t xml:space="preserve"> euro </w:t>
      </w:r>
      <w:r>
        <w:t xml:space="preserve">van de objectieve huurmarktwaarde. Zoals we uit de figuur kunnen afleiden zien we dat de verdeling van de huidige huurmarktwaarden daardoor </w:t>
      </w:r>
      <w:r w:rsidR="0024544F">
        <w:t>‘</w:t>
      </w:r>
      <w:r>
        <w:t>zwaardere staarten</w:t>
      </w:r>
      <w:r w:rsidR="0024544F">
        <w:t>’</w:t>
      </w:r>
      <w:r>
        <w:t xml:space="preserve"> krijgt</w:t>
      </w:r>
      <w:r w:rsidR="00804CBF">
        <w:t>:</w:t>
      </w:r>
      <w:r>
        <w:t xml:space="preserve"> hogere frequenties bij extremere waarden. Er is bv. een hogere frequentie van huidige huurmarktwaarden rond 400</w:t>
      </w:r>
      <w:r w:rsidR="0024544F">
        <w:t> euro</w:t>
      </w:r>
      <w:r>
        <w:t xml:space="preserve"> omdat deze frequentie vanwege de benadering beïnvloed wordt door de frequentie van de objectieve huurmarkt</w:t>
      </w:r>
      <w:r w:rsidR="00711296">
        <w:softHyphen/>
      </w:r>
      <w:r>
        <w:t>waarden van 450</w:t>
      </w:r>
      <w:r w:rsidR="0024544F">
        <w:t> euro</w:t>
      </w:r>
      <w:r>
        <w:t>.</w:t>
      </w:r>
      <w:r w:rsidR="0024544F">
        <w:t xml:space="preserve"> </w:t>
      </w:r>
      <w:r>
        <w:t>Voor nog lagere huurmarktwaarden zien we dat deze volgens de objectieve verdeling niet zouden voorkomen maar in de praktijk wel, vanwege het toevoegen van ruis. Deze ruis kan men subjectieve ‘fouten’ noemen. Het is alvast zo dat een bepaald deel van de lagere geobser</w:t>
      </w:r>
      <w:r w:rsidR="00711296">
        <w:softHyphen/>
      </w:r>
      <w:r>
        <w:t xml:space="preserve">veerde huurmarktwaarden voortkomen uit deze </w:t>
      </w:r>
      <w:r w:rsidRPr="003A100F">
        <w:rPr>
          <w:b/>
        </w:rPr>
        <w:t>subjectieve ‘fouten’</w:t>
      </w:r>
      <w:r>
        <w:t>.</w:t>
      </w:r>
      <w:r w:rsidR="0024544F">
        <w:t xml:space="preserve"> </w:t>
      </w:r>
      <w:r>
        <w:t xml:space="preserve">Wat men wenst is dat de </w:t>
      </w:r>
      <w:r w:rsidR="0024544F">
        <w:t>Huur</w:t>
      </w:r>
      <w:r w:rsidR="00711296">
        <w:softHyphen/>
      </w:r>
      <w:r w:rsidR="0024544F">
        <w:t>schatter</w:t>
      </w:r>
      <w:r>
        <w:t xml:space="preserve"> de objectieve huurmarktwaarden schat, en niet de subjectieve.</w:t>
      </w:r>
      <w:r w:rsidR="0024544F">
        <w:t xml:space="preserve"> </w:t>
      </w:r>
    </w:p>
    <w:p w:rsidR="0008544A" w:rsidRDefault="0008544A" w:rsidP="00692E63">
      <w:r>
        <w:lastRenderedPageBreak/>
        <w:t xml:space="preserve">Het tweede element dat meespeelt is de eigenschap van </w:t>
      </w:r>
      <w:proofErr w:type="spellStart"/>
      <w:r>
        <w:t>hedonische</w:t>
      </w:r>
      <w:proofErr w:type="spellEnd"/>
      <w:r>
        <w:t xml:space="preserve"> prijsanalyses dat bij gebrek aan data en onvolledige modelleringen, het model veelal het gemiddelde zal voorspellen. In het extreme geval dat geen woningkenmerken voorhanden zijn, zal men als beste schatting in onderstaande figuur schatten dat de objectieve huurmarktwaarde 625</w:t>
      </w:r>
      <w:r w:rsidR="0024544F">
        <w:t> euro</w:t>
      </w:r>
      <w:r>
        <w:t xml:space="preserve"> is. Vandaar ook de noodzaak om voldoende woningkenmerken mee op te nemen en het model niet te eenvoudig te maken. Dit neemt niet weg dat elk </w:t>
      </w:r>
      <w:proofErr w:type="spellStart"/>
      <w:r>
        <w:t>hedonische</w:t>
      </w:r>
      <w:proofErr w:type="spellEnd"/>
      <w:r>
        <w:t xml:space="preserve"> prijsmodel onvolledig is, en dus ook een fout bevat, waardoor het </w:t>
      </w:r>
      <w:proofErr w:type="spellStart"/>
      <w:r>
        <w:t>regression</w:t>
      </w:r>
      <w:proofErr w:type="spellEnd"/>
      <w:r>
        <w:t xml:space="preserve"> </w:t>
      </w:r>
      <w:proofErr w:type="spellStart"/>
      <w:r>
        <w:t>to</w:t>
      </w:r>
      <w:proofErr w:type="spellEnd"/>
      <w:r>
        <w:t xml:space="preserve"> </w:t>
      </w:r>
      <w:proofErr w:type="spellStart"/>
      <w:r>
        <w:t>the</w:t>
      </w:r>
      <w:proofErr w:type="spellEnd"/>
      <w:r>
        <w:t xml:space="preserve"> </w:t>
      </w:r>
      <w:proofErr w:type="spellStart"/>
      <w:r>
        <w:t>mean</w:t>
      </w:r>
      <w:proofErr w:type="spellEnd"/>
      <w:r>
        <w:t xml:space="preserve"> effect meespeelt. De schatting zal eerder naar een gemiddelde tenderen dan naar de werkelijke huurprijs en vertoont dus lichtere staarten en minder uitschieters ten opzichte van de objectieve ver</w:t>
      </w:r>
      <w:r w:rsidR="00711296">
        <w:softHyphen/>
      </w:r>
      <w:r>
        <w:t xml:space="preserve">deling. </w:t>
      </w:r>
    </w:p>
    <w:p w:rsidR="0008544A" w:rsidRDefault="0008544A" w:rsidP="00692E63">
      <w:r>
        <w:t xml:space="preserve">Indien we zowel de </w:t>
      </w:r>
      <w:proofErr w:type="spellStart"/>
      <w:r>
        <w:t>hedonische</w:t>
      </w:r>
      <w:proofErr w:type="spellEnd"/>
      <w:r>
        <w:t xml:space="preserve"> als de huidige huurmarktwaarden met elkaar vergelijken vinden we dat de fout tussen beiden, dus ook door beide verklaard kan worden. In welke mate is moeilijk in te schatten. </w:t>
      </w:r>
    </w:p>
    <w:p w:rsidR="00C6355A" w:rsidRDefault="00C6355A" w:rsidP="00C6355A">
      <w:pPr>
        <w:pStyle w:val="Caption"/>
      </w:pPr>
      <w:proofErr w:type="spellStart"/>
      <w:r>
        <w:t>Ilustratie</w:t>
      </w:r>
      <w:proofErr w:type="spellEnd"/>
      <w:r>
        <w:t xml:space="preserve">: hypothetische verdeling van de werkelijke huurprijzen (breder), objectieve huurprijs, en </w:t>
      </w:r>
      <w:proofErr w:type="spellStart"/>
      <w:r>
        <w:t>hedonische</w:t>
      </w:r>
      <w:proofErr w:type="spellEnd"/>
      <w:r>
        <w:t xml:space="preserve"> schatting (smaller), op basis van veronderstellingen</w:t>
      </w:r>
    </w:p>
    <w:p w:rsidR="00C6355A" w:rsidRPr="008D437F" w:rsidRDefault="00C6355A" w:rsidP="008D437F">
      <w:pPr>
        <w:pStyle w:val="NormalIndent"/>
        <w:rPr>
          <w:lang w:val="nl-NL"/>
        </w:rPr>
      </w:pPr>
    </w:p>
    <w:p w:rsidR="0008544A" w:rsidRPr="007442C8" w:rsidRDefault="0008544A" w:rsidP="00692E63">
      <w:pPr>
        <w:pStyle w:val="Figuur-RegelafstandEnkel"/>
      </w:pPr>
      <w:r>
        <w:rPr>
          <w:noProof/>
          <w:lang w:eastAsia="nl-BE"/>
        </w:rPr>
        <w:drawing>
          <wp:inline distT="0" distB="0" distL="0" distR="0" wp14:anchorId="4B6D5C85" wp14:editId="3D833C79">
            <wp:extent cx="5760000" cy="3481070"/>
            <wp:effectExtent l="0" t="0" r="12700"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2E63" w:rsidRDefault="0008544A" w:rsidP="00692E63">
      <w:r>
        <w:t xml:space="preserve">In de sociale huisvesting zijn er een relatief groot aandeel studio’s met lagere huurmarktwaarden. Dit wil echter niet zeggen dat het probleem </w:t>
      </w:r>
      <w:proofErr w:type="spellStart"/>
      <w:r>
        <w:t>regression</w:t>
      </w:r>
      <w:proofErr w:type="spellEnd"/>
      <w:r>
        <w:t xml:space="preserve"> </w:t>
      </w:r>
      <w:proofErr w:type="spellStart"/>
      <w:r>
        <w:t>to</w:t>
      </w:r>
      <w:proofErr w:type="spellEnd"/>
      <w:r>
        <w:t xml:space="preserve"> </w:t>
      </w:r>
      <w:proofErr w:type="spellStart"/>
      <w:r>
        <w:t>the</w:t>
      </w:r>
      <w:proofErr w:type="spellEnd"/>
      <w:r>
        <w:t xml:space="preserve"> </w:t>
      </w:r>
      <w:proofErr w:type="spellStart"/>
      <w:r>
        <w:t>mean</w:t>
      </w:r>
      <w:proofErr w:type="spellEnd"/>
      <w:r>
        <w:t xml:space="preserve"> daardoor sterker meespeelt in de sociale huisvesting. Men dient bovenstaande illustratie immers toe te passen op de </w:t>
      </w:r>
      <w:proofErr w:type="spellStart"/>
      <w:r>
        <w:t>submarkt</w:t>
      </w:r>
      <w:proofErr w:type="spellEnd"/>
      <w:r>
        <w:t xml:space="preserve"> van studio’s. </w:t>
      </w:r>
    </w:p>
    <w:p w:rsidR="0008544A" w:rsidRPr="00F31F82" w:rsidRDefault="00692E63" w:rsidP="00692E63">
      <w:pPr>
        <w:pStyle w:val="Heading2"/>
      </w:pPr>
      <w:bookmarkStart w:id="34" w:name="_Toc464122184"/>
      <w:r>
        <w:t>R</w:t>
      </w:r>
      <w:r w:rsidR="0008544A">
        <w:t>eële sociale huurprijs</w:t>
      </w:r>
      <w:bookmarkEnd w:id="34"/>
    </w:p>
    <w:p w:rsidR="0008544A" w:rsidRPr="00024E6B" w:rsidRDefault="0008544A" w:rsidP="0008544A">
      <w:pPr>
        <w:pStyle w:val="Normal-Indent06cm"/>
        <w:ind w:left="0"/>
        <w:rPr>
          <w:lang w:val="nl-BE"/>
        </w:rPr>
      </w:pPr>
      <w:r w:rsidRPr="00024E6B">
        <w:rPr>
          <w:lang w:val="nl-BE"/>
        </w:rPr>
        <w:t>In welke mate sp</w:t>
      </w:r>
      <w:r>
        <w:rPr>
          <w:lang w:val="nl-BE"/>
        </w:rPr>
        <w:t>e</w:t>
      </w:r>
      <w:r w:rsidRPr="00024E6B">
        <w:rPr>
          <w:lang w:val="nl-BE"/>
        </w:rPr>
        <w:t>len de sociale huurmar</w:t>
      </w:r>
      <w:r>
        <w:rPr>
          <w:lang w:val="nl-BE"/>
        </w:rPr>
        <w:t xml:space="preserve">ktwaarden een rol in de prijszetting van de reële sociale huur? In bijlage 2 vindt u hoe de reële sociale huurprijs bepaald wordt. De sociale huurmarktwaarde heeft </w:t>
      </w:r>
      <w:r>
        <w:rPr>
          <w:lang w:val="nl-BE"/>
        </w:rPr>
        <w:lastRenderedPageBreak/>
        <w:t>voornamelijk een rol in het bepalen in de minimum- en maximumprijzen. Tussen die range wordt de huur bepaald door het inkomen, het aantal personen ten laste, en de patrimoniumkorting (die lager is bij hogere sociale huurmarktwaarden)</w:t>
      </w:r>
      <w:r w:rsidR="00692E63">
        <w:rPr>
          <w:lang w:val="nl-BE"/>
        </w:rPr>
        <w:t>.</w:t>
      </w:r>
      <w:r>
        <w:rPr>
          <w:rStyle w:val="FootnoteReference"/>
          <w:lang w:val="nl-BE"/>
        </w:rPr>
        <w:footnoteReference w:id="4"/>
      </w:r>
      <w:r>
        <w:rPr>
          <w:lang w:val="nl-BE"/>
        </w:rPr>
        <w:t xml:space="preserve"> Onderstaande grafiek toont de verschillen tussen de huidige sociale huurmarktwaarden en de effectieve reële huurprijs. </w:t>
      </w:r>
    </w:p>
    <w:p w:rsidR="0008544A" w:rsidRDefault="00692E63" w:rsidP="00692E63">
      <w:pPr>
        <w:pStyle w:val="Caption"/>
      </w:pPr>
      <w:bookmarkStart w:id="35" w:name="_Toc463592532"/>
      <w:r w:rsidRPr="00B302E9">
        <w:t>Figu</w:t>
      </w:r>
      <w:r>
        <w:t>u</w:t>
      </w:r>
      <w:r w:rsidRPr="00B302E9">
        <w:t xml:space="preserve">r </w:t>
      </w:r>
      <w:r w:rsidR="00301DB0">
        <w:fldChar w:fldCharType="begin"/>
      </w:r>
      <w:r w:rsidR="00301DB0">
        <w:instrText xml:space="preserve"> SEQ Figuur \* ARABIC </w:instrText>
      </w:r>
      <w:r w:rsidR="00301DB0">
        <w:fldChar w:fldCharType="separate"/>
      </w:r>
      <w:r w:rsidR="00A65B8D">
        <w:rPr>
          <w:noProof/>
        </w:rPr>
        <w:t>5</w:t>
      </w:r>
      <w:r w:rsidR="00301DB0">
        <w:rPr>
          <w:noProof/>
        </w:rPr>
        <w:fldChar w:fldCharType="end"/>
      </w:r>
      <w:r w:rsidRPr="00B302E9">
        <w:tab/>
      </w:r>
      <w:r>
        <w:t>V</w:t>
      </w:r>
      <w:r w:rsidR="0008544A">
        <w:t>erschil tussen effectieve reële huurprijs en sociale huurmarktwaarde, 2014</w:t>
      </w:r>
      <w:bookmarkEnd w:id="35"/>
    </w:p>
    <w:p w:rsidR="0008544A" w:rsidRPr="00A01B17" w:rsidRDefault="0008544A" w:rsidP="00692E63">
      <w:pPr>
        <w:pStyle w:val="Figuur-RegelafstandEnkel"/>
      </w:pPr>
      <w:r>
        <w:rPr>
          <w:noProof/>
          <w:lang w:eastAsia="nl-BE"/>
        </w:rPr>
        <w:drawing>
          <wp:inline distT="0" distB="0" distL="0" distR="0" wp14:anchorId="6EB3C5D8" wp14:editId="01B9F226">
            <wp:extent cx="5760000" cy="3133725"/>
            <wp:effectExtent l="0" t="0" r="1270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8544A" w:rsidRPr="00692E63" w:rsidRDefault="0008544A" w:rsidP="00692E63">
      <w:pPr>
        <w:pStyle w:val="FiguurTabel-TekstBron"/>
        <w:rPr>
          <w:rStyle w:val="Grijs"/>
        </w:rPr>
      </w:pPr>
      <w:r w:rsidRPr="00692E63">
        <w:rPr>
          <w:rStyle w:val="Grijs"/>
        </w:rPr>
        <w:t>Bron: VMSW, wonen Vlaanderen</w:t>
      </w:r>
    </w:p>
    <w:p w:rsidR="0008544A" w:rsidRDefault="0008544A" w:rsidP="00692E63">
      <w:r>
        <w:t>Voor dit onderzoek hebben we eveneens voor alle sociale woningen de reële en sociale huurmarkt</w:t>
      </w:r>
      <w:r w:rsidR="00711296">
        <w:softHyphen/>
      </w:r>
      <w:r>
        <w:t>waarden gekregen. Op basis daarvan vonden we dat in 30% van alle sociale woningen de sociale markt</w:t>
      </w:r>
      <w:r w:rsidR="00711296">
        <w:softHyphen/>
      </w:r>
      <w:r>
        <w:t>huur een invloed heeft op de minimumhuurprijs en 5% van de sociale woningen op de maximumhuur</w:t>
      </w:r>
      <w:r w:rsidR="00711296">
        <w:softHyphen/>
      </w:r>
      <w:r>
        <w:t xml:space="preserve">prijs. </w:t>
      </w:r>
    </w:p>
    <w:p w:rsidR="0008544A" w:rsidRDefault="0008544A" w:rsidP="00692E63">
      <w:pPr>
        <w:pStyle w:val="NormalIndent"/>
        <w:spacing w:after="120"/>
        <w:ind w:firstLine="0"/>
      </w:pPr>
      <w:r>
        <w:t>Op basis van de wetgeving kan de impact van aanpassingen in de sociale huurmarktwaarden nagegaan worden</w:t>
      </w:r>
      <w:r w:rsidR="0024544F">
        <w:t xml:space="preserve"> </w:t>
      </w:r>
      <w:r>
        <w:t>voor sociale huurmarktwaarden in de range tussen 261</w:t>
      </w:r>
      <w:r w:rsidR="0024544F">
        <w:t> euro</w:t>
      </w:r>
      <w:r>
        <w:t xml:space="preserve"> en 667</w:t>
      </w:r>
      <w:r w:rsidR="0024544F">
        <w:t> euro</w:t>
      </w:r>
      <w:r w:rsidR="00692E63">
        <w:t>. De m</w:t>
      </w:r>
      <w:r>
        <w:t>inimale huur</w:t>
      </w:r>
      <w:r w:rsidR="00711296">
        <w:softHyphen/>
      </w:r>
      <w:r>
        <w:t>prijs wordt daar berekend als</w:t>
      </w:r>
      <w:r w:rsidR="00804CBF">
        <w:t>:</w:t>
      </w:r>
    </w:p>
    <w:p w:rsidR="0008544A" w:rsidRDefault="0008544A" w:rsidP="0008544A">
      <w:pPr>
        <w:pStyle w:val="Tabel-Tekst"/>
      </w:pPr>
      <m:oMathPara>
        <m:oMath>
          <m:r>
            <w:rPr>
              <w:rFonts w:ascii="Cambria Math" w:hAnsi="Cambria Math"/>
              <w:sz w:val="22"/>
              <w:szCs w:val="24"/>
            </w:rPr>
            <m:t xml:space="preserve">Minimale huurprijs= </m:t>
          </m:r>
          <m:f>
            <m:fPr>
              <m:ctrlPr>
                <w:rPr>
                  <w:rFonts w:ascii="Cambria Math" w:hAnsi="Cambria Math"/>
                  <w:sz w:val="22"/>
                  <w:szCs w:val="24"/>
                </w:rPr>
              </m:ctrlPr>
            </m:fPr>
            <m:num>
              <m:r>
                <m:rPr>
                  <m:sty m:val="p"/>
                </m:rPr>
                <w:rPr>
                  <w:rFonts w:ascii="Cambria Math" w:hAnsi="Cambria Math"/>
                </w:rPr>
                <m:t>(</m:t>
              </m:r>
              <m:r>
                <w:rPr>
                  <w:rFonts w:ascii="Cambria Math" w:hAnsi="Cambria Math"/>
                </w:rPr>
                <m:t>sociale</m:t>
              </m:r>
              <m:r>
                <m:rPr>
                  <m:sty m:val="p"/>
                </m:rPr>
                <w:rPr>
                  <w:rFonts w:ascii="Cambria Math" w:hAnsi="Cambria Math"/>
                </w:rPr>
                <m:t xml:space="preserve"> </m:t>
              </m:r>
              <m:r>
                <w:rPr>
                  <w:rFonts w:ascii="Cambria Math" w:hAnsi="Cambria Math"/>
                </w:rPr>
                <m:t>huurmarktwaarde-261)</m:t>
              </m:r>
            </m:num>
            <m:den>
              <m:r>
                <w:rPr>
                  <w:rFonts w:ascii="Cambria Math" w:hAnsi="Cambria Math"/>
                  <w:sz w:val="22"/>
                  <w:szCs w:val="24"/>
                </w:rPr>
                <m:t>(677-261)</m:t>
              </m:r>
            </m:den>
          </m:f>
          <m:r>
            <w:rPr>
              <w:rFonts w:ascii="Cambria Math" w:hAnsi="Cambria Math"/>
              <w:sz w:val="22"/>
              <w:szCs w:val="24"/>
            </w:rPr>
            <m:t>*</m:t>
          </m:r>
          <m:d>
            <m:dPr>
              <m:ctrlPr>
                <w:rPr>
                  <w:rFonts w:ascii="Cambria Math" w:hAnsi="Cambria Math"/>
                  <w:i/>
                  <w:sz w:val="22"/>
                  <w:szCs w:val="24"/>
                </w:rPr>
              </m:ctrlPr>
            </m:dPr>
            <m:e>
              <m:r>
                <w:rPr>
                  <w:rFonts w:ascii="Cambria Math" w:hAnsi="Cambria Math"/>
                  <w:sz w:val="22"/>
                  <w:szCs w:val="24"/>
                </w:rPr>
                <m:t>232-116</m:t>
              </m:r>
            </m:e>
          </m:d>
          <m:r>
            <w:rPr>
              <w:rFonts w:ascii="Cambria Math" w:hAnsi="Cambria Math"/>
              <w:sz w:val="22"/>
              <w:szCs w:val="24"/>
            </w:rPr>
            <m:t>+116</m:t>
          </m:r>
        </m:oMath>
      </m:oMathPara>
    </w:p>
    <w:p w:rsidR="0008544A" w:rsidRPr="00F44513" w:rsidRDefault="0008544A" w:rsidP="0008544A">
      <w:pPr>
        <w:pStyle w:val="Tabel-Tekst"/>
        <w:rPr>
          <w:sz w:val="22"/>
          <w:szCs w:val="24"/>
        </w:rPr>
      </w:pPr>
      <m:oMathPara>
        <m:oMath>
          <m:r>
            <w:rPr>
              <w:rFonts w:ascii="Cambria Math" w:hAnsi="Cambria Math"/>
              <w:sz w:val="22"/>
              <w:szCs w:val="24"/>
            </w:rPr>
            <m:t>Minimale huurprijs= 0,278846*sociale huurmarktwaarde+43,22115</m:t>
          </m:r>
        </m:oMath>
      </m:oMathPara>
    </w:p>
    <w:p w:rsidR="0008544A" w:rsidRDefault="0008544A" w:rsidP="00692E63">
      <w:r w:rsidRPr="00F44513">
        <w:t xml:space="preserve">In </w:t>
      </w:r>
      <w:r>
        <w:t>de mate dat de nieuwe sociale huurmarktwaarde 100</w:t>
      </w:r>
      <w:r w:rsidR="0024544F">
        <w:t> euro</w:t>
      </w:r>
      <w:r>
        <w:t xml:space="preserve"> hoger ligt dan de voorgaande sociale huurmarktwaarde betekent dit een stijging van de reële huurprijs van 27,88</w:t>
      </w:r>
      <w:r w:rsidR="0024544F">
        <w:t> euro</w:t>
      </w:r>
      <w:r>
        <w:t>. Het is dus niet zo dat de sociale huurmarktwaarde een zeer grote impact heeft op de reële huurprijs bij de minimale huurprijs. Bij de maximale huurprijs is de impact groter en wordt een mogelijke hogere schatting vol</w:t>
      </w:r>
      <w:r w:rsidR="00711296">
        <w:softHyphen/>
      </w:r>
      <w:r>
        <w:t>ledig doorgerekend (tenzij de verhoging ertoe leidt dat de inkomensgrens terug de bepalende factor wordt). Wat betreft de patrimoniumkorting kan gelijkaardig aan de minimumgrens afgeleid worden dat een verhoging van de sociale huurmarktwaarde met 100</w:t>
      </w:r>
      <w:r w:rsidR="0024544F">
        <w:t> euro</w:t>
      </w:r>
      <w:r>
        <w:t xml:space="preserve"> leidt tot een 30</w:t>
      </w:r>
      <w:r w:rsidR="0024544F">
        <w:t> euro</w:t>
      </w:r>
      <w:r>
        <w:t xml:space="preserve"> hogere sociale huurprijs. </w:t>
      </w:r>
    </w:p>
    <w:p w:rsidR="0008544A" w:rsidRPr="007374E5" w:rsidRDefault="0008544A" w:rsidP="0008544A">
      <w:pPr>
        <w:pStyle w:val="NormalIndent"/>
      </w:pPr>
    </w:p>
    <w:p w:rsidR="0008544A" w:rsidRDefault="0008544A" w:rsidP="0008544A">
      <w:pPr>
        <w:spacing w:before="0" w:line="240" w:lineRule="auto"/>
        <w:jc w:val="left"/>
        <w:rPr>
          <w:rFonts w:ascii="Candara" w:hAnsi="Candara" w:cs="Arial"/>
          <w:b/>
          <w:bCs/>
          <w:color w:val="491469"/>
          <w:sz w:val="40"/>
          <w:szCs w:val="34"/>
        </w:rPr>
      </w:pPr>
      <w:r>
        <w:lastRenderedPageBreak/>
        <w:br w:type="page"/>
      </w:r>
    </w:p>
    <w:p w:rsidR="0008544A" w:rsidRDefault="0008544A" w:rsidP="0008544A">
      <w:pPr>
        <w:pStyle w:val="Heading1"/>
      </w:pPr>
      <w:bookmarkStart w:id="36" w:name="_Toc464122185"/>
      <w:r>
        <w:lastRenderedPageBreak/>
        <w:t xml:space="preserve">Sociale huurmarktwaarden volgens </w:t>
      </w:r>
      <w:r w:rsidR="0024544F">
        <w:t>Huurschatter</w:t>
      </w:r>
      <w:r>
        <w:t xml:space="preserve"> en vergelijking met huidige sociale huurmarktwaarden</w:t>
      </w:r>
      <w:bookmarkEnd w:id="36"/>
    </w:p>
    <w:p w:rsidR="0008544A" w:rsidRDefault="0008544A" w:rsidP="00692E63">
      <w:r>
        <w:t xml:space="preserve">In de eerste analyse gaan we na hoe de </w:t>
      </w:r>
      <w:r w:rsidR="0024544F">
        <w:t>Huurschatter</w:t>
      </w:r>
      <w:r>
        <w:t xml:space="preserve"> de huurwoningen van het referentiestaal schat en vergelijken deze met de oorspronkelijke schattingen van de notarissen in 2008.</w:t>
      </w:r>
    </w:p>
    <w:p w:rsidR="0008544A" w:rsidRDefault="0008544A" w:rsidP="00692E63">
      <w:r>
        <w:t xml:space="preserve">Vervolgens gaan we na hoe de </w:t>
      </w:r>
      <w:r w:rsidR="0024544F">
        <w:t>Huurschatter</w:t>
      </w:r>
      <w:r>
        <w:t xml:space="preserve"> de huurwaarden van de SHM schat</w:t>
      </w:r>
      <w:r w:rsidR="0024544F">
        <w:t xml:space="preserve"> </w:t>
      </w:r>
      <w:r>
        <w:t>op basis van een staal van SHM-woningen.</w:t>
      </w:r>
    </w:p>
    <w:p w:rsidR="0008544A" w:rsidRPr="0009062D" w:rsidRDefault="0008544A" w:rsidP="00692E63">
      <w:r>
        <w:t xml:space="preserve">We doen dit voor de </w:t>
      </w:r>
      <w:r w:rsidR="005E1D1F">
        <w:t>eengezinswoningen</w:t>
      </w:r>
      <w:r>
        <w:t xml:space="preserve"> en appartementen apart. </w:t>
      </w:r>
    </w:p>
    <w:p w:rsidR="0008544A" w:rsidRDefault="0008544A" w:rsidP="0008544A">
      <w:pPr>
        <w:pStyle w:val="Heading2"/>
      </w:pPr>
      <w:bookmarkStart w:id="37" w:name="_Toc464122186"/>
      <w:r>
        <w:t>Staal Notaris 2008</w:t>
      </w:r>
      <w:bookmarkEnd w:id="37"/>
    </w:p>
    <w:p w:rsidR="0008544A" w:rsidRPr="00694ED0" w:rsidRDefault="0008544A" w:rsidP="0008544A">
      <w:pPr>
        <w:pStyle w:val="Heading3"/>
      </w:pPr>
      <w:bookmarkStart w:id="38" w:name="_Toc464122187"/>
      <w:r>
        <w:t>eengezinswoningen</w:t>
      </w:r>
      <w:bookmarkEnd w:id="38"/>
    </w:p>
    <w:p w:rsidR="0008544A" w:rsidRPr="0009062D" w:rsidRDefault="0008544A" w:rsidP="00692E63">
      <w:r w:rsidRPr="0009062D">
        <w:t xml:space="preserve">Uiteraard zullen de geschatte huurmarktwaarden anno 2015 </w:t>
      </w:r>
      <w:r>
        <w:t xml:space="preserve">van het referentiestaal </w:t>
      </w:r>
      <w:r w:rsidRPr="0009062D">
        <w:t xml:space="preserve">hoger liggen dan de geschatte </w:t>
      </w:r>
      <w:r>
        <w:t>huurmarktwaarden van de notarissen van datzelfde staal in 2008. Door een eenvoudige regressie</w:t>
      </w:r>
      <w:r>
        <w:rPr>
          <w:rStyle w:val="FootnoteReference"/>
        </w:rPr>
        <w:footnoteReference w:id="5"/>
      </w:r>
      <w:r>
        <w:t xml:space="preserve"> uit te voeren, vinden we dat de schattingen van het referentiestaal </w:t>
      </w:r>
      <w:r w:rsidRPr="00715132">
        <w:t xml:space="preserve">anno 2015 </w:t>
      </w:r>
      <w:r>
        <w:t xml:space="preserve">door de </w:t>
      </w:r>
      <w:r w:rsidR="0024544F">
        <w:t>Huur</w:t>
      </w:r>
      <w:r w:rsidR="00711296">
        <w:softHyphen/>
      </w:r>
      <w:r w:rsidR="0024544F">
        <w:t>schatter</w:t>
      </w:r>
      <w:r>
        <w:t xml:space="preserve"> </w:t>
      </w:r>
      <w:r w:rsidRPr="00715132">
        <w:t>gemiddeld 1</w:t>
      </w:r>
      <w:r>
        <w:t>9</w:t>
      </w:r>
      <w:r w:rsidR="00692E63">
        <w:t>,</w:t>
      </w:r>
      <w:r>
        <w:t>8</w:t>
      </w:r>
      <w:r w:rsidRPr="00715132">
        <w:t xml:space="preserve">% hoger </w:t>
      </w:r>
      <w:r>
        <w:t xml:space="preserve">zijn </w:t>
      </w:r>
      <w:r w:rsidRPr="00715132">
        <w:t xml:space="preserve">dan de huurprijzen die in 2008 geschat zijn door notarissen. </w:t>
      </w:r>
      <w:r w:rsidRPr="0009062D">
        <w:t xml:space="preserve">Dit is redelijk acceptabel. Op basis van de </w:t>
      </w:r>
      <w:proofErr w:type="spellStart"/>
      <w:r w:rsidRPr="0009062D">
        <w:t>hedonische</w:t>
      </w:r>
      <w:proofErr w:type="spellEnd"/>
      <w:r w:rsidRPr="0009062D">
        <w:t xml:space="preserve"> huurprijsindex </w:t>
      </w:r>
      <w:r>
        <w:t>(De Huurschatter deel</w:t>
      </w:r>
      <w:r w:rsidR="00692E63">
        <w:t> </w:t>
      </w:r>
      <w:r>
        <w:t xml:space="preserve">3) weten </w:t>
      </w:r>
      <w:r w:rsidRPr="0009062D">
        <w:t xml:space="preserve">we dat de huurprijzen </w:t>
      </w:r>
      <w:r>
        <w:t xml:space="preserve">van gelijkaardige woningen </w:t>
      </w:r>
      <w:r w:rsidRPr="0009062D">
        <w:t xml:space="preserve">anno 2015 12% hoger liggen dan deze in 2008. </w:t>
      </w:r>
      <w:r>
        <w:t xml:space="preserve">Bovendien </w:t>
      </w:r>
      <w:r w:rsidRPr="0009062D">
        <w:t xml:space="preserve">zijn de </w:t>
      </w:r>
      <w:r>
        <w:t>notaris</w:t>
      </w:r>
      <w:r w:rsidRPr="0009062D">
        <w:t xml:space="preserve">schattingen uitgevoerd </w:t>
      </w:r>
      <w:r w:rsidR="00692E63">
        <w:t>in 2007. In deel </w:t>
      </w:r>
      <w:r>
        <w:t>1 vinden we dat de SPAR huurprijsindex van 2007 naar 2008 een stijging van 4% optekende voor woonhuizen</w:t>
      </w:r>
      <w:r w:rsidRPr="0009062D">
        <w:t xml:space="preserve">. </w:t>
      </w:r>
      <w:r>
        <w:t>Rekening houdend met het verschil in tijd zou de Huurschatter het staal van de notarissen nu 3.8% hoger inschatten (19</w:t>
      </w:r>
      <w:r w:rsidR="00692E63">
        <w:t>,</w:t>
      </w:r>
      <w:r>
        <w:t>8%-16%).</w:t>
      </w:r>
    </w:p>
    <w:p w:rsidR="0008544A" w:rsidRDefault="0008544A" w:rsidP="00692E63">
      <w:r>
        <w:t xml:space="preserve">Hierbij dient wel nog een bemerking gemaakt te worden. We veronderstellen dat de velden van de Huurschatter neutraal zijn ingevuld in deze oefening. Dit is niet voor alle gebruikers het geval. Indien een huurder de </w:t>
      </w:r>
      <w:r w:rsidR="0024544F">
        <w:t>Huurschatter</w:t>
      </w:r>
      <w:r>
        <w:t xml:space="preserve"> heeft gebruikt is de geschatte huurmarktwaarde 8</w:t>
      </w:r>
      <w:r w:rsidR="00692E63">
        <w:t>,</w:t>
      </w:r>
      <w:r>
        <w:t>7% lager bij woon</w:t>
      </w:r>
      <w:r w:rsidR="00711296">
        <w:softHyphen/>
      </w:r>
      <w:r>
        <w:t>huizen en 6</w:t>
      </w:r>
      <w:r w:rsidR="00692E63">
        <w:t>,</w:t>
      </w:r>
      <w:r>
        <w:t xml:space="preserve">6% bij appartementen. Dit komt omdat de huurder de woningkenmerken minder positief invult dan de verhuurder. Dus indien zowel een huurder als een verhuurder eenzelfde huurwoning schatten zullen de minder positieve ingevulde velden bij de huurder leiden tot een lagere geschatte huurprijs. Indien we deze lagere geschatte huurprijs van een eengezinswoning verhogen met 8.7% krijgen we de hogere geschatte huurprijs van de </w:t>
      </w:r>
      <w:r w:rsidR="0024544F">
        <w:t>Huurschatter</w:t>
      </w:r>
      <w:r>
        <w:t xml:space="preserve"> op basis van de optimistischere inge</w:t>
      </w:r>
      <w:r w:rsidR="00711296">
        <w:softHyphen/>
      </w:r>
      <w:r>
        <w:t>vulde velden van de verhuurder</w:t>
      </w:r>
      <w:r w:rsidR="00692E63">
        <w:t>.</w:t>
      </w:r>
      <w:r>
        <w:rPr>
          <w:rStyle w:val="FootnoteReference"/>
        </w:rPr>
        <w:footnoteReference w:id="6"/>
      </w:r>
      <w:r>
        <w:t xml:space="preserve"> In de uiteindelijke </w:t>
      </w:r>
      <w:proofErr w:type="spellStart"/>
      <w:r>
        <w:t>webversie</w:t>
      </w:r>
      <w:proofErr w:type="spellEnd"/>
      <w:r>
        <w:t xml:space="preserve"> van de </w:t>
      </w:r>
      <w:r w:rsidR="0024544F">
        <w:t>Huurschatter</w:t>
      </w:r>
      <w:r>
        <w:t xml:space="preserve"> is er voor gekozen om hier geen rekening mee te houden en een gemiddelde van de twee te nemen. We veronderstellen een neutraal gebruik van de </w:t>
      </w:r>
      <w:r w:rsidR="0024544F">
        <w:t>Huurschatter</w:t>
      </w:r>
      <w:r>
        <w:t xml:space="preserve">. Dit is de meest logische optie omdat op die manier bij een </w:t>
      </w:r>
      <w:r>
        <w:lastRenderedPageBreak/>
        <w:t xml:space="preserve">mogelijke vergelijking van huurder als verhuurder beiden mogelijk hun ingevulde velden naar een gemiddelde aanpassen en zo op de geschatte huurprijs van de </w:t>
      </w:r>
      <w:r w:rsidR="0024544F">
        <w:t>Huurschatter</w:t>
      </w:r>
      <w:r>
        <w:t xml:space="preserve"> komen. </w:t>
      </w:r>
    </w:p>
    <w:p w:rsidR="00692E63" w:rsidRPr="00B302E9" w:rsidRDefault="00692E63" w:rsidP="003A3594">
      <w:pPr>
        <w:pStyle w:val="Caption"/>
      </w:pPr>
      <w:bookmarkStart w:id="39" w:name="_Toc463592533"/>
      <w:r w:rsidRPr="00B302E9">
        <w:t>Figu</w:t>
      </w:r>
      <w:r>
        <w:t>u</w:t>
      </w:r>
      <w:r w:rsidRPr="00B302E9">
        <w:t xml:space="preserve">r </w:t>
      </w:r>
      <w:r w:rsidR="00301DB0">
        <w:fldChar w:fldCharType="begin"/>
      </w:r>
      <w:r w:rsidR="00301DB0">
        <w:instrText xml:space="preserve"> SEQ Figuur \* ARABIC </w:instrText>
      </w:r>
      <w:r w:rsidR="00301DB0">
        <w:fldChar w:fldCharType="separate"/>
      </w:r>
      <w:r w:rsidR="00A65B8D">
        <w:rPr>
          <w:noProof/>
        </w:rPr>
        <w:t>6</w:t>
      </w:r>
      <w:r w:rsidR="00301DB0">
        <w:rPr>
          <w:noProof/>
        </w:rPr>
        <w:fldChar w:fldCharType="end"/>
      </w:r>
      <w:r w:rsidRPr="00B302E9">
        <w:tab/>
      </w:r>
      <w:r w:rsidR="00727DC1">
        <w:t>V</w:t>
      </w:r>
      <w:r w:rsidR="00727DC1" w:rsidRPr="00727DC1">
        <w:t>ergelijking huurprijzen geschat door notarissen (2008) en Huurschatter (2015) van referentie</w:t>
      </w:r>
      <w:r w:rsidR="000768D8">
        <w:softHyphen/>
      </w:r>
      <w:r w:rsidR="00727DC1" w:rsidRPr="00727DC1">
        <w:t>staal notarissen van sociale eengezinswoningen (n=1050)</w:t>
      </w:r>
      <w:bookmarkEnd w:id="39"/>
    </w:p>
    <w:p w:rsidR="0008544A" w:rsidRDefault="0008544A" w:rsidP="00727DC1">
      <w:pPr>
        <w:pStyle w:val="Figuur-RegelafstandEnkel"/>
      </w:pPr>
      <w:r w:rsidRPr="00DA490A">
        <w:rPr>
          <w:noProof/>
          <w:lang w:eastAsia="nl-BE"/>
        </w:rPr>
        <w:drawing>
          <wp:inline distT="0" distB="0" distL="0" distR="0" wp14:anchorId="558B46E3" wp14:editId="5B2B5D50">
            <wp:extent cx="3914775" cy="28650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2216" cy="2885086"/>
                    </a:xfrm>
                    <a:prstGeom prst="rect">
                      <a:avLst/>
                    </a:prstGeom>
                    <a:noFill/>
                    <a:ln>
                      <a:noFill/>
                    </a:ln>
                  </pic:spPr>
                </pic:pic>
              </a:graphicData>
            </a:graphic>
          </wp:inline>
        </w:drawing>
      </w:r>
    </w:p>
    <w:p w:rsidR="0008544A" w:rsidRDefault="0008544A" w:rsidP="00727DC1">
      <w:r>
        <w:t xml:space="preserve">Op basis van onderstaand histogram zien we dat ongeveer 50% van de fouten </w:t>
      </w:r>
      <w:r w:rsidR="00727DC1">
        <w:t>van de observaties tussen de -0,</w:t>
      </w:r>
      <w:r>
        <w:t>1 en 0</w:t>
      </w:r>
      <w:r w:rsidR="00727DC1">
        <w:t>,</w:t>
      </w:r>
      <w:r>
        <w:t>1 ligt, en 80% van de observaties tussen de -0</w:t>
      </w:r>
      <w:r w:rsidR="00727DC1">
        <w:t>,</w:t>
      </w:r>
      <w:r>
        <w:t>2 en 0</w:t>
      </w:r>
      <w:r w:rsidR="00727DC1">
        <w:t>,</w:t>
      </w:r>
      <w:r>
        <w:t xml:space="preserve">2. De fout is hierbij de MAPE, de </w:t>
      </w:r>
      <w:proofErr w:type="spellStart"/>
      <w:r>
        <w:t>mean</w:t>
      </w:r>
      <w:proofErr w:type="spellEnd"/>
      <w:r>
        <w:t xml:space="preserve"> absolute percentage error, </w:t>
      </w:r>
      <w:r w:rsidRPr="00F17AFD">
        <w:t xml:space="preserve">het absoluut verschil tussen de geïndexeerde </w:t>
      </w:r>
      <w:r w:rsidR="005E1D1F" w:rsidRPr="00F17AFD">
        <w:t>huurprijs</w:t>
      </w:r>
      <w:r w:rsidRPr="00F17AFD">
        <w:t xml:space="preserve"> van nota</w:t>
      </w:r>
      <w:r w:rsidR="00711296">
        <w:softHyphen/>
      </w:r>
      <w:r w:rsidRPr="00F17AFD">
        <w:t>rissen (2008-&gt;2015) en de geschatte huurmarktwaarden ten opzichte van de geschatte huurmarkt</w:t>
      </w:r>
      <w:r w:rsidR="00711296">
        <w:softHyphen/>
      </w:r>
      <w:r w:rsidRPr="00F17AFD">
        <w:t>waarde</w:t>
      </w:r>
      <w:r>
        <w:t>.</w:t>
      </w:r>
      <w:r w:rsidRPr="00F17AFD">
        <w:t xml:space="preserve"> </w:t>
      </w:r>
      <w:r>
        <w:t xml:space="preserve">Deze cijfers zijn gelijkaardig als de algemene accuraatheid van de </w:t>
      </w:r>
      <w:r w:rsidR="0024544F">
        <w:t>Huurschatter</w:t>
      </w:r>
      <w:r>
        <w:t>. In deze oefe</w:t>
      </w:r>
      <w:r w:rsidR="00711296">
        <w:softHyphen/>
      </w:r>
      <w:r>
        <w:t xml:space="preserve">ning hebben we geen extreme waarden </w:t>
      </w:r>
      <w:proofErr w:type="spellStart"/>
      <w:r>
        <w:t>weggefilterd</w:t>
      </w:r>
      <w:proofErr w:type="spellEnd"/>
      <w:r>
        <w:t>.</w:t>
      </w:r>
    </w:p>
    <w:p w:rsidR="00727DC1" w:rsidRPr="00B302E9" w:rsidRDefault="00727DC1" w:rsidP="003A3594">
      <w:pPr>
        <w:pStyle w:val="Caption"/>
      </w:pPr>
      <w:bookmarkStart w:id="40" w:name="_Toc463592534"/>
      <w:r w:rsidRPr="00B302E9">
        <w:lastRenderedPageBreak/>
        <w:t>Figu</w:t>
      </w:r>
      <w:r>
        <w:t>u</w:t>
      </w:r>
      <w:r w:rsidRPr="00B302E9">
        <w:t xml:space="preserve">r </w:t>
      </w:r>
      <w:r w:rsidR="00301DB0">
        <w:fldChar w:fldCharType="begin"/>
      </w:r>
      <w:r w:rsidR="00301DB0">
        <w:instrText xml:space="preserve"> SEQ Figuur \* ARABIC </w:instrText>
      </w:r>
      <w:r w:rsidR="00301DB0">
        <w:fldChar w:fldCharType="separate"/>
      </w:r>
      <w:r w:rsidR="00A65B8D">
        <w:rPr>
          <w:noProof/>
        </w:rPr>
        <w:t>7</w:t>
      </w:r>
      <w:r w:rsidR="00301DB0">
        <w:rPr>
          <w:noProof/>
        </w:rPr>
        <w:fldChar w:fldCharType="end"/>
      </w:r>
      <w:r w:rsidRPr="00B302E9">
        <w:tab/>
      </w:r>
      <w:r>
        <w:t>H</w:t>
      </w:r>
      <w:r w:rsidRPr="00727DC1">
        <w:t>istogram van de gemiddelde fout*, referentiestaal sociale huizen van notarissen</w:t>
      </w:r>
      <w:bookmarkEnd w:id="40"/>
    </w:p>
    <w:p w:rsidR="0008544A" w:rsidRDefault="0008544A" w:rsidP="00727DC1">
      <w:pPr>
        <w:pStyle w:val="Figuur-RegelafstandEnkel"/>
        <w:rPr>
          <w:lang w:val="nl-NL"/>
        </w:rPr>
      </w:pPr>
      <w:r w:rsidRPr="00727DC1">
        <w:rPr>
          <w:noProof/>
          <w:lang w:eastAsia="nl-BE"/>
        </w:rPr>
        <w:drawing>
          <wp:inline distT="0" distB="0" distL="0" distR="0" wp14:anchorId="29A7B7A8" wp14:editId="223D6998">
            <wp:extent cx="4034674" cy="29527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7001" cy="2954453"/>
                    </a:xfrm>
                    <a:prstGeom prst="rect">
                      <a:avLst/>
                    </a:prstGeom>
                    <a:noFill/>
                    <a:ln>
                      <a:noFill/>
                    </a:ln>
                  </pic:spPr>
                </pic:pic>
              </a:graphicData>
            </a:graphic>
          </wp:inline>
        </w:drawing>
      </w:r>
    </w:p>
    <w:p w:rsidR="0008544A" w:rsidRDefault="00727DC1" w:rsidP="00727DC1">
      <w:pPr>
        <w:pStyle w:val="FiguurTabel-Opmerking"/>
        <w:keepNext w:val="0"/>
        <w:ind w:left="170" w:hanging="170"/>
      </w:pPr>
      <w:r w:rsidRPr="00727DC1">
        <w:rPr>
          <w:lang w:val="nl-NL"/>
        </w:rPr>
        <w:t>*</w:t>
      </w:r>
      <w:r>
        <w:tab/>
      </w:r>
      <w:r w:rsidR="0008544A">
        <w:t xml:space="preserve">het absoluut verschil tussen de geïndexeerde </w:t>
      </w:r>
      <w:r w:rsidR="005E1D1F">
        <w:t>huurprijs</w:t>
      </w:r>
      <w:r w:rsidR="0008544A">
        <w:t xml:space="preserve"> van notarissen (2008-&gt;2015) en de geschatte huur</w:t>
      </w:r>
      <w:r w:rsidR="00711296">
        <w:softHyphen/>
      </w:r>
      <w:r w:rsidR="0008544A">
        <w:t>marktwaarden ten opzichte van de geschatte huurmarktwaarde</w:t>
      </w:r>
      <w:r>
        <w:t>.</w:t>
      </w:r>
    </w:p>
    <w:p w:rsidR="0008544A" w:rsidRPr="00694ED0" w:rsidRDefault="0008544A" w:rsidP="0008544A">
      <w:pPr>
        <w:pStyle w:val="Heading3"/>
      </w:pPr>
      <w:bookmarkStart w:id="41" w:name="_Toc464122188"/>
      <w:r>
        <w:t>Appartementen</w:t>
      </w:r>
      <w:bookmarkEnd w:id="41"/>
    </w:p>
    <w:p w:rsidR="0008544A" w:rsidRDefault="0008544A" w:rsidP="00727DC1">
      <w:r>
        <w:t>Voor appartementen geldt een gelijkaardig beeld als dat van eengezinswoningen. We zien dat de schattingen</w:t>
      </w:r>
      <w:r w:rsidR="005E1D1F">
        <w:t xml:space="preserve"> van het referentiesta</w:t>
      </w:r>
      <w:r>
        <w:t xml:space="preserve">al </w:t>
      </w:r>
      <w:r w:rsidRPr="00715132">
        <w:t xml:space="preserve">anno 2015 </w:t>
      </w:r>
      <w:r>
        <w:t xml:space="preserve">door de </w:t>
      </w:r>
      <w:r w:rsidR="0024544F">
        <w:t>Huurschatter</w:t>
      </w:r>
      <w:r>
        <w:t xml:space="preserve"> </w:t>
      </w:r>
      <w:r w:rsidRPr="00715132">
        <w:t>gemiddeld 1</w:t>
      </w:r>
      <w:r>
        <w:t>8</w:t>
      </w:r>
      <w:r w:rsidR="00727DC1">
        <w:t>,</w:t>
      </w:r>
      <w:r>
        <w:t>2</w:t>
      </w:r>
      <w:r w:rsidRPr="00715132">
        <w:t xml:space="preserve">% hoger </w:t>
      </w:r>
      <w:r>
        <w:t xml:space="preserve">zijn </w:t>
      </w:r>
      <w:r w:rsidRPr="00715132">
        <w:t>dan de huurprijzen die in 2008 geschat zijn door notarissen.</w:t>
      </w:r>
      <w:r>
        <w:t xml:space="preserve"> Dit is in lijn met de </w:t>
      </w:r>
      <w:proofErr w:type="spellStart"/>
      <w:r>
        <w:t>hedonische</w:t>
      </w:r>
      <w:proofErr w:type="spellEnd"/>
      <w:r>
        <w:t xml:space="preserve"> huurprijsindex voor appartementen (Huurschatter</w:t>
      </w:r>
      <w:r w:rsidR="00A65B8D">
        <w:t>.</w:t>
      </w:r>
      <w:r>
        <w:t xml:space="preserve"> </w:t>
      </w:r>
      <w:r w:rsidR="00A65B8D">
        <w:t>D</w:t>
      </w:r>
      <w:r>
        <w:t xml:space="preserve">eel 3) die weergeeft dat een gelijkaardig appartement in de periode 2008-2015 met 14% gestegen is, en de SPAR huurprijsindex met 3% in de periode 2007-2008. </w:t>
      </w:r>
    </w:p>
    <w:p w:rsidR="0008544A" w:rsidRPr="00C344CD" w:rsidRDefault="0008544A" w:rsidP="00727DC1">
      <w:r>
        <w:t>Rekening houdend met het verschil in tijd zou de Huurschatter h</w:t>
      </w:r>
      <w:r w:rsidR="00727DC1">
        <w:t>et staal van de notarissen nu 1,2% hoger inschatten (18,</w:t>
      </w:r>
      <w:r>
        <w:t>2%-17%).</w:t>
      </w:r>
    </w:p>
    <w:p w:rsidR="00727DC1" w:rsidRPr="00B302E9" w:rsidRDefault="00727DC1" w:rsidP="00727DC1">
      <w:pPr>
        <w:pStyle w:val="Caption"/>
      </w:pPr>
      <w:bookmarkStart w:id="42" w:name="_Toc463592535"/>
      <w:r w:rsidRPr="00B302E9">
        <w:lastRenderedPageBreak/>
        <w:t>Figu</w:t>
      </w:r>
      <w:r>
        <w:t>u</w:t>
      </w:r>
      <w:r w:rsidRPr="00B302E9">
        <w:t xml:space="preserve">r </w:t>
      </w:r>
      <w:r w:rsidR="00301DB0">
        <w:fldChar w:fldCharType="begin"/>
      </w:r>
      <w:r w:rsidR="00301DB0">
        <w:instrText xml:space="preserve"> SEQ Figuur \* ARABIC </w:instrText>
      </w:r>
      <w:r w:rsidR="00301DB0">
        <w:fldChar w:fldCharType="separate"/>
      </w:r>
      <w:r w:rsidR="00A65B8D">
        <w:rPr>
          <w:noProof/>
        </w:rPr>
        <w:t>8</w:t>
      </w:r>
      <w:r w:rsidR="00301DB0">
        <w:rPr>
          <w:noProof/>
        </w:rPr>
        <w:fldChar w:fldCharType="end"/>
      </w:r>
      <w:r w:rsidRPr="00B302E9">
        <w:tab/>
      </w:r>
      <w:r w:rsidRPr="00727DC1">
        <w:t>Vergelijking huurprijzen geschat door notarissen (2008) en Huurschatter (2015) van referentie</w:t>
      </w:r>
      <w:r w:rsidR="000768D8">
        <w:softHyphen/>
      </w:r>
      <w:r w:rsidRPr="00727DC1">
        <w:t>staal notarissen van sociale appartementen (n=880)</w:t>
      </w:r>
      <w:bookmarkEnd w:id="42"/>
    </w:p>
    <w:p w:rsidR="0008544A" w:rsidRPr="00F65607" w:rsidRDefault="0008544A" w:rsidP="00727DC1">
      <w:pPr>
        <w:pStyle w:val="Figuur-RegelafstandEnkel"/>
      </w:pPr>
      <w:r w:rsidRPr="00F65607">
        <w:rPr>
          <w:noProof/>
          <w:lang w:eastAsia="nl-BE"/>
        </w:rPr>
        <w:drawing>
          <wp:inline distT="0" distB="0" distL="0" distR="0" wp14:anchorId="2908C396" wp14:editId="50442363">
            <wp:extent cx="3943350" cy="2885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1300" cy="2891733"/>
                    </a:xfrm>
                    <a:prstGeom prst="rect">
                      <a:avLst/>
                    </a:prstGeom>
                    <a:noFill/>
                    <a:ln>
                      <a:noFill/>
                    </a:ln>
                  </pic:spPr>
                </pic:pic>
              </a:graphicData>
            </a:graphic>
          </wp:inline>
        </w:drawing>
      </w:r>
    </w:p>
    <w:p w:rsidR="0008544A" w:rsidRDefault="0008544A" w:rsidP="00727DC1">
      <w:r>
        <w:t xml:space="preserve">Daar waar bij de </w:t>
      </w:r>
      <w:r w:rsidR="0024544F">
        <w:t>Huurschatter</w:t>
      </w:r>
      <w:r>
        <w:t xml:space="preserve"> er betere resultaten gevonden werden dan bij de woonhuizen, zien we op basis van het histogram dat dit bij de sociale woningen eerder niet het geval is. De fouten bij appar</w:t>
      </w:r>
      <w:r w:rsidR="00711296">
        <w:softHyphen/>
      </w:r>
      <w:r>
        <w:t xml:space="preserve">tementen zijn minstens even breed als bij woonhuizen. </w:t>
      </w:r>
    </w:p>
    <w:p w:rsidR="00727DC1" w:rsidRPr="00727DC1" w:rsidRDefault="00727DC1" w:rsidP="00727DC1">
      <w:pPr>
        <w:pStyle w:val="Caption"/>
      </w:pPr>
      <w:bookmarkStart w:id="43" w:name="_Toc463592536"/>
      <w:r w:rsidRPr="00727DC1">
        <w:t xml:space="preserve">Figuur </w:t>
      </w:r>
      <w:r w:rsidR="00301DB0">
        <w:fldChar w:fldCharType="begin"/>
      </w:r>
      <w:r w:rsidR="00301DB0">
        <w:instrText xml:space="preserve"> SEQ Figuur \* ARABIC </w:instrText>
      </w:r>
      <w:r w:rsidR="00301DB0">
        <w:fldChar w:fldCharType="separate"/>
      </w:r>
      <w:r w:rsidR="00A65B8D">
        <w:rPr>
          <w:noProof/>
        </w:rPr>
        <w:t>9</w:t>
      </w:r>
      <w:r w:rsidR="00301DB0">
        <w:rPr>
          <w:noProof/>
        </w:rPr>
        <w:fldChar w:fldCharType="end"/>
      </w:r>
      <w:r w:rsidRPr="00727DC1">
        <w:tab/>
        <w:t>Histogram van de gemiddelde fout*, referentiestaal sociale appartementen van notarissen</w:t>
      </w:r>
      <w:bookmarkEnd w:id="43"/>
    </w:p>
    <w:p w:rsidR="0008544A" w:rsidRDefault="0008544A" w:rsidP="00727DC1">
      <w:pPr>
        <w:pStyle w:val="Figuur-RegelafstandEnkel"/>
      </w:pPr>
      <w:r w:rsidRPr="009A40FD">
        <w:rPr>
          <w:noProof/>
          <w:lang w:eastAsia="nl-BE"/>
        </w:rPr>
        <w:drawing>
          <wp:inline distT="0" distB="0" distL="0" distR="0" wp14:anchorId="610E7B42" wp14:editId="039B7B35">
            <wp:extent cx="3943568" cy="2886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8243" cy="2896815"/>
                    </a:xfrm>
                    <a:prstGeom prst="rect">
                      <a:avLst/>
                    </a:prstGeom>
                    <a:noFill/>
                    <a:ln>
                      <a:noFill/>
                    </a:ln>
                  </pic:spPr>
                </pic:pic>
              </a:graphicData>
            </a:graphic>
          </wp:inline>
        </w:drawing>
      </w:r>
    </w:p>
    <w:p w:rsidR="0008544A" w:rsidRPr="009A40FD" w:rsidRDefault="00727DC1" w:rsidP="00727DC1">
      <w:pPr>
        <w:pStyle w:val="FiguurTabel-Opmerking"/>
        <w:ind w:left="170" w:hanging="170"/>
      </w:pPr>
      <w:r w:rsidRPr="00727DC1">
        <w:rPr>
          <w:lang w:val="nl-NL"/>
        </w:rPr>
        <w:t>*</w:t>
      </w:r>
      <w:r>
        <w:tab/>
      </w:r>
      <w:r w:rsidR="0008544A">
        <w:t xml:space="preserve">het absoluut verschil tussen de geïndexeerde </w:t>
      </w:r>
      <w:r w:rsidR="005E1D1F">
        <w:t>huurprijs</w:t>
      </w:r>
      <w:r w:rsidR="0008544A">
        <w:t xml:space="preserve"> van notarissen (2008-&gt;2015) en de geschatte huur</w:t>
      </w:r>
      <w:r w:rsidR="00711296">
        <w:softHyphen/>
      </w:r>
      <w:r w:rsidR="0008544A">
        <w:t>marktwaarden ten opzichte van de geschatte huurmarktwaarde</w:t>
      </w:r>
    </w:p>
    <w:p w:rsidR="0008544A" w:rsidRDefault="0008544A" w:rsidP="00727DC1">
      <w:r>
        <w:t xml:space="preserve">Daartoe zijn we voor appartementen nagegaan welke variabelen de verschillen verklaren via een </w:t>
      </w:r>
      <w:r w:rsidR="005E1D1F">
        <w:t>regressieanalyse</w:t>
      </w:r>
      <w:r>
        <w:t xml:space="preserve">. Deze vindt u in onderstaande tabel. De resultaten zijn niet eenduidig. Wel zien we dat de liggingselementen in grote mate het verschil in schatting tussen notarissen en de </w:t>
      </w:r>
      <w:r w:rsidR="0024544F">
        <w:t>Huurschatter</w:t>
      </w:r>
      <w:r>
        <w:t xml:space="preserve"> verklaren. </w:t>
      </w:r>
    </w:p>
    <w:p w:rsidR="0008544A" w:rsidRPr="00AB2110" w:rsidRDefault="0008544A" w:rsidP="00727DC1">
      <w:r w:rsidRPr="006D2769">
        <w:lastRenderedPageBreak/>
        <w:t xml:space="preserve">Het is moeilijk na te gaan, maar we kunnen verwachten dat de liggingseffecten van bepaalde sociale appartementsblokken moeilijker in te schatten zijn. </w:t>
      </w:r>
      <w:r w:rsidRPr="00AB2110">
        <w:t xml:space="preserve">Zo zien we dat bij een analyse van het verschil tussen de schattingen van notarissen en de </w:t>
      </w:r>
      <w:r w:rsidR="0024544F">
        <w:t>Huurschatter</w:t>
      </w:r>
      <w:r w:rsidRPr="00AB2110">
        <w:t xml:space="preserve"> bij eengezinswoningen – in tegenstelling tot bij appartementen- het aandeel sociale woningen geen significante rol speelt, waar dit bij apparte</w:t>
      </w:r>
      <w:r w:rsidR="00711296">
        <w:softHyphen/>
      </w:r>
      <w:r w:rsidRPr="00AB2110">
        <w:t xml:space="preserve">menten wel het geval is. </w:t>
      </w:r>
      <w:r w:rsidRPr="00BF009C">
        <w:t xml:space="preserve">Bovendien is het zo dat de verschillen tussen de schattingen van notarissen en de </w:t>
      </w:r>
      <w:r w:rsidR="0024544F">
        <w:t>Huurschatter</w:t>
      </w:r>
      <w:r w:rsidRPr="00BF009C">
        <w:t xml:space="preserve"> veel minder verklaard konden worden bij eengezinswoningen. Een zekere </w:t>
      </w:r>
      <w:r w:rsidR="005E1D1F" w:rsidRPr="00BF009C">
        <w:t>voor</w:t>
      </w:r>
      <w:r w:rsidR="00711296">
        <w:softHyphen/>
      </w:r>
      <w:r w:rsidR="005E1D1F" w:rsidRPr="00BF009C">
        <w:t>zichtigheid</w:t>
      </w:r>
      <w:r w:rsidRPr="00BF009C">
        <w:t xml:space="preserve"> lijkt dus geboden bij appartementen. Maar het is zeer moeilijk om het verschil in schattin</w:t>
      </w:r>
      <w:r w:rsidR="00711296">
        <w:softHyphen/>
      </w:r>
      <w:r w:rsidRPr="00BF009C">
        <w:t>gen te duiden. Komt het omdat deze appartementsblokken gelegen zijn op relatief centraal gelegen plaatsen, die de laatste jaren een mogelijk sterkere prijsstijging hebben opgetekend</w:t>
      </w:r>
      <w:r w:rsidR="0024544F">
        <w:t>?</w:t>
      </w:r>
      <w:r w:rsidRPr="00BF009C">
        <w:t xml:space="preserve"> </w:t>
      </w:r>
      <w:r w:rsidRPr="00AB2110">
        <w:t xml:space="preserve">Komt het omdat de </w:t>
      </w:r>
      <w:r w:rsidR="0024544F">
        <w:t>Huurschatter</w:t>
      </w:r>
      <w:r w:rsidRPr="00AB2110">
        <w:t xml:space="preserve"> deze overschat, of omdat de notarissen deze hebben onderschat? </w:t>
      </w:r>
    </w:p>
    <w:p w:rsidR="0008544A" w:rsidRDefault="0008544A" w:rsidP="00727DC1">
      <w:r>
        <w:t xml:space="preserve">In een volgende punt gaan we dan na hoe een nieuwe sample van schattingen van sociale woningen anno 2016 zich vergelijkt met de schattingen van de </w:t>
      </w:r>
      <w:r w:rsidR="0024544F">
        <w:t>Huurschatter</w:t>
      </w:r>
      <w:r>
        <w:t xml:space="preserve">. </w:t>
      </w:r>
    </w:p>
    <w:p w:rsidR="0008544A" w:rsidRDefault="0008544A" w:rsidP="00727DC1">
      <w:r>
        <w:t xml:space="preserve">Grote sociale appartementsblokken blijven alvast een aandachtspunt. </w:t>
      </w:r>
      <w:r w:rsidRPr="009A40FD">
        <w:t>In de mate dat de kenmerken van bepaalde sociale appartementen niet in de private huurmarkt voorkomen blijft het een haast onmogelijke opdracht om dit volledig adequaat te doen, onafgezien van de methode of schatter. Bij gebrek aan werkelijke data zou men bij wijze van experiment dergelijke huurwoningen in de private huurmarkt te huur moeten aanbieden om de betalingsbereidheid van de huurders na te gaan.</w:t>
      </w:r>
    </w:p>
    <w:p w:rsidR="0008544A" w:rsidRPr="000F1FA5" w:rsidRDefault="00727DC1" w:rsidP="0008544A">
      <w:pPr>
        <w:pStyle w:val="Caption"/>
        <w:rPr>
          <w:lang w:val="nl-BE"/>
        </w:rPr>
      </w:pPr>
      <w:r w:rsidRPr="00727DC1">
        <w:t xml:space="preserve">Tabel </w:t>
      </w:r>
      <w:r w:rsidR="00301DB0">
        <w:fldChar w:fldCharType="begin"/>
      </w:r>
      <w:r w:rsidR="00301DB0">
        <w:instrText xml:space="preserve"> SEQ Tabel \* ARABIC </w:instrText>
      </w:r>
      <w:r w:rsidR="00301DB0">
        <w:fldChar w:fldCharType="separate"/>
      </w:r>
      <w:r w:rsidR="00A65B8D">
        <w:rPr>
          <w:noProof/>
        </w:rPr>
        <w:t>12</w:t>
      </w:r>
      <w:r w:rsidR="00301DB0">
        <w:rPr>
          <w:noProof/>
        </w:rPr>
        <w:fldChar w:fldCharType="end"/>
      </w:r>
      <w:r w:rsidRPr="00727DC1">
        <w:tab/>
        <w:t xml:space="preserve">Variabelen die verschillen verklaren tussen Huurschatter en geïndexeerde notarisschattingen, </w:t>
      </w:r>
      <w:proofErr w:type="spellStart"/>
      <w:r w:rsidRPr="00727DC1">
        <w:t>st</w:t>
      </w:r>
      <w:r>
        <w:t>epwise</w:t>
      </w:r>
      <w:proofErr w:type="spellEnd"/>
      <w:r>
        <w:t xml:space="preserve"> selectiemodel (forward 0,</w:t>
      </w:r>
      <w:r w:rsidRPr="00727DC1">
        <w:t>01, backward 0</w:t>
      </w:r>
      <w:r>
        <w:t>,</w:t>
      </w:r>
      <w:r w:rsidRPr="00727DC1">
        <w:t>015)</w:t>
      </w:r>
    </w:p>
    <w:tbl>
      <w:tblPr>
        <w:tblStyle w:val="LightShading1"/>
        <w:tblW w:w="9071" w:type="dxa"/>
        <w:tblLayout w:type="fixed"/>
        <w:tblLook w:val="04A0" w:firstRow="1" w:lastRow="0" w:firstColumn="1" w:lastColumn="0" w:noHBand="0" w:noVBand="1"/>
      </w:tblPr>
      <w:tblGrid>
        <w:gridCol w:w="7370"/>
        <w:gridCol w:w="1701"/>
      </w:tblGrid>
      <w:tr w:rsidR="0008544A" w:rsidRPr="00B940AD" w:rsidTr="00990F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rPr>
                <w:lang w:eastAsia="nl-BE"/>
              </w:rPr>
            </w:pPr>
            <w:r w:rsidRPr="002A4ED6">
              <w:rPr>
                <w:lang w:eastAsia="nl-BE"/>
              </w:rPr>
              <w:t>(schatting</w:t>
            </w:r>
            <w:r>
              <w:rPr>
                <w:lang w:eastAsia="nl-BE"/>
              </w:rPr>
              <w:t xml:space="preserve"> </w:t>
            </w:r>
            <w:r w:rsidR="0024544F">
              <w:rPr>
                <w:lang w:eastAsia="nl-BE"/>
              </w:rPr>
              <w:t>Huurschatter</w:t>
            </w:r>
            <w:r w:rsidRPr="002A4ED6">
              <w:rPr>
                <w:lang w:eastAsia="nl-BE"/>
              </w:rPr>
              <w:t xml:space="preserve"> </w:t>
            </w:r>
            <w:r w:rsidR="00727DC1">
              <w:rPr>
                <w:lang w:eastAsia="nl-BE"/>
              </w:rPr>
              <w:t>-</w:t>
            </w:r>
            <w:r w:rsidRPr="002A4ED6">
              <w:rPr>
                <w:lang w:eastAsia="nl-BE"/>
              </w:rPr>
              <w:t xml:space="preserve"> prijs</w:t>
            </w:r>
            <w:r>
              <w:rPr>
                <w:lang w:eastAsia="nl-BE"/>
              </w:rPr>
              <w:t xml:space="preserve"> </w:t>
            </w:r>
            <w:r w:rsidRPr="002A4ED6">
              <w:rPr>
                <w:lang w:eastAsia="nl-BE"/>
              </w:rPr>
              <w:t>notaris</w:t>
            </w:r>
            <w:r>
              <w:rPr>
                <w:lang w:eastAsia="nl-BE"/>
              </w:rPr>
              <w:t xml:space="preserve"> </w:t>
            </w:r>
            <w:r w:rsidRPr="002A4ED6">
              <w:rPr>
                <w:lang w:eastAsia="nl-BE"/>
              </w:rPr>
              <w:t>2015)</w:t>
            </w:r>
            <w:r w:rsidR="0024544F">
              <w:rPr>
                <w:lang w:eastAsia="nl-BE"/>
              </w:rPr>
              <w:t>/</w:t>
            </w:r>
            <w:r w:rsidRPr="002A4ED6">
              <w:rPr>
                <w:lang w:eastAsia="nl-BE"/>
              </w:rPr>
              <w:t>schatting</w:t>
            </w:r>
            <w:r>
              <w:rPr>
                <w:lang w:eastAsia="nl-BE"/>
              </w:rPr>
              <w:t xml:space="preserve"> </w:t>
            </w:r>
            <w:r w:rsidR="0024544F">
              <w:rPr>
                <w:lang w:eastAsia="nl-BE"/>
              </w:rPr>
              <w:t>Huurschatter</w:t>
            </w:r>
          </w:p>
        </w:tc>
        <w:tc>
          <w:tcPr>
            <w:tcW w:w="1701" w:type="dxa"/>
            <w:vAlign w:val="top"/>
            <w:hideMark/>
          </w:tcPr>
          <w:p w:rsidR="0008544A" w:rsidRPr="00B940AD" w:rsidRDefault="005E1D1F" w:rsidP="005E1D1F">
            <w:pPr>
              <w:pStyle w:val="Tabel-Tekst"/>
              <w:keepNext w:val="0"/>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Coëfficiënt</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4F234B" w:rsidRDefault="0008544A" w:rsidP="00990FED">
            <w:pPr>
              <w:pStyle w:val="Tabel-Tekst"/>
              <w:keepNext w:val="0"/>
              <w:rPr>
                <w:b/>
                <w:lang w:eastAsia="nl-BE"/>
              </w:rPr>
            </w:pPr>
            <w:r w:rsidRPr="004F234B">
              <w:rPr>
                <w:b/>
                <w:lang w:eastAsia="nl-BE"/>
              </w:rPr>
              <w:t>LIGGING</w:t>
            </w:r>
          </w:p>
        </w:tc>
        <w:tc>
          <w:tcPr>
            <w:tcW w:w="1701" w:type="dxa"/>
            <w:vAlign w:val="top"/>
            <w:hideMark/>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szCs w:val="20"/>
                <w:lang w:eastAsia="nl-BE"/>
              </w:rPr>
            </w:pP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tcPr>
          <w:p w:rsidR="0008544A" w:rsidRPr="004F234B" w:rsidRDefault="0008544A" w:rsidP="00990FED">
            <w:pPr>
              <w:pStyle w:val="Tabel-Tekst"/>
              <w:keepNext w:val="0"/>
              <w:rPr>
                <w:b/>
                <w:lang w:eastAsia="nl-BE"/>
              </w:rPr>
            </w:pPr>
            <w:r w:rsidRPr="004F234B">
              <w:rPr>
                <w:b/>
                <w:lang w:eastAsia="nl-BE"/>
              </w:rPr>
              <w:t>Huurschatter schat appartementen hoger in dan notaris op betere ligging (of lager op slechtere ligging)</w:t>
            </w:r>
          </w:p>
        </w:tc>
        <w:tc>
          <w:tcPr>
            <w:tcW w:w="1701" w:type="dxa"/>
            <w:vAlign w:val="top"/>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szCs w:val="20"/>
                <w:lang w:eastAsia="nl-BE"/>
              </w:rPr>
            </w:pP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Liggingseffect statistische sector</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256</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Ligging (slecht)</w:t>
            </w:r>
          </w:p>
        </w:tc>
        <w:tc>
          <w:tcPr>
            <w:tcW w:w="1701" w:type="dxa"/>
            <w:vAlign w:val="top"/>
            <w:hideMark/>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sidRPr="00B940AD">
              <w:rPr>
                <w:lang w:eastAsia="nl-BE"/>
              </w:rPr>
              <w:t>-</w:t>
            </w:r>
            <w:r w:rsidR="005E1D1F">
              <w:rPr>
                <w:lang w:eastAsia="nl-BE"/>
              </w:rPr>
              <w:t>0,</w:t>
            </w:r>
            <w:r w:rsidRPr="00B940AD">
              <w:rPr>
                <w:lang w:eastAsia="nl-BE"/>
              </w:rPr>
              <w:t>078</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tcPr>
          <w:p w:rsidR="0008544A" w:rsidRPr="004F234B" w:rsidRDefault="0008544A" w:rsidP="00990FED">
            <w:pPr>
              <w:pStyle w:val="Tabel-Tekst"/>
              <w:keepNext w:val="0"/>
              <w:rPr>
                <w:b/>
                <w:lang w:eastAsia="nl-BE"/>
              </w:rPr>
            </w:pPr>
            <w:r w:rsidRPr="004F234B">
              <w:rPr>
                <w:b/>
                <w:lang w:eastAsia="nl-BE"/>
              </w:rPr>
              <w:t>Huurschatter schat appartementen lager in dan notaris op betere ligging (of hoger op slechtere ligging)</w:t>
            </w:r>
          </w:p>
        </w:tc>
        <w:tc>
          <w:tcPr>
            <w:tcW w:w="1701" w:type="dxa"/>
            <w:vAlign w:val="top"/>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Uitzicht (doorsnee)</w:t>
            </w:r>
          </w:p>
        </w:tc>
        <w:tc>
          <w:tcPr>
            <w:tcW w:w="1701" w:type="dxa"/>
            <w:vAlign w:val="top"/>
            <w:hideMark/>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sidRPr="00B940AD">
              <w:rPr>
                <w:lang w:eastAsia="nl-BE"/>
              </w:rPr>
              <w:t>-</w:t>
            </w:r>
            <w:r w:rsidR="005E1D1F">
              <w:rPr>
                <w:lang w:eastAsia="nl-BE"/>
              </w:rPr>
              <w:t>0,</w:t>
            </w:r>
            <w:r w:rsidRPr="00B940AD">
              <w:rPr>
                <w:lang w:eastAsia="nl-BE"/>
              </w:rPr>
              <w:t>086</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Uitzicht (aantrekkelijk)</w:t>
            </w:r>
          </w:p>
        </w:tc>
        <w:tc>
          <w:tcPr>
            <w:tcW w:w="1701" w:type="dxa"/>
            <w:vAlign w:val="top"/>
            <w:hideMark/>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sidRPr="00B940AD">
              <w:rPr>
                <w:lang w:eastAsia="nl-BE"/>
              </w:rPr>
              <w:t>-</w:t>
            </w:r>
            <w:r w:rsidR="005E1D1F">
              <w:rPr>
                <w:lang w:eastAsia="nl-BE"/>
              </w:rPr>
              <w:t>0,</w:t>
            </w:r>
            <w:r w:rsidRPr="00B940AD">
              <w:rPr>
                <w:lang w:eastAsia="nl-BE"/>
              </w:rPr>
              <w:t>123</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4F234B" w:rsidRDefault="0008544A" w:rsidP="00990FED">
            <w:pPr>
              <w:pStyle w:val="Tabel-Tekst"/>
              <w:keepNext w:val="0"/>
              <w:ind w:left="170"/>
              <w:rPr>
                <w:lang w:eastAsia="nl-BE"/>
              </w:rPr>
            </w:pPr>
            <w:r>
              <w:rPr>
                <w:lang w:eastAsia="nl-BE"/>
              </w:rPr>
              <w:t>Aandeel sociale huur in stat sec (in de veronderstelling dat sociale</w:t>
            </w:r>
            <w:r w:rsidR="00990FED">
              <w:rPr>
                <w:lang w:eastAsia="nl-BE"/>
              </w:rPr>
              <w:t xml:space="preserve"> a</w:t>
            </w:r>
            <w:r>
              <w:rPr>
                <w:lang w:eastAsia="nl-BE"/>
              </w:rPr>
              <w:t>ppartementsblokken als minder aantrekkelijk beschouwd worden)</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134</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Woningstaat extern zeer goed</w:t>
            </w:r>
          </w:p>
        </w:tc>
        <w:tc>
          <w:tcPr>
            <w:tcW w:w="1701" w:type="dxa"/>
            <w:vAlign w:val="top"/>
            <w:hideMark/>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sidRPr="00B940AD">
              <w:rPr>
                <w:lang w:eastAsia="nl-BE"/>
              </w:rPr>
              <w:t>-</w:t>
            </w:r>
            <w:r w:rsidR="005E1D1F">
              <w:rPr>
                <w:lang w:eastAsia="nl-BE"/>
              </w:rPr>
              <w:t>0,</w:t>
            </w:r>
            <w:r w:rsidRPr="00B940AD">
              <w:rPr>
                <w:lang w:eastAsia="nl-BE"/>
              </w:rPr>
              <w:t>060</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tcBorders>
              <w:bottom w:val="single" w:sz="4" w:space="0" w:color="808080"/>
            </w:tcBorders>
            <w:vAlign w:val="top"/>
            <w:hideMark/>
          </w:tcPr>
          <w:p w:rsidR="0008544A" w:rsidRPr="00B940AD" w:rsidRDefault="0008544A" w:rsidP="00990FED">
            <w:pPr>
              <w:pStyle w:val="Tabel-Tekst"/>
              <w:keepNext w:val="0"/>
              <w:ind w:left="170"/>
              <w:rPr>
                <w:lang w:eastAsia="nl-BE"/>
              </w:rPr>
            </w:pPr>
            <w:r>
              <w:rPr>
                <w:lang w:eastAsia="nl-BE"/>
              </w:rPr>
              <w:t>Woningstaat extern zeer slecht</w:t>
            </w:r>
          </w:p>
        </w:tc>
        <w:tc>
          <w:tcPr>
            <w:tcW w:w="1701" w:type="dxa"/>
            <w:tcBorders>
              <w:bottom w:val="single" w:sz="4" w:space="0" w:color="808080"/>
            </w:tcBorders>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394</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tcBorders>
              <w:top w:val="single" w:sz="4" w:space="0" w:color="808080"/>
              <w:bottom w:val="nil"/>
            </w:tcBorders>
            <w:vAlign w:val="top"/>
          </w:tcPr>
          <w:p w:rsidR="0008544A" w:rsidRPr="004F234B" w:rsidRDefault="0008544A" w:rsidP="00990FED">
            <w:pPr>
              <w:pStyle w:val="Tabel-Tekst"/>
              <w:keepNext w:val="0"/>
              <w:rPr>
                <w:b/>
                <w:lang w:eastAsia="nl-BE"/>
              </w:rPr>
            </w:pPr>
            <w:r w:rsidRPr="004F234B">
              <w:rPr>
                <w:b/>
                <w:lang w:eastAsia="nl-BE"/>
              </w:rPr>
              <w:t>BINNENSHUIS</w:t>
            </w:r>
          </w:p>
        </w:tc>
        <w:tc>
          <w:tcPr>
            <w:tcW w:w="1701" w:type="dxa"/>
            <w:tcBorders>
              <w:top w:val="single" w:sz="4" w:space="0" w:color="808080"/>
              <w:bottom w:val="nil"/>
            </w:tcBorders>
            <w:vAlign w:val="top"/>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tcBorders>
              <w:top w:val="nil"/>
            </w:tcBorders>
            <w:vAlign w:val="top"/>
          </w:tcPr>
          <w:p w:rsidR="0008544A" w:rsidRPr="004F234B" w:rsidRDefault="0008544A" w:rsidP="00990FED">
            <w:pPr>
              <w:pStyle w:val="Tabel-Tekst"/>
              <w:keepNext w:val="0"/>
              <w:rPr>
                <w:b/>
                <w:lang w:eastAsia="nl-BE"/>
              </w:rPr>
            </w:pPr>
            <w:r w:rsidRPr="004F234B">
              <w:rPr>
                <w:b/>
                <w:lang w:eastAsia="nl-BE"/>
              </w:rPr>
              <w:t>Huurschatter schat appartementen van betere kwaliteit hoger in dan notaris</w:t>
            </w:r>
          </w:p>
        </w:tc>
        <w:tc>
          <w:tcPr>
            <w:tcW w:w="1701" w:type="dxa"/>
            <w:tcBorders>
              <w:top w:val="nil"/>
            </w:tcBorders>
            <w:vAlign w:val="top"/>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Natuurlijke lichtinval (normaal)</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035</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Ruimte (ruim)</w:t>
            </w:r>
          </w:p>
        </w:tc>
        <w:tc>
          <w:tcPr>
            <w:tcW w:w="1701" w:type="dxa"/>
            <w:vAlign w:val="top"/>
            <w:hideMark/>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sidRPr="00B940AD">
              <w:rPr>
                <w:lang w:eastAsia="nl-BE"/>
              </w:rPr>
              <w:t>-</w:t>
            </w:r>
            <w:r w:rsidR="005E1D1F">
              <w:rPr>
                <w:lang w:eastAsia="nl-BE"/>
              </w:rPr>
              <w:t>0,</w:t>
            </w:r>
            <w:r w:rsidRPr="00B940AD">
              <w:rPr>
                <w:lang w:eastAsia="nl-BE"/>
              </w:rPr>
              <w:t>052</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Woningstaat intern (zeer slecht)</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217</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 xml:space="preserve">Condenserende </w:t>
            </w:r>
            <w:r w:rsidR="00990FED">
              <w:rPr>
                <w:lang w:eastAsia="nl-BE"/>
              </w:rPr>
              <w:t>centrale verwarming</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050</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tcPr>
          <w:p w:rsidR="0008544A" w:rsidRPr="004F234B" w:rsidRDefault="0008544A" w:rsidP="00990FED">
            <w:pPr>
              <w:pStyle w:val="Tabel-Tekst"/>
              <w:keepNext w:val="0"/>
              <w:rPr>
                <w:b/>
                <w:lang w:eastAsia="nl-BE"/>
              </w:rPr>
            </w:pPr>
            <w:r w:rsidRPr="004F234B">
              <w:rPr>
                <w:b/>
                <w:lang w:eastAsia="nl-BE"/>
              </w:rPr>
              <w:t>Huurschatter schat appartementen van lagere kwaliteit hoger in dan notaris</w:t>
            </w:r>
          </w:p>
        </w:tc>
        <w:tc>
          <w:tcPr>
            <w:tcW w:w="1701" w:type="dxa"/>
            <w:vAlign w:val="top"/>
          </w:tcPr>
          <w:p w:rsidR="0008544A" w:rsidRPr="00B940AD" w:rsidRDefault="0008544A"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Woningstaat intern (slecht)</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095</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Mazout- of kolenkachel in kamer</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083</w:t>
            </w:r>
          </w:p>
        </w:tc>
      </w:tr>
      <w:tr w:rsidR="0008544A" w:rsidRPr="00B940AD" w:rsidTr="00990FED">
        <w:trPr>
          <w:trHeight w:val="227"/>
        </w:trPr>
        <w:tc>
          <w:tcPr>
            <w:cnfStyle w:val="001000000000" w:firstRow="0" w:lastRow="0" w:firstColumn="1" w:lastColumn="0" w:oddVBand="0" w:evenVBand="0" w:oddHBand="0" w:evenHBand="0" w:firstRowFirstColumn="0" w:firstRowLastColumn="0" w:lastRowFirstColumn="0" w:lastRowLastColumn="0"/>
            <w:tcW w:w="7370" w:type="dxa"/>
            <w:vAlign w:val="top"/>
            <w:hideMark/>
          </w:tcPr>
          <w:p w:rsidR="0008544A" w:rsidRPr="00B940AD" w:rsidRDefault="0008544A" w:rsidP="00990FED">
            <w:pPr>
              <w:pStyle w:val="Tabel-Tekst"/>
              <w:keepNext w:val="0"/>
              <w:ind w:left="170"/>
              <w:rPr>
                <w:lang w:eastAsia="nl-BE"/>
              </w:rPr>
            </w:pPr>
            <w:r>
              <w:rPr>
                <w:lang w:eastAsia="nl-BE"/>
              </w:rPr>
              <w:t>Gelijkvloers appartement met lift</w:t>
            </w:r>
          </w:p>
        </w:tc>
        <w:tc>
          <w:tcPr>
            <w:tcW w:w="1701" w:type="dxa"/>
            <w:vAlign w:val="top"/>
            <w:hideMark/>
          </w:tcPr>
          <w:p w:rsidR="0008544A" w:rsidRPr="00B940AD" w:rsidRDefault="005E1D1F" w:rsidP="005E1D1F">
            <w:pPr>
              <w:pStyle w:val="Tabel-Tekst"/>
              <w:keepNext w:val="0"/>
              <w:tabs>
                <w:tab w:val="decimal" w:pos="553"/>
              </w:tabs>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r w:rsidR="0008544A" w:rsidRPr="00B940AD">
              <w:rPr>
                <w:lang w:eastAsia="nl-BE"/>
              </w:rPr>
              <w:t>045</w:t>
            </w:r>
          </w:p>
        </w:tc>
      </w:tr>
    </w:tbl>
    <w:p w:rsidR="0008544A" w:rsidRDefault="0008544A" w:rsidP="0008544A">
      <w:pPr>
        <w:pStyle w:val="Heading2"/>
      </w:pPr>
      <w:bookmarkStart w:id="44" w:name="_Toc464122189"/>
      <w:r>
        <w:lastRenderedPageBreak/>
        <w:t>SHM Staal 2016</w:t>
      </w:r>
      <w:bookmarkEnd w:id="44"/>
    </w:p>
    <w:p w:rsidR="0008544A" w:rsidRPr="00694ED0" w:rsidRDefault="00990FED" w:rsidP="0008544A">
      <w:pPr>
        <w:pStyle w:val="Heading3"/>
      </w:pPr>
      <w:bookmarkStart w:id="45" w:name="_Toc464122190"/>
      <w:r>
        <w:t>E</w:t>
      </w:r>
      <w:r w:rsidR="0008544A">
        <w:t>engezinswoningen</w:t>
      </w:r>
      <w:bookmarkEnd w:id="45"/>
    </w:p>
    <w:p w:rsidR="0008544A" w:rsidRDefault="0008544A" w:rsidP="00990FED">
      <w:r>
        <w:t>Het SHM staal van nieuwe eengezinswoningen is zeer beperkt. Bovendien was voor verschillende adressen de statistische sector niet te matchen, mogelijk door foute straatnamen bij bestaande woningen en nieuwe nog niet gelinkte straatnamen voor nieuwbouwwoningen. Het algemeen beeld voor de beperkte set is acceptabel.</w:t>
      </w:r>
    </w:p>
    <w:p w:rsidR="00990FED" w:rsidRPr="00990FED" w:rsidRDefault="00990FED" w:rsidP="00990FED">
      <w:pPr>
        <w:pStyle w:val="Caption"/>
      </w:pPr>
      <w:bookmarkStart w:id="46" w:name="_Toc463592537"/>
      <w:r w:rsidRPr="00990FED">
        <w:t xml:space="preserve">Figuur </w:t>
      </w:r>
      <w:r w:rsidR="00301DB0">
        <w:fldChar w:fldCharType="begin"/>
      </w:r>
      <w:r w:rsidR="00301DB0">
        <w:instrText xml:space="preserve"> SEQ Figuur \* ARABIC </w:instrText>
      </w:r>
      <w:r w:rsidR="00301DB0">
        <w:fldChar w:fldCharType="separate"/>
      </w:r>
      <w:r w:rsidR="00A65B8D">
        <w:rPr>
          <w:noProof/>
        </w:rPr>
        <w:t>10</w:t>
      </w:r>
      <w:r w:rsidR="00301DB0">
        <w:rPr>
          <w:noProof/>
        </w:rPr>
        <w:fldChar w:fldCharType="end"/>
      </w:r>
      <w:r w:rsidRPr="00990FED">
        <w:tab/>
        <w:t xml:space="preserve">Vergelijking huurprijzen geschat door </w:t>
      </w:r>
      <w:proofErr w:type="spellStart"/>
      <w:r w:rsidR="00857C4E">
        <w:t>SHM’s</w:t>
      </w:r>
      <w:proofErr w:type="spellEnd"/>
      <w:r w:rsidR="00857C4E" w:rsidRPr="00990FED">
        <w:t xml:space="preserve"> </w:t>
      </w:r>
      <w:r w:rsidRPr="00990FED">
        <w:t>(</w:t>
      </w:r>
      <w:r w:rsidR="00857C4E">
        <w:t>2016</w:t>
      </w:r>
      <w:r w:rsidRPr="00990FED">
        <w:t>) en Huurschatter (2015) van referentie</w:t>
      </w:r>
      <w:r w:rsidR="000768D8">
        <w:softHyphen/>
      </w:r>
      <w:r w:rsidRPr="00990FED">
        <w:t xml:space="preserve">staal </w:t>
      </w:r>
      <w:proofErr w:type="spellStart"/>
      <w:r w:rsidR="00857C4E">
        <w:t>SHM’s</w:t>
      </w:r>
      <w:proofErr w:type="spellEnd"/>
      <w:r w:rsidR="00857C4E" w:rsidRPr="00990FED">
        <w:t xml:space="preserve"> </w:t>
      </w:r>
      <w:r w:rsidRPr="00990FED">
        <w:t>van sociale eengezinswoningen (n=1</w:t>
      </w:r>
      <w:r w:rsidR="00857C4E">
        <w:t>2</w:t>
      </w:r>
      <w:r w:rsidRPr="00990FED">
        <w:t>)</w:t>
      </w:r>
      <w:bookmarkEnd w:id="46"/>
    </w:p>
    <w:p w:rsidR="0008544A" w:rsidRDefault="0008544A" w:rsidP="00990FED">
      <w:pPr>
        <w:pStyle w:val="Figuur-RegelafstandEnkel"/>
      </w:pPr>
      <w:r w:rsidRPr="00570E03">
        <w:rPr>
          <w:noProof/>
          <w:lang w:eastAsia="nl-BE"/>
        </w:rPr>
        <w:drawing>
          <wp:inline distT="0" distB="0" distL="0" distR="0" wp14:anchorId="7ED246C3" wp14:editId="63F1B4FA">
            <wp:extent cx="4320000" cy="3161564"/>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3161564"/>
                    </a:xfrm>
                    <a:prstGeom prst="rect">
                      <a:avLst/>
                    </a:prstGeom>
                    <a:noFill/>
                    <a:ln>
                      <a:noFill/>
                    </a:ln>
                  </pic:spPr>
                </pic:pic>
              </a:graphicData>
            </a:graphic>
          </wp:inline>
        </w:drawing>
      </w:r>
    </w:p>
    <w:p w:rsidR="0008544A" w:rsidRDefault="0008544A" w:rsidP="0008544A">
      <w:pPr>
        <w:pStyle w:val="Heading3"/>
      </w:pPr>
      <w:bookmarkStart w:id="47" w:name="_Toc464122191"/>
      <w:r>
        <w:t>Appartementen</w:t>
      </w:r>
      <w:bookmarkEnd w:id="47"/>
    </w:p>
    <w:p w:rsidR="00857C4E" w:rsidRDefault="0008544A" w:rsidP="0008544A">
      <w:r>
        <w:t>Daar waar de appartementen bij de notarissen iets minder goede resultaten geven, tonen de resul</w:t>
      </w:r>
      <w:r w:rsidR="00711296">
        <w:softHyphen/>
      </w:r>
      <w:r>
        <w:t>taten van de nieuwe staal van SHM woningen net een betere fit. Bemerk dat er in de steekproef ver</w:t>
      </w:r>
      <w:r w:rsidR="00711296">
        <w:softHyphen/>
      </w:r>
      <w:r>
        <w:t>schillende appartementen in</w:t>
      </w:r>
      <w:r w:rsidR="005E1D1F">
        <w:t xml:space="preserve"> dezelfde</w:t>
      </w:r>
      <w:r>
        <w:t xml:space="preserve"> straat bevraagd zijn (en zelfs appartementen met hetzelfde huis</w:t>
      </w:r>
      <w:r w:rsidR="00711296">
        <w:softHyphen/>
      </w:r>
      <w:r>
        <w:t xml:space="preserve">nummer maar ander </w:t>
      </w:r>
      <w:proofErr w:type="spellStart"/>
      <w:r>
        <w:t>busnummer</w:t>
      </w:r>
      <w:proofErr w:type="spellEnd"/>
      <w:r>
        <w:t>). Dit zorgt ervoor dat het moeilijker is om op basis hiervan statis</w:t>
      </w:r>
      <w:r w:rsidR="00711296">
        <w:softHyphen/>
      </w:r>
      <w:r>
        <w:t>tieken aan te maken. Het maakt bv</w:t>
      </w:r>
      <w:r w:rsidR="00990FED">
        <w:t>.</w:t>
      </w:r>
      <w:r>
        <w:t xml:space="preserve"> een groot verschil indien we alle observaties in dezelfde straat als één observatie tellen, of allen afzonderlijk mee laten tellen.</w:t>
      </w:r>
    </w:p>
    <w:p w:rsidR="00857C4E" w:rsidRDefault="00857C4E" w:rsidP="008D437F">
      <w:pPr>
        <w:pStyle w:val="COVER-Subtitel"/>
      </w:pPr>
      <w:r>
        <w:br w:type="page"/>
      </w:r>
    </w:p>
    <w:p w:rsidR="00857C4E" w:rsidRPr="00990FED" w:rsidRDefault="00857C4E" w:rsidP="00857C4E">
      <w:pPr>
        <w:pStyle w:val="Caption"/>
      </w:pPr>
      <w:r w:rsidRPr="00990FED">
        <w:lastRenderedPageBreak/>
        <w:t xml:space="preserve">Figuur </w:t>
      </w:r>
      <w:r>
        <w:fldChar w:fldCharType="begin"/>
      </w:r>
      <w:r>
        <w:instrText xml:space="preserve"> SEQ Figuur \* ARABIC </w:instrText>
      </w:r>
      <w:r>
        <w:fldChar w:fldCharType="separate"/>
      </w:r>
      <w:r>
        <w:rPr>
          <w:noProof/>
        </w:rPr>
        <w:t>10</w:t>
      </w:r>
      <w:r>
        <w:rPr>
          <w:noProof/>
        </w:rPr>
        <w:fldChar w:fldCharType="end"/>
      </w:r>
      <w:r w:rsidRPr="00990FED">
        <w:tab/>
        <w:t xml:space="preserve">Vergelijking huurprijzen geschat door </w:t>
      </w:r>
      <w:proofErr w:type="spellStart"/>
      <w:r>
        <w:t>SHM’s</w:t>
      </w:r>
      <w:proofErr w:type="spellEnd"/>
      <w:r w:rsidRPr="00990FED">
        <w:t xml:space="preserve"> (</w:t>
      </w:r>
      <w:r>
        <w:t>2016</w:t>
      </w:r>
      <w:r w:rsidRPr="00990FED">
        <w:t>) en Huurschatter (2015) van referentie</w:t>
      </w:r>
      <w:r>
        <w:softHyphen/>
      </w:r>
      <w:r w:rsidRPr="00990FED">
        <w:t xml:space="preserve">staal </w:t>
      </w:r>
      <w:proofErr w:type="spellStart"/>
      <w:r>
        <w:t>SHM’s</w:t>
      </w:r>
      <w:proofErr w:type="spellEnd"/>
      <w:r w:rsidRPr="00990FED">
        <w:t xml:space="preserve"> van sociale </w:t>
      </w:r>
      <w:r>
        <w:t>appartementen</w:t>
      </w:r>
      <w:r w:rsidRPr="00990FED">
        <w:t xml:space="preserve"> </w:t>
      </w:r>
    </w:p>
    <w:p w:rsidR="0008544A" w:rsidRPr="00826ADF" w:rsidRDefault="0008544A" w:rsidP="0008544A">
      <w:r>
        <w:t xml:space="preserve"> </w:t>
      </w:r>
    </w:p>
    <w:p w:rsidR="0008544A" w:rsidRPr="00F65607" w:rsidRDefault="0008544A" w:rsidP="00990FED">
      <w:pPr>
        <w:pStyle w:val="Figuur-RegelafstandEnkel"/>
      </w:pPr>
      <w:r w:rsidRPr="00F65607">
        <w:rPr>
          <w:noProof/>
          <w:lang w:eastAsia="nl-BE"/>
        </w:rPr>
        <w:drawing>
          <wp:inline distT="0" distB="0" distL="0" distR="0" wp14:anchorId="4AB8CAB0" wp14:editId="2E44A30C">
            <wp:extent cx="4320000" cy="3161572"/>
            <wp:effectExtent l="0" t="0" r="444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3161572"/>
                    </a:xfrm>
                    <a:prstGeom prst="rect">
                      <a:avLst/>
                    </a:prstGeom>
                    <a:noFill/>
                    <a:ln>
                      <a:noFill/>
                    </a:ln>
                  </pic:spPr>
                </pic:pic>
              </a:graphicData>
            </a:graphic>
          </wp:inline>
        </w:drawing>
      </w:r>
    </w:p>
    <w:p w:rsidR="0008544A" w:rsidRDefault="0008544A" w:rsidP="0008544A">
      <w:pPr>
        <w:pStyle w:val="Heading2"/>
      </w:pPr>
      <w:bookmarkStart w:id="48" w:name="_Toc464122192"/>
      <w:r>
        <w:t xml:space="preserve">Conclusie en </w:t>
      </w:r>
      <w:r w:rsidR="005E1D1F">
        <w:t>p</w:t>
      </w:r>
      <w:r>
        <w:t>raktische toepassing</w:t>
      </w:r>
      <w:bookmarkEnd w:id="48"/>
    </w:p>
    <w:p w:rsidR="0008544A" w:rsidRDefault="0008544A" w:rsidP="0008544A">
      <w:r>
        <w:t xml:space="preserve">Met betrekking tot het algemene huurprijspeil: </w:t>
      </w:r>
    </w:p>
    <w:p w:rsidR="0008544A" w:rsidRDefault="0008544A" w:rsidP="0008544A">
      <w:r>
        <w:t xml:space="preserve">De geschatte huurmarktwaarden van de </w:t>
      </w:r>
      <w:r w:rsidR="0024544F">
        <w:t>Huurschatter</w:t>
      </w:r>
      <w:r>
        <w:t xml:space="preserve"> anno 2016 liggen een stuk boven de schattingen van de notaris anno 2008, 18-19%, dat is net iets meer als men kan verwachten op basis van de evolutie van de huurprijsindex (16% -17%). </w:t>
      </w:r>
    </w:p>
    <w:p w:rsidR="0008544A" w:rsidRDefault="0008544A" w:rsidP="0008544A">
      <w:r>
        <w:t xml:space="preserve">Met betrekking tot de fit: </w:t>
      </w:r>
    </w:p>
    <w:p w:rsidR="0008544A" w:rsidRPr="00337728" w:rsidRDefault="0008544A" w:rsidP="00D07E7A">
      <w:pPr>
        <w:pStyle w:val="ListBullet"/>
      </w:pPr>
      <w:r>
        <w:t xml:space="preserve">De resultaten zijn in lijn met de verwachtingen. Gemiddeld verschilt de geschatte huurmarktwaarde van de </w:t>
      </w:r>
      <w:r w:rsidR="0024544F">
        <w:t>Huurschatter</w:t>
      </w:r>
      <w:r>
        <w:t xml:space="preserve"> iets meer dan 10% van de geïndexeerde notarisschattingen. </w:t>
      </w:r>
    </w:p>
    <w:p w:rsidR="0008544A" w:rsidRDefault="0008544A" w:rsidP="00D07E7A">
      <w:pPr>
        <w:pStyle w:val="ListBullet"/>
      </w:pPr>
      <w:r w:rsidRPr="00854211">
        <w:t xml:space="preserve">Het inschatten van de werkelijke huurmarktwaarde voor grote sociale appartementsgebouwen </w:t>
      </w:r>
      <w:r>
        <w:t>is een aandachtspunt</w:t>
      </w:r>
      <w:r w:rsidRPr="00854211">
        <w:t xml:space="preserve">. </w:t>
      </w:r>
      <w:r>
        <w:t xml:space="preserve">Indien dergelijke woningen niet voorkomen in de private huurmarkt is het dan ook moeilijk om een private huurprijs in te schatten bij gebrek aan empirische data. In bijlage 3 vindt u een </w:t>
      </w:r>
      <w:r w:rsidR="005E1D1F">
        <w:t>Street view</w:t>
      </w:r>
      <w:r>
        <w:t xml:space="preserve"> vergelijking van enkele woningen. Het laatste voorbeeld is een voorbeeld van een dergelijke appartementsblok. </w:t>
      </w:r>
    </w:p>
    <w:p w:rsidR="0008544A" w:rsidRDefault="0008544A" w:rsidP="00D07E7A">
      <w:pPr>
        <w:pStyle w:val="ListBullet"/>
      </w:pPr>
      <w:r>
        <w:t xml:space="preserve">De belangrijkste parameters, grootte gemeten als het aantal slaapkamers, bouwjaar en adres zijn redelijk objectieve gegevens en veelal gekend door de </w:t>
      </w:r>
      <w:proofErr w:type="spellStart"/>
      <w:r>
        <w:t>SHM’s</w:t>
      </w:r>
      <w:proofErr w:type="spellEnd"/>
      <w:r>
        <w:t xml:space="preserve">. Bij de overige variabelen is een iets subjectievere invulling vereist. Het grote voordeel van deze algemenere invulling is dat de technische gegevens niet gekend dienen te zijn en zo voldoende flexibiliteit toelaten. Deze waarden dienen op een default gezet te worden. Deze </w:t>
      </w:r>
      <w:proofErr w:type="spellStart"/>
      <w:r>
        <w:t>defaultwaarde</w:t>
      </w:r>
      <w:proofErr w:type="spellEnd"/>
      <w:r>
        <w:t xml:space="preserve"> kan dan achteraf eventueel aangepast worden (wat handig is als er renovaties uitgevoerd worden.). Hier gaan we in het volgend hoofdstuk verder op in.</w:t>
      </w:r>
    </w:p>
    <w:p w:rsidR="0008544A" w:rsidRPr="00854211" w:rsidRDefault="0008544A" w:rsidP="0008544A">
      <w:pPr>
        <w:pStyle w:val="Normal-Indent03cm"/>
        <w:ind w:left="0"/>
        <w:rPr>
          <w:lang w:val="nl-BE"/>
        </w:rPr>
      </w:pPr>
    </w:p>
    <w:p w:rsidR="0008544A" w:rsidRDefault="0008544A" w:rsidP="0008544A">
      <w:pPr>
        <w:pStyle w:val="Heading2"/>
      </w:pPr>
      <w:r>
        <w:lastRenderedPageBreak/>
        <w:br w:type="page"/>
      </w:r>
    </w:p>
    <w:p w:rsidR="0008544A" w:rsidRDefault="0008544A" w:rsidP="0008544A">
      <w:pPr>
        <w:pStyle w:val="Heading1"/>
      </w:pPr>
      <w:bookmarkStart w:id="49" w:name="_Toc464122193"/>
      <w:r>
        <w:lastRenderedPageBreak/>
        <w:t>Kwaliteit en renovatie</w:t>
      </w:r>
      <w:bookmarkEnd w:id="49"/>
    </w:p>
    <w:p w:rsidR="0008544A" w:rsidRDefault="0008544A" w:rsidP="0008544A">
      <w:pPr>
        <w:pStyle w:val="NormalIndent"/>
        <w:ind w:firstLine="0"/>
      </w:pPr>
      <w:r w:rsidRPr="000D55B2">
        <w:t>Het EPC toont de berekende energiescore. Dat is het berekende energieverbruik per jaar en per m² bruikbare vloeroppervlakte (kWh/m² jaar). Deze score hangt af van de muur- en dakisolatie, ramen en deuren en de installaties voor verwarming en het verwarmen van water</w:t>
      </w:r>
      <w:r>
        <w:rPr>
          <w:rStyle w:val="FootnoteReference"/>
        </w:rPr>
        <w:footnoteReference w:id="7"/>
      </w:r>
      <w:r w:rsidRPr="000D55B2">
        <w:t xml:space="preserve">. </w:t>
      </w:r>
    </w:p>
    <w:p w:rsidR="0008544A" w:rsidRDefault="0008544A" w:rsidP="00D07E7A">
      <w:r>
        <w:t xml:space="preserve">Een vaak gestelde vraag met betrekking tot de </w:t>
      </w:r>
      <w:r w:rsidR="0024544F">
        <w:t>Huurschatter</w:t>
      </w:r>
      <w:r>
        <w:t xml:space="preserve"> is of deze geen rekening kan houden met energetische componenten en meer bepaald het EPC kengetal. Het EPC kengetal is echter vaak niet gekend en daardoor is het moeilijk om dit standaard mee op te nemen in de </w:t>
      </w:r>
      <w:proofErr w:type="spellStart"/>
      <w:r>
        <w:t>hedonische</w:t>
      </w:r>
      <w:proofErr w:type="spellEnd"/>
      <w:r>
        <w:t xml:space="preserve"> </w:t>
      </w:r>
      <w:r w:rsidR="005E1D1F">
        <w:t>regressie</w:t>
      </w:r>
      <w:r w:rsidR="00711296">
        <w:softHyphen/>
      </w:r>
      <w:r w:rsidR="005E1D1F">
        <w:t>analyse</w:t>
      </w:r>
      <w:r>
        <w:t xml:space="preserve">. Er worden echter wel diverse </w:t>
      </w:r>
      <w:proofErr w:type="spellStart"/>
      <w:r>
        <w:t>energiegerelateerde</w:t>
      </w:r>
      <w:proofErr w:type="spellEnd"/>
      <w:r>
        <w:t xml:space="preserve"> woningkenmerken bevraagd via de </w:t>
      </w:r>
      <w:r w:rsidR="0024544F">
        <w:t>Huur</w:t>
      </w:r>
      <w:r w:rsidR="00711296">
        <w:softHyphen/>
      </w:r>
      <w:r w:rsidR="0024544F">
        <w:t>schatter</w:t>
      </w:r>
      <w:r>
        <w:t xml:space="preserve"> (Beglazing, dakisolatie, verwarming,</w:t>
      </w:r>
      <w:r w:rsidR="00D07E7A">
        <w:t> …</w:t>
      </w:r>
      <w:r>
        <w:t>). Daarnaast zijn diverse woningstructuurkenmerken (bouwlage</w:t>
      </w:r>
      <w:r w:rsidR="00D07E7A">
        <w:t>n, bebouwingstype, oppervlakte, …</w:t>
      </w:r>
      <w:r>
        <w:t xml:space="preserve">) belangrijk. Compacte </w:t>
      </w:r>
      <w:r w:rsidR="005E1D1F">
        <w:t>woningen</w:t>
      </w:r>
      <w:r>
        <w:t>, met een grote verhou</w:t>
      </w:r>
      <w:r w:rsidR="00711296">
        <w:softHyphen/>
      </w:r>
      <w:r>
        <w:t>ding volume/ schil, hebben een lager EPC kengetal. Het zijn woningen waarbij per</w:t>
      </w:r>
      <w:r w:rsidR="00D07E7A">
        <w:t xml:space="preserve"> </w:t>
      </w:r>
      <w:r w:rsidR="003348FE">
        <w:t>m</w:t>
      </w:r>
      <w:r w:rsidR="003348FE" w:rsidRPr="00D07E7A">
        <w:rPr>
          <w:vertAlign w:val="superscript"/>
        </w:rPr>
        <w:t>2</w:t>
      </w:r>
      <w:r>
        <w:t xml:space="preserve"> oppervlakte relatief minder buitenmuur is. Belangrijk hierbij is dat het</w:t>
      </w:r>
      <w:r w:rsidRPr="00BE505A">
        <w:t xml:space="preserve"> EPC </w:t>
      </w:r>
      <w:r>
        <w:t xml:space="preserve">kengetal is </w:t>
      </w:r>
      <w:r w:rsidRPr="00BE505A">
        <w:t>uitgedrukt per m²</w:t>
      </w:r>
      <w:r>
        <w:t xml:space="preserve">. Dit zorgt ervoor dat grotere woningen per m² vaak compacter zijn, maar als geheel </w:t>
      </w:r>
      <w:r w:rsidR="00D07E7A">
        <w:noBreakHyphen/>
        <w:t> </w:t>
      </w:r>
      <w:r>
        <w:t>rekening houdend met de grootte</w:t>
      </w:r>
      <w:r w:rsidR="00D07E7A">
        <w:t> </w:t>
      </w:r>
      <w:r w:rsidR="00D07E7A">
        <w:noBreakHyphen/>
      </w:r>
      <w:r>
        <w:t xml:space="preserve"> natuurlijk niet energetischer. </w:t>
      </w:r>
    </w:p>
    <w:p w:rsidR="0008544A" w:rsidRDefault="0008544A" w:rsidP="00D07E7A">
      <w:r>
        <w:t xml:space="preserve">Onderstaande figuur geeft weer hoe de structuur bepalend is voor de EPC waarde. In de </w:t>
      </w:r>
      <w:r w:rsidR="0024544F">
        <w:t>Huurschatter</w:t>
      </w:r>
      <w:r>
        <w:t xml:space="preserve"> wordt deze benaderd door de bewoonbare oppervlakte, het type bebouwing en het aantal bouwlagen. In de nieuwe versie van de </w:t>
      </w:r>
      <w:r w:rsidR="0024544F">
        <w:t>Huurschatter</w:t>
      </w:r>
      <w:r>
        <w:t xml:space="preserve"> wordt bovendien rekening gehouden met het type dak en de kelder, velden die voorheen niet bevraagd werden.</w:t>
      </w:r>
    </w:p>
    <w:p w:rsidR="0008544A" w:rsidRPr="006104E8" w:rsidRDefault="006104E8" w:rsidP="006104E8">
      <w:pPr>
        <w:pStyle w:val="Caption"/>
      </w:pPr>
      <w:r w:rsidRPr="006104E8">
        <w:t xml:space="preserve">Tabel </w:t>
      </w:r>
      <w:r w:rsidR="00301DB0">
        <w:fldChar w:fldCharType="begin"/>
      </w:r>
      <w:r w:rsidR="00301DB0">
        <w:instrText xml:space="preserve"> SEQ Tabel \* ARABIC </w:instrText>
      </w:r>
      <w:r w:rsidR="00301DB0">
        <w:fldChar w:fldCharType="separate"/>
      </w:r>
      <w:r w:rsidR="00A65B8D">
        <w:rPr>
          <w:noProof/>
        </w:rPr>
        <w:t>13</w:t>
      </w:r>
      <w:r w:rsidR="00301DB0">
        <w:rPr>
          <w:noProof/>
        </w:rPr>
        <w:fldChar w:fldCharType="end"/>
      </w:r>
      <w:r w:rsidRPr="006104E8">
        <w:tab/>
      </w:r>
      <w:r w:rsidR="0008544A" w:rsidRPr="006104E8">
        <w:t>Voorbeeld structuur</w:t>
      </w:r>
    </w:p>
    <w:p w:rsidR="0008544A" w:rsidRPr="003523AE" w:rsidRDefault="0008544A" w:rsidP="006104E8">
      <w:pPr>
        <w:pStyle w:val="Figuur-RegelafstandEnkel"/>
        <w:rPr>
          <w:lang w:eastAsia="nl-BE"/>
        </w:rPr>
      </w:pPr>
      <w:r w:rsidRPr="003523AE">
        <w:rPr>
          <w:noProof/>
          <w:lang w:eastAsia="nl-BE"/>
        </w:rPr>
        <w:drawing>
          <wp:inline distT="0" distB="0" distL="0" distR="0" wp14:anchorId="1A2FC66C" wp14:editId="35DBE684">
            <wp:extent cx="2539538" cy="2686050"/>
            <wp:effectExtent l="0" t="0" r="0" b="0"/>
            <wp:docPr id="32" name="Picture 32" descr="bouw-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w-energ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3861" cy="2690623"/>
                    </a:xfrm>
                    <a:prstGeom prst="rect">
                      <a:avLst/>
                    </a:prstGeom>
                    <a:noFill/>
                    <a:ln>
                      <a:noFill/>
                    </a:ln>
                  </pic:spPr>
                </pic:pic>
              </a:graphicData>
            </a:graphic>
          </wp:inline>
        </w:drawing>
      </w:r>
    </w:p>
    <w:p w:rsidR="0008544A" w:rsidRPr="006104E8" w:rsidRDefault="0008544A" w:rsidP="006104E8">
      <w:pPr>
        <w:pStyle w:val="FiguurTabel-TekstBron"/>
        <w:rPr>
          <w:rStyle w:val="Grijs"/>
        </w:rPr>
      </w:pPr>
      <w:r w:rsidRPr="006104E8">
        <w:rPr>
          <w:rStyle w:val="Grijs"/>
        </w:rPr>
        <w:t xml:space="preserve">Bron: </w:t>
      </w:r>
      <w:hyperlink r:id="rId39" w:history="1">
        <w:r w:rsidRPr="006104E8">
          <w:rPr>
            <w:rStyle w:val="Grijs"/>
          </w:rPr>
          <w:t>http://www.bouw-energie.be/nl/bereken/epc</w:t>
        </w:r>
      </w:hyperlink>
    </w:p>
    <w:p w:rsidR="0008544A" w:rsidRDefault="0008544A" w:rsidP="0008544A">
      <w:pPr>
        <w:pStyle w:val="NormalIndent"/>
        <w:ind w:firstLine="0"/>
      </w:pPr>
      <w:r>
        <w:lastRenderedPageBreak/>
        <w:t xml:space="preserve">Om te illustreren dat de bevraagde velden in de </w:t>
      </w:r>
      <w:r w:rsidR="0024544F">
        <w:t>Huurschatter</w:t>
      </w:r>
      <w:r>
        <w:t xml:space="preserve"> reeds in zekere mate rekening houden met de EPC kenmerken, voeren we een regressie uit die het EPC kengetal schat via de ingegeven woningkenmerken. De regressievergelijking ziet er als volgt uit:</w:t>
      </w:r>
    </w:p>
    <w:p w:rsidR="0008544A" w:rsidRDefault="0008544A" w:rsidP="006104E8">
      <w:r>
        <w:t>EPC = α + β</w:t>
      </w:r>
      <w:r w:rsidRPr="00905771">
        <w:rPr>
          <w:vertAlign w:val="subscript"/>
        </w:rPr>
        <w:t>1</w:t>
      </w:r>
      <w:r>
        <w:t xml:space="preserve"> oppervlakte + β</w:t>
      </w:r>
      <w:r>
        <w:rPr>
          <w:vertAlign w:val="subscript"/>
        </w:rPr>
        <w:t xml:space="preserve">2 </w:t>
      </w:r>
      <w:r>
        <w:t>aantal bouwlagen +Σ β</w:t>
      </w:r>
      <w:r>
        <w:rPr>
          <w:vertAlign w:val="subscript"/>
        </w:rPr>
        <w:t xml:space="preserve">i </w:t>
      </w:r>
      <w:r>
        <w:t>dummy energie-variabelen (met waarde 0/1)</w:t>
      </w:r>
    </w:p>
    <w:p w:rsidR="0008544A" w:rsidRDefault="0008544A" w:rsidP="009F4F24">
      <w:r>
        <w:t>Waarbij EPC</w:t>
      </w:r>
      <w:r w:rsidR="0024544F">
        <w:t>,</w:t>
      </w:r>
      <w:r>
        <w:t xml:space="preserve"> oppervlakte en aantal bouwlagen in logaritmische vorm in het model gebracht zijn.</w:t>
      </w:r>
    </w:p>
    <w:p w:rsidR="0008544A" w:rsidRDefault="0008544A" w:rsidP="009F4F24">
      <w:r>
        <w:t xml:space="preserve">Voor de analyse gebruiken we 2963 observaties van eengezinswoningen waarvoor de gebruikers het EPC kengetal ingevoerd hebben in de </w:t>
      </w:r>
      <w:proofErr w:type="spellStart"/>
      <w:r>
        <w:t>gecle</w:t>
      </w:r>
      <w:r w:rsidR="00711296">
        <w:t>ande</w:t>
      </w:r>
      <w:proofErr w:type="spellEnd"/>
      <w:r w:rsidR="00711296">
        <w:t xml:space="preserve"> dataset. Met een R² van 58,</w:t>
      </w:r>
      <w:r>
        <w:t>6% doet het model het redelijk goed als benadering. De resultaten vindt u in onderstaande tabel. De coëfficiënten zijn allen zeer significant en volledig in lijn met de verwachtingen</w:t>
      </w:r>
      <w:r w:rsidR="00711296">
        <w:t>.</w:t>
      </w:r>
      <w:r>
        <w:rPr>
          <w:rStyle w:val="FootnoteReference"/>
        </w:rPr>
        <w:footnoteReference w:id="8"/>
      </w:r>
      <w:r>
        <w:t xml:space="preserve"> De coëfficiënten zijn eenvoudig te interpre</w:t>
      </w:r>
      <w:r w:rsidR="00711296">
        <w:softHyphen/>
      </w:r>
      <w:r>
        <w:t>teren. Zo zien we dat een woning in gesloten bebouwing die voor het overige gelijke kenmerken heeft als een open bebouwing een EPC kengetal heeft dat 20% lager is volgens de resultaten. De woningen die na 2000 gebouwd zijn hebben een opmerkelijk lager EPC kengetal (-46%), en deze na 2010 zelfs -65% lager, in vergelijking met woningen uit 1950. Deze coëfficiënten komen bovendien extra bovenop de reeds andere bevraagde coëfficiënten (zoals -15% voor een condensatieketel ten opzichte van oudere CV, en recent volledig dubbele beglazing -11% t.o.v. dubbele beglazing). Op het eerste zicht lijkt het dat het EPC met meer dan 10</w:t>
      </w:r>
      <w:r w:rsidR="009F4F24">
        <w:t>0% kan dalen (-65%, -15%, -11%, …</w:t>
      </w:r>
      <w:r>
        <w:t>), maar dit is natuurlijk niet zo want de coëfficiënten dienen niet opgeteld, maar vermenigvuldigd te worden. Zo schat het model dat een nieuwbouwwoning (bouwjaar na 2010), met recent dubbel glas en condensatiekete</w:t>
      </w:r>
      <w:r w:rsidR="009F4F24">
        <w:t>l een EPC ken</w:t>
      </w:r>
      <w:r w:rsidR="00711296">
        <w:softHyphen/>
      </w:r>
      <w:r w:rsidR="009F4F24">
        <w:t>getal heeft dat (1­</w:t>
      </w:r>
      <w:r>
        <w:t xml:space="preserve">65%)*(1-15%)*(1-11%), of 26,5% bedraagt van een woning die gebouwd is in de jaren 50, met dubbel glas en oudere CV. Het bouwjaar speelt een belangrijke rol omwille van het feit dat bepaalde woningkenmerken (muurisolatie, zonneboiler, </w:t>
      </w:r>
      <w:r w:rsidR="005E1D1F">
        <w:t>zonnepanelen</w:t>
      </w:r>
      <w:r w:rsidR="00711296">
        <w:t>, vloerisolatie, </w:t>
      </w:r>
      <w:r>
        <w:t xml:space="preserve">…) niet bevraagd zijn in de </w:t>
      </w:r>
      <w:r w:rsidR="0024544F">
        <w:t>Huurschatter</w:t>
      </w:r>
      <w:r>
        <w:t xml:space="preserve">, en hierdoor verklaard worden door het bouwjaar omwille van het feit dat deze </w:t>
      </w:r>
      <w:r w:rsidR="009F4F24">
        <w:noBreakHyphen/>
        <w:t> </w:t>
      </w:r>
      <w:r>
        <w:t>al dan niet verplicht</w:t>
      </w:r>
      <w:r w:rsidR="009F4F24">
        <w:t> </w:t>
      </w:r>
      <w:r w:rsidR="009F4F24">
        <w:noBreakHyphen/>
      </w:r>
      <w:r>
        <w:t xml:space="preserve"> in grotere mate aanwezig zijn bij recente gebouwde woningen. Het bouwjaar is dus een indicator en niet zozeer de directe oorzaak en verklaring van het lager EPC kengetal. Deze </w:t>
      </w:r>
      <w:r w:rsidR="005E1D1F">
        <w:t>regressieanalyse</w:t>
      </w:r>
      <w:r>
        <w:t xml:space="preserve"> is dan ook geen rekentool die voor elk element afzonderlijk de impact op de EPC waarde meet. Dit is belangrijk bij de interpretatie van deze coëfficiënten.</w:t>
      </w:r>
    </w:p>
    <w:p w:rsidR="0008544A" w:rsidRDefault="0008544A" w:rsidP="009F4F24">
      <w:r>
        <w:t>Bij twee elementen is de interpretatie moeilijker, namelijk deze die in logaritmische vorm in het model gebracht zijn, net als het EPC kengetal zelf.</w:t>
      </w:r>
      <w:r w:rsidR="0024544F">
        <w:t xml:space="preserve"> </w:t>
      </w:r>
      <w:r>
        <w:t>Maar zowel oppervlakte als bouwlagen hebben een logisch teken. Hoe groter de oppervlakte en hoe hoger het aantal bouwlagen, hoe compacter de woning (per m²), en hoe lager het EPC kengetal. Voor deze coëfficiënten is de interpretatie volgens het econo</w:t>
      </w:r>
      <w:r w:rsidR="00711296">
        <w:softHyphen/>
      </w:r>
      <w:r>
        <w:t>mische elasticiteitsbegrip, namelijk met welk % verandert het EPC indien de oppervlakte met 1% stijgt.</w:t>
      </w:r>
    </w:p>
    <w:p w:rsidR="0008544A" w:rsidRDefault="00A65B8D" w:rsidP="009F4F24">
      <w:r>
        <w:t>F</w:t>
      </w:r>
      <w:r w:rsidR="0008544A">
        <w:t>iguur</w:t>
      </w:r>
      <w:r>
        <w:t> 11</w:t>
      </w:r>
      <w:r w:rsidR="0008544A">
        <w:t xml:space="preserve"> geeft weer hoe de werkelijke EPC waarden zich verhouden tot de voorspelde EPC waarden. De resultaten zijn enigszins opmerkelijk. De verschillende gradaties van een woningkenmerk komen zeer duidelijk tot uiting via de coëfficiënten. Het wijst er alvast op dat toch zeker voor de observaties waarvoor het EPC kengetal is ingevoerd de bevraging van de </w:t>
      </w:r>
      <w:r w:rsidR="0024544F">
        <w:t>Huurschatter</w:t>
      </w:r>
      <w:r w:rsidR="0008544A">
        <w:t xml:space="preserve"> ook met een paar korte, en vaak eerder subjectieve of minder technische bevragingen een relatief goed benade</w:t>
      </w:r>
      <w:r w:rsidR="00711296">
        <w:softHyphen/>
      </w:r>
      <w:r w:rsidR="0008544A">
        <w:t>rend beeld van het EPC kengetal kan geven. Diezelfde gradaties vinden we niet in dezelfde mate terug bij de coëfficiënten die de relatie leggen tussen woningkenmerken en huurprijzen. Daar vonden we eerder wit-zwart tegenstellingen terug (dubbel glas versus enkel glas,</w:t>
      </w:r>
      <w:r w:rsidR="0024544F">
        <w:t xml:space="preserve"> </w:t>
      </w:r>
      <w:r w:rsidR="0008544A">
        <w:t>dak</w:t>
      </w:r>
      <w:r w:rsidR="009F4F24">
        <w:t>isolatie versus geen isola</w:t>
      </w:r>
      <w:r w:rsidR="00711296">
        <w:softHyphen/>
      </w:r>
      <w:r w:rsidR="009F4F24">
        <w:t>tie, …</w:t>
      </w:r>
      <w:r w:rsidR="0008544A">
        <w:t xml:space="preserve">) waarbij de schakeringen tussen de diverse kenmerken minder duidelijk waren. Dit kan erop wijzen dat de </w:t>
      </w:r>
      <w:r w:rsidR="0008544A">
        <w:lastRenderedPageBreak/>
        <w:t>huurprijzen sterker beïnvloed worden door die kenmerken die duidelijk te onderschei</w:t>
      </w:r>
      <w:r w:rsidR="00711296">
        <w:softHyphen/>
      </w:r>
      <w:r w:rsidR="0008544A">
        <w:t>den zijn, maar minder door de graduele kleinere verschillen, terwijl die graduele verschillen wel dege</w:t>
      </w:r>
      <w:r w:rsidR="00711296">
        <w:softHyphen/>
      </w:r>
      <w:r w:rsidR="0008544A">
        <w:t>lijk een objectieve waarde hebben gezien hun significantie in de verklaring van het EPC. Als een con</w:t>
      </w:r>
      <w:r w:rsidR="00711296">
        <w:softHyphen/>
      </w:r>
      <w:r w:rsidR="0008544A">
        <w:t>trole-toets is er bovendien nagegaan indien de coëfficiënten van de energie-variabelen bij observaties waarbij het EPC-kengetal is ingevuld mogelijk wel duidelijkere schakeringen optekenden om de huur</w:t>
      </w:r>
      <w:r w:rsidR="00711296">
        <w:softHyphen/>
      </w:r>
      <w:r w:rsidR="0008544A">
        <w:t>prijs te verklaren. Het zou bijvoorbeeld ook kunnen dat de slechte kwaliteit van de input van de velden voor de onduidelijkere resultaten leiden. Maar ook bij de observaties waar het EPC kengetal is ingevuld vonden we geen duidelijke verbetering in de coëfficiënten. De meest logische veronderstelling blijft vooralsnog dat de huurprijs niet sterk beïnvloed wordt door de verschillende gradaties van energie-efficiënte woningkenmerken, maar wel door de duidelijke verschillen (</w:t>
      </w:r>
      <w:r w:rsidR="00990FED">
        <w:t>bv.</w:t>
      </w:r>
      <w:r w:rsidR="0008544A">
        <w:t xml:space="preserve"> dubbel glas </w:t>
      </w:r>
      <w:r w:rsidR="009F4F24">
        <w:t>-</w:t>
      </w:r>
      <w:r w:rsidR="0008544A">
        <w:t xml:space="preserve"> enkel glas). </w:t>
      </w:r>
    </w:p>
    <w:p w:rsidR="0008544A" w:rsidRDefault="009F4F24" w:rsidP="009F4F24">
      <w:pPr>
        <w:pStyle w:val="Caption"/>
      </w:pPr>
      <w:bookmarkStart w:id="50" w:name="_Toc463592538"/>
      <w:r w:rsidRPr="009F4F24">
        <w:t xml:space="preserve">Figuur </w:t>
      </w:r>
      <w:r w:rsidR="00301DB0">
        <w:fldChar w:fldCharType="begin"/>
      </w:r>
      <w:r w:rsidR="00301DB0">
        <w:instrText xml:space="preserve"> SEQ Figuur \* ARABIC </w:instrText>
      </w:r>
      <w:r w:rsidR="00301DB0">
        <w:fldChar w:fldCharType="separate"/>
      </w:r>
      <w:r w:rsidR="00A65B8D">
        <w:rPr>
          <w:noProof/>
        </w:rPr>
        <w:t>11</w:t>
      </w:r>
      <w:r w:rsidR="00301DB0">
        <w:rPr>
          <w:noProof/>
        </w:rPr>
        <w:fldChar w:fldCharType="end"/>
      </w:r>
      <w:r w:rsidRPr="009F4F24">
        <w:tab/>
      </w:r>
      <w:r w:rsidR="0008544A" w:rsidRPr="009F4F24">
        <w:t>Werkelijke en voorspelde EPC waarden op basis van kenmerken eengezinswoningen</w:t>
      </w:r>
      <w:bookmarkEnd w:id="50"/>
    </w:p>
    <w:p w:rsidR="0008544A" w:rsidRDefault="0008544A" w:rsidP="009F4F24">
      <w:pPr>
        <w:pStyle w:val="Figuur-RegelafstandEnkel"/>
      </w:pPr>
      <w:r w:rsidRPr="009F4F24">
        <w:rPr>
          <w:noProof/>
          <w:lang w:eastAsia="nl-BE"/>
        </w:rPr>
        <w:drawing>
          <wp:inline distT="0" distB="0" distL="0" distR="0" wp14:anchorId="68D07097" wp14:editId="1F7C452F">
            <wp:extent cx="4320000" cy="3141815"/>
            <wp:effectExtent l="0" t="0" r="444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3141815"/>
                    </a:xfrm>
                    <a:prstGeom prst="rect">
                      <a:avLst/>
                    </a:prstGeom>
                    <a:noFill/>
                    <a:ln>
                      <a:noFill/>
                    </a:ln>
                  </pic:spPr>
                </pic:pic>
              </a:graphicData>
            </a:graphic>
          </wp:inline>
        </w:drawing>
      </w:r>
    </w:p>
    <w:p w:rsidR="0008544A" w:rsidRPr="009F4F24" w:rsidRDefault="0008544A" w:rsidP="009F4F24">
      <w:pPr>
        <w:pStyle w:val="FiguurTabel-TekstBron"/>
        <w:rPr>
          <w:rStyle w:val="Grijs"/>
        </w:rPr>
      </w:pPr>
      <w:r w:rsidRPr="009F4F24">
        <w:rPr>
          <w:rStyle w:val="Grijs"/>
        </w:rPr>
        <w:t>Bron: Huurschatter 2016</w:t>
      </w:r>
    </w:p>
    <w:p w:rsidR="0008544A" w:rsidRDefault="0008544A" w:rsidP="0008544A">
      <w:r>
        <w:t>Daarnaast hebben we een analyse uitgevoerd op de verschillen tussen de voorspelde huurmarktwaar</w:t>
      </w:r>
      <w:r w:rsidR="00711296">
        <w:softHyphen/>
      </w:r>
      <w:r>
        <w:t>den en de huidige huurmarktwaarden voor de waarden waar het EPC kengetal was ingevuld.</w:t>
      </w:r>
      <w:r w:rsidR="0024544F">
        <w:t xml:space="preserve"> </w:t>
      </w:r>
      <w:r>
        <w:t>Bij een dubbel zo hoog EPC kengetal li</w:t>
      </w:r>
      <w:r w:rsidR="009F4F24">
        <w:t>gt de huurprijs bijkomend nog 1,</w:t>
      </w:r>
      <w:r>
        <w:t>4% lager. Deze verklaringskracht is incrementeel, dus nadat er reeds rekening gehouden is met de andere kenmerken (beglazing,</w:t>
      </w:r>
      <w:r w:rsidR="009F4F24">
        <w:t> …</w:t>
      </w:r>
      <w:r>
        <w:t xml:space="preserve">). Dit is te verwachten omdat het EPC kengetal nog diverse andere elementen die niet zijn opgenomen in de bevraging van de </w:t>
      </w:r>
      <w:r w:rsidR="0024544F">
        <w:t>Huurschatter</w:t>
      </w:r>
      <w:r>
        <w:t>, en dus een bijkomende verklaringskracht hebben.</w:t>
      </w:r>
    </w:p>
    <w:p w:rsidR="0008544A" w:rsidRDefault="0008544A" w:rsidP="0008544A">
      <w:r>
        <w:t>Het belangrijkste resultaat van deze analyse wijst er echter op dat de kenmerken die het EPC kengetal bepalen voor een groot deel in de bevraagde variabelen zitten en op die manier mee bepalend zijn voor het voorspellen van de huurprijs. Bij een renovatie van een sociale woning zal men dus eveneens een nieuwe geschatte huurprijs bekomen door de waarden van de toepasselijke velden</w:t>
      </w:r>
      <w:r w:rsidR="0024544F">
        <w:t xml:space="preserve"> </w:t>
      </w:r>
      <w:r>
        <w:t>van woning</w:t>
      </w:r>
      <w:r w:rsidR="00711296">
        <w:softHyphen/>
      </w:r>
      <w:r>
        <w:t xml:space="preserve">kenmerken te veranderen. </w:t>
      </w:r>
    </w:p>
    <w:p w:rsidR="0008544A" w:rsidRPr="009F4F24" w:rsidRDefault="009F4F24" w:rsidP="009F4F24">
      <w:pPr>
        <w:pStyle w:val="Caption"/>
      </w:pPr>
      <w:r w:rsidRPr="009F4F24">
        <w:lastRenderedPageBreak/>
        <w:t xml:space="preserve">Tabel </w:t>
      </w:r>
      <w:r w:rsidR="00301DB0">
        <w:fldChar w:fldCharType="begin"/>
      </w:r>
      <w:r w:rsidR="00301DB0">
        <w:instrText xml:space="preserve"> SEQ Tabel \* ARABIC </w:instrText>
      </w:r>
      <w:r w:rsidR="00301DB0">
        <w:fldChar w:fldCharType="separate"/>
      </w:r>
      <w:r w:rsidR="00A65B8D">
        <w:rPr>
          <w:noProof/>
        </w:rPr>
        <w:t>14</w:t>
      </w:r>
      <w:r w:rsidR="00301DB0">
        <w:rPr>
          <w:noProof/>
        </w:rPr>
        <w:fldChar w:fldCharType="end"/>
      </w:r>
      <w:r w:rsidRPr="009F4F24">
        <w:tab/>
        <w:t>R</w:t>
      </w:r>
      <w:r w:rsidR="0008544A" w:rsidRPr="009F4F24">
        <w:t>elatie tussen kenmerken van eengezinswoning en EPC kengetal, regressieresultaten</w:t>
      </w:r>
    </w:p>
    <w:tbl>
      <w:tblPr>
        <w:tblStyle w:val="LightShading1"/>
        <w:tblW w:w="9071" w:type="dxa"/>
        <w:tblLayout w:type="fixed"/>
        <w:tblLook w:val="04A0" w:firstRow="1" w:lastRow="0" w:firstColumn="1" w:lastColumn="0" w:noHBand="0" w:noVBand="1"/>
      </w:tblPr>
      <w:tblGrid>
        <w:gridCol w:w="1701"/>
        <w:gridCol w:w="5102"/>
        <w:gridCol w:w="1134"/>
        <w:gridCol w:w="1134"/>
      </w:tblGrid>
      <w:tr w:rsidR="0008544A" w:rsidRPr="0093677D" w:rsidTr="009F4F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r>
              <w:rPr>
                <w:lang w:eastAsia="nl-BE"/>
              </w:rPr>
              <w:t>kenmerk</w:t>
            </w:r>
          </w:p>
        </w:tc>
        <w:tc>
          <w:tcPr>
            <w:tcW w:w="5102" w:type="dxa"/>
            <w:noWrap/>
            <w:vAlign w:val="top"/>
            <w:hideMark/>
          </w:tcPr>
          <w:p w:rsidR="0008544A" w:rsidRPr="0093677D" w:rsidRDefault="0008544A" w:rsidP="009F4F24">
            <w:pPr>
              <w:pStyle w:val="Tabel-Tekst"/>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Waarde</w:t>
            </w:r>
          </w:p>
        </w:tc>
        <w:tc>
          <w:tcPr>
            <w:tcW w:w="1134" w:type="dxa"/>
            <w:noWrap/>
            <w:vAlign w:val="top"/>
            <w:hideMark/>
          </w:tcPr>
          <w:p w:rsidR="0008544A" w:rsidRPr="0093677D" w:rsidRDefault="0008544A" w:rsidP="009F4F24">
            <w:pPr>
              <w:pStyle w:val="Tabel-Tekst"/>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Procentuele impact op EPC</w:t>
            </w:r>
          </w:p>
        </w:tc>
        <w:tc>
          <w:tcPr>
            <w:tcW w:w="1134" w:type="dxa"/>
            <w:noWrap/>
            <w:vAlign w:val="top"/>
            <w:hideMark/>
          </w:tcPr>
          <w:p w:rsidR="0008544A" w:rsidRPr="0093677D" w:rsidRDefault="0008544A" w:rsidP="009F4F24">
            <w:pPr>
              <w:pStyle w:val="Tabel-Tekst"/>
              <w:jc w:val="center"/>
              <w:cnfStyle w:val="100000000000" w:firstRow="1" w:lastRow="0" w:firstColumn="0" w:lastColumn="0" w:oddVBand="0" w:evenVBand="0" w:oddHBand="0" w:evenHBand="0" w:firstRowFirstColumn="0" w:firstRowLastColumn="0" w:lastRowFirstColumn="0" w:lastRowLastColumn="0"/>
              <w:rPr>
                <w:lang w:eastAsia="nl-BE"/>
              </w:rPr>
            </w:pPr>
            <w:r>
              <w:rPr>
                <w:lang w:eastAsia="nl-BE"/>
              </w:rPr>
              <w:t>Signi</w:t>
            </w:r>
            <w:r w:rsidR="005E1D1F">
              <w:rPr>
                <w:lang w:eastAsia="nl-BE"/>
              </w:rPr>
              <w:t>fi</w:t>
            </w:r>
            <w:r w:rsidR="005E1D1F">
              <w:rPr>
                <w:lang w:eastAsia="nl-BE"/>
              </w:rPr>
              <w:softHyphen/>
            </w:r>
            <w:r>
              <w:rPr>
                <w:lang w:eastAsia="nl-BE"/>
              </w:rPr>
              <w:t>cantie</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9F4F24" w:rsidP="009F4F24">
            <w:pPr>
              <w:pStyle w:val="Tabel-Tekst"/>
              <w:rPr>
                <w:lang w:eastAsia="nl-BE"/>
              </w:rPr>
            </w:pPr>
            <w:r>
              <w:rPr>
                <w:lang w:eastAsia="nl-BE"/>
              </w:rPr>
              <w:t>S</w:t>
            </w:r>
            <w:r w:rsidR="0008544A" w:rsidRPr="0093677D">
              <w:rPr>
                <w:lang w:eastAsia="nl-BE"/>
              </w:rPr>
              <w:t>tructuur</w:t>
            </w:r>
          </w:p>
        </w:tc>
        <w:tc>
          <w:tcPr>
            <w:tcW w:w="5102" w:type="dxa"/>
            <w:noWrap/>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B</w:t>
            </w:r>
            <w:r w:rsidR="0008544A" w:rsidRPr="0093677D">
              <w:rPr>
                <w:lang w:eastAsia="nl-BE"/>
              </w:rPr>
              <w:t>ewoonbare oppervlakte (logaritme)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0008544A" w:rsidRPr="0093677D">
              <w:rPr>
                <w:lang w:eastAsia="nl-BE"/>
              </w:rPr>
              <w:t>antal bouwlagen (logaritme)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9F4F24" w:rsidP="009F4F24">
            <w:pPr>
              <w:pStyle w:val="Tabel-Tekst"/>
              <w:rPr>
                <w:lang w:eastAsia="nl-BE"/>
              </w:rPr>
            </w:pPr>
            <w:r>
              <w:rPr>
                <w:lang w:eastAsia="nl-BE"/>
              </w:rPr>
              <w:t>T</w:t>
            </w:r>
            <w:r w:rsidR="0008544A">
              <w:rPr>
                <w:lang w:eastAsia="nl-BE"/>
              </w:rPr>
              <w:t>ype</w:t>
            </w: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G</w:t>
            </w:r>
            <w:r w:rsidR="0008544A" w:rsidRPr="0093677D">
              <w:rPr>
                <w:lang w:eastAsia="nl-BE"/>
              </w:rPr>
              <w:t>esloten bebouwing</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H</w:t>
            </w:r>
            <w:r w:rsidR="0008544A" w:rsidRPr="0093677D">
              <w:rPr>
                <w:lang w:eastAsia="nl-BE"/>
              </w:rPr>
              <w:t>alfopen bebouwing</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-5</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Open</w:t>
            </w:r>
            <w:r>
              <w:rPr>
                <w:lang w:eastAsia="nl-BE"/>
              </w:rPr>
              <w:t xml:space="preserve"> (referentie)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9F4F24" w:rsidP="009F4F24">
            <w:pPr>
              <w:pStyle w:val="Tabel-Tekst"/>
              <w:rPr>
                <w:lang w:eastAsia="nl-BE"/>
              </w:rPr>
            </w:pPr>
            <w:r>
              <w:rPr>
                <w:lang w:eastAsia="nl-BE"/>
              </w:rPr>
              <w:t>B</w:t>
            </w:r>
            <w:r w:rsidR="0008544A" w:rsidRPr="0093677D">
              <w:rPr>
                <w:lang w:eastAsia="nl-BE"/>
              </w:rPr>
              <w:t>ouwjaar</w:t>
            </w: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voor 1914</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1914</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8</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1940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3</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1950</w:t>
            </w:r>
            <w:r w:rsidR="0008544A">
              <w:rPr>
                <w:lang w:eastAsia="nl-BE"/>
              </w:rPr>
              <w:t xml:space="preserve"> (referentie)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1960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1970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-7</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1980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-17</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1990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-26</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2000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-46</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eeftijd na 2010</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-65</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9F4F24" w:rsidP="009F4F24">
            <w:pPr>
              <w:pStyle w:val="Tabel-Tekst"/>
              <w:rPr>
                <w:lang w:eastAsia="nl-BE"/>
              </w:rPr>
            </w:pPr>
            <w:r>
              <w:rPr>
                <w:lang w:eastAsia="nl-BE"/>
              </w:rPr>
              <w:t>S</w:t>
            </w:r>
            <w:r w:rsidR="0008544A" w:rsidRPr="0093677D">
              <w:rPr>
                <w:lang w:eastAsia="nl-BE"/>
              </w:rPr>
              <w:t>anitair</w:t>
            </w: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R</w:t>
            </w:r>
            <w:r w:rsidR="0008544A" w:rsidRPr="0093677D">
              <w:rPr>
                <w:lang w:eastAsia="nl-BE"/>
              </w:rPr>
              <w:t>ecent</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-7</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L</w:t>
            </w:r>
            <w:r w:rsidR="0008544A" w:rsidRPr="0093677D">
              <w:rPr>
                <w:lang w:eastAsia="nl-BE"/>
              </w:rPr>
              <w:t>icht verouderd, maar volledig</w:t>
            </w:r>
            <w:r w:rsidR="0008544A">
              <w:rPr>
                <w:lang w:eastAsia="nl-BE"/>
              </w:rPr>
              <w:t xml:space="preserve"> (referentie)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A</w:t>
            </w:r>
            <w:r w:rsidR="0008544A" w:rsidRPr="0093677D">
              <w:rPr>
                <w:lang w:eastAsia="nl-BE"/>
              </w:rPr>
              <w:t>lle basisvoorzieningen</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M</w:t>
            </w:r>
            <w:r w:rsidR="0008544A" w:rsidRPr="0093677D">
              <w:rPr>
                <w:lang w:eastAsia="nl-BE"/>
              </w:rPr>
              <w:t>inimale voorzieningen</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3</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P</w:t>
            </w:r>
            <w:r w:rsidR="0008544A" w:rsidRPr="0093677D">
              <w:rPr>
                <w:lang w:eastAsia="nl-BE"/>
              </w:rPr>
              <w:t>rimitief</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8</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r w:rsidRPr="0093677D">
              <w:rPr>
                <w:lang w:eastAsia="nl-BE"/>
              </w:rPr>
              <w:t>Verwarming</w:t>
            </w:r>
          </w:p>
        </w:tc>
        <w:tc>
          <w:tcPr>
            <w:tcW w:w="5102" w:type="dxa"/>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C</w:t>
            </w:r>
            <w:r w:rsidR="009F4F24">
              <w:rPr>
                <w:lang w:eastAsia="nl-BE"/>
              </w:rPr>
              <w:t>entrale verwarming:</w:t>
            </w:r>
            <w:r w:rsidRPr="0093677D">
              <w:rPr>
                <w:lang w:eastAsia="nl-BE"/>
              </w:rPr>
              <w:t xml:space="preserve"> condenserend</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-15</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C</w:t>
            </w:r>
            <w:r w:rsidR="009F4F24">
              <w:rPr>
                <w:lang w:eastAsia="nl-BE"/>
              </w:rPr>
              <w:t xml:space="preserve">entrale verwarming: </w:t>
            </w:r>
            <w:proofErr w:type="spellStart"/>
            <w:r w:rsidRPr="0093677D">
              <w:rPr>
                <w:lang w:eastAsia="nl-BE"/>
              </w:rPr>
              <w:t>hoogrendement</w:t>
            </w:r>
            <w:proofErr w:type="spellEnd"/>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-14</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C</w:t>
            </w:r>
            <w:r w:rsidR="009F4F24">
              <w:rPr>
                <w:lang w:eastAsia="nl-BE"/>
              </w:rPr>
              <w:t>entrale verwarming:</w:t>
            </w:r>
            <w:r w:rsidRPr="0093677D">
              <w:rPr>
                <w:lang w:eastAsia="nl-BE"/>
              </w:rPr>
              <w:t xml:space="preserve"> ouder model</w:t>
            </w:r>
            <w:r>
              <w:rPr>
                <w:lang w:eastAsia="nl-BE"/>
              </w:rPr>
              <w:t xml:space="preserve"> (referentie)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I</w:t>
            </w:r>
            <w:r w:rsidR="0008544A" w:rsidRPr="0093677D">
              <w:rPr>
                <w:lang w:eastAsia="nl-BE"/>
              </w:rPr>
              <w:t>n kamer, elektrisch of gas</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I</w:t>
            </w:r>
            <w:r w:rsidR="0008544A" w:rsidRPr="0093677D">
              <w:rPr>
                <w:lang w:eastAsia="nl-BE"/>
              </w:rPr>
              <w:t>n kamer, kolen- of mazoutkachel</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9</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vAlign w:val="top"/>
            <w:hideMark/>
          </w:tcPr>
          <w:p w:rsidR="0008544A" w:rsidRPr="0093677D" w:rsidRDefault="009F4F24" w:rsidP="009F4F24">
            <w:pPr>
              <w:pStyle w:val="Tabel-Tekst"/>
              <w:rPr>
                <w:lang w:eastAsia="nl-BE"/>
              </w:rPr>
            </w:pPr>
            <w:r>
              <w:rPr>
                <w:lang w:eastAsia="nl-BE"/>
              </w:rPr>
              <w:t>V</w:t>
            </w:r>
            <w:r w:rsidR="0008544A" w:rsidRPr="0093677D">
              <w:rPr>
                <w:lang w:eastAsia="nl-BE"/>
              </w:rPr>
              <w:t>entilatie</w:t>
            </w: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S</w:t>
            </w:r>
            <w:r w:rsidR="0008544A" w:rsidRPr="0093677D">
              <w:rPr>
                <w:lang w:eastAsia="nl-BE"/>
              </w:rPr>
              <w:t>lecht</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14</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M</w:t>
            </w:r>
            <w:r w:rsidR="0008544A" w:rsidRPr="0093677D">
              <w:rPr>
                <w:lang w:eastAsia="nl-BE"/>
              </w:rPr>
              <w:t>atig</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7</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Goed</w:t>
            </w:r>
            <w:r>
              <w:rPr>
                <w:lang w:eastAsia="nl-BE"/>
              </w:rPr>
              <w:t xml:space="preserve"> (referentie)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vAlign w:val="top"/>
            <w:hideMark/>
          </w:tcPr>
          <w:p w:rsidR="0008544A" w:rsidRPr="0093677D" w:rsidRDefault="009F4F24" w:rsidP="009F4F24">
            <w:pPr>
              <w:pStyle w:val="Tabel-Tekst"/>
              <w:rPr>
                <w:lang w:eastAsia="nl-BE"/>
              </w:rPr>
            </w:pPr>
            <w:r>
              <w:rPr>
                <w:lang w:eastAsia="nl-BE"/>
              </w:rPr>
              <w:t>B</w:t>
            </w:r>
            <w:r w:rsidR="0008544A" w:rsidRPr="0093677D">
              <w:rPr>
                <w:lang w:eastAsia="nl-BE"/>
              </w:rPr>
              <w:t>eglazing</w:t>
            </w: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R</w:t>
            </w:r>
            <w:r w:rsidR="0008544A" w:rsidRPr="0093677D">
              <w:rPr>
                <w:lang w:eastAsia="nl-BE"/>
              </w:rPr>
              <w:t>ecent volledig dubbel</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-11</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V</w:t>
            </w:r>
            <w:r w:rsidR="0008544A" w:rsidRPr="0093677D">
              <w:rPr>
                <w:lang w:eastAsia="nl-BE"/>
              </w:rPr>
              <w:t>olledig dubbel</w:t>
            </w:r>
            <w:r w:rsidR="0008544A">
              <w:rPr>
                <w:lang w:eastAsia="nl-BE"/>
              </w:rPr>
              <w:t xml:space="preserve"> (referentie)</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0</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0008544A" w:rsidRPr="0093677D">
              <w:rPr>
                <w:lang w:eastAsia="nl-BE"/>
              </w:rPr>
              <w:t>verwegend dubbel</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8</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O</w:t>
            </w:r>
            <w:r w:rsidR="0008544A" w:rsidRPr="0093677D">
              <w:rPr>
                <w:lang w:eastAsia="nl-BE"/>
              </w:rPr>
              <w:t>verwegend enkel</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16</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vAlign w:val="top"/>
            <w:hideMark/>
          </w:tcPr>
          <w:p w:rsidR="0008544A" w:rsidRPr="0093677D" w:rsidRDefault="009F4F24"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V</w:t>
            </w:r>
            <w:r w:rsidR="0008544A" w:rsidRPr="0093677D">
              <w:rPr>
                <w:lang w:eastAsia="nl-BE"/>
              </w:rPr>
              <w:t>olledig enkel</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23</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vAlign w:val="top"/>
            <w:hideMark/>
          </w:tcPr>
          <w:p w:rsidR="0008544A" w:rsidRPr="0093677D" w:rsidRDefault="009F4F24" w:rsidP="009F4F24">
            <w:pPr>
              <w:pStyle w:val="Tabel-Tekst"/>
              <w:rPr>
                <w:lang w:eastAsia="nl-BE"/>
              </w:rPr>
            </w:pPr>
            <w:r>
              <w:rPr>
                <w:lang w:eastAsia="nl-BE"/>
              </w:rPr>
              <w:t>D</w:t>
            </w:r>
            <w:r w:rsidR="0008544A" w:rsidRPr="0093677D">
              <w:rPr>
                <w:lang w:eastAsia="nl-BE"/>
              </w:rPr>
              <w:t>akisolatie</w:t>
            </w:r>
          </w:p>
        </w:tc>
        <w:tc>
          <w:tcPr>
            <w:tcW w:w="5102" w:type="dxa"/>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Geïsoleerd met dampscherm</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-26</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w:t>
            </w: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lang w:eastAsia="nl-BE"/>
              </w:rPr>
            </w:pPr>
          </w:p>
        </w:tc>
        <w:tc>
          <w:tcPr>
            <w:tcW w:w="5102" w:type="dxa"/>
            <w:noWrap/>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Licht geïsoleerd</w:t>
            </w:r>
            <w:r>
              <w:rPr>
                <w:lang w:eastAsia="nl-BE"/>
              </w:rPr>
              <w:t xml:space="preserve"> </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-9</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noWrap/>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Geen isolatie, wel winddicht onderdak</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2</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hideMark/>
          </w:tcPr>
          <w:p w:rsidR="0008544A" w:rsidRPr="0093677D" w:rsidRDefault="0008544A" w:rsidP="009F4F24">
            <w:pPr>
              <w:pStyle w:val="Tabel-Tekst"/>
              <w:rPr>
                <w:rFonts w:ascii="Times New Roman" w:hAnsi="Times New Roman"/>
                <w:szCs w:val="20"/>
                <w:lang w:eastAsia="nl-BE"/>
              </w:rPr>
            </w:pPr>
          </w:p>
        </w:tc>
        <w:tc>
          <w:tcPr>
            <w:tcW w:w="5102" w:type="dxa"/>
            <w:noWrap/>
            <w:vAlign w:val="top"/>
            <w:hideMark/>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Geen isolatie en onderdak</w:t>
            </w:r>
          </w:p>
        </w:tc>
        <w:tc>
          <w:tcPr>
            <w:tcW w:w="1134" w:type="dxa"/>
            <w:noWrap/>
            <w:vAlign w:val="top"/>
            <w:hideMark/>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sidRPr="0093677D">
              <w:rPr>
                <w:lang w:eastAsia="nl-BE"/>
              </w:rPr>
              <w:t>3</w:t>
            </w:r>
          </w:p>
        </w:tc>
        <w:tc>
          <w:tcPr>
            <w:tcW w:w="1134" w:type="dxa"/>
            <w:noWrap/>
            <w:vAlign w:val="top"/>
            <w:hideMark/>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r w:rsidR="0008544A" w:rsidRPr="0093677D" w:rsidTr="009F4F24">
        <w:trPr>
          <w:trHeight w:val="20"/>
        </w:trPr>
        <w:tc>
          <w:tcPr>
            <w:cnfStyle w:val="001000000000" w:firstRow="0" w:lastRow="0" w:firstColumn="1" w:lastColumn="0" w:oddVBand="0" w:evenVBand="0" w:oddHBand="0" w:evenHBand="0" w:firstRowFirstColumn="0" w:firstRowLastColumn="0" w:lastRowFirstColumn="0" w:lastRowLastColumn="0"/>
            <w:tcW w:w="1701" w:type="dxa"/>
            <w:noWrap/>
            <w:vAlign w:val="top"/>
          </w:tcPr>
          <w:p w:rsidR="0008544A" w:rsidRPr="0093677D" w:rsidRDefault="0008544A" w:rsidP="009F4F24">
            <w:pPr>
              <w:pStyle w:val="Tabel-Tekst"/>
              <w:rPr>
                <w:rFonts w:ascii="Times New Roman" w:hAnsi="Times New Roman"/>
                <w:szCs w:val="20"/>
                <w:lang w:eastAsia="nl-BE"/>
              </w:rPr>
            </w:pPr>
          </w:p>
        </w:tc>
        <w:tc>
          <w:tcPr>
            <w:tcW w:w="5102" w:type="dxa"/>
            <w:noWrap/>
            <w:vAlign w:val="top"/>
          </w:tcPr>
          <w:p w:rsidR="0008544A" w:rsidRPr="0093677D" w:rsidRDefault="0008544A" w:rsidP="009F4F24">
            <w:pPr>
              <w:pStyle w:val="Tabel-Tekst"/>
              <w:cnfStyle w:val="000000000000" w:firstRow="0" w:lastRow="0" w:firstColumn="0" w:lastColumn="0" w:oddVBand="0" w:evenVBand="0" w:oddHBand="0" w:evenHBand="0" w:firstRowFirstColumn="0" w:firstRowLastColumn="0" w:lastRowFirstColumn="0" w:lastRowLastColumn="0"/>
              <w:rPr>
                <w:lang w:eastAsia="nl-BE"/>
              </w:rPr>
            </w:pPr>
            <w:r>
              <w:rPr>
                <w:lang w:eastAsia="nl-BE"/>
              </w:rPr>
              <w:t>Niet van toepassing (referentie)</w:t>
            </w:r>
          </w:p>
        </w:tc>
        <w:tc>
          <w:tcPr>
            <w:tcW w:w="1134" w:type="dxa"/>
            <w:noWrap/>
            <w:vAlign w:val="top"/>
          </w:tcPr>
          <w:p w:rsidR="0008544A" w:rsidRPr="0093677D" w:rsidRDefault="0008544A" w:rsidP="009F4F24">
            <w:pPr>
              <w:pStyle w:val="Tabel-Tekst"/>
              <w:ind w:right="567"/>
              <w:jc w:val="right"/>
              <w:cnfStyle w:val="000000000000" w:firstRow="0" w:lastRow="0" w:firstColumn="0" w:lastColumn="0" w:oddVBand="0" w:evenVBand="0" w:oddHBand="0" w:evenHBand="0" w:firstRowFirstColumn="0" w:firstRowLastColumn="0" w:lastRowFirstColumn="0" w:lastRowLastColumn="0"/>
              <w:rPr>
                <w:lang w:eastAsia="nl-BE"/>
              </w:rPr>
            </w:pPr>
            <w:r>
              <w:rPr>
                <w:lang w:eastAsia="nl-BE"/>
              </w:rPr>
              <w:t>0</w:t>
            </w:r>
          </w:p>
        </w:tc>
        <w:tc>
          <w:tcPr>
            <w:tcW w:w="1134" w:type="dxa"/>
            <w:noWrap/>
            <w:vAlign w:val="top"/>
          </w:tcPr>
          <w:p w:rsidR="0008544A" w:rsidRPr="0093677D" w:rsidRDefault="0008544A" w:rsidP="009F4F24">
            <w:pPr>
              <w:pStyle w:val="Tabel-Tekst"/>
              <w:jc w:val="center"/>
              <w:cnfStyle w:val="000000000000" w:firstRow="0" w:lastRow="0" w:firstColumn="0" w:lastColumn="0" w:oddVBand="0" w:evenVBand="0" w:oddHBand="0" w:evenHBand="0" w:firstRowFirstColumn="0" w:firstRowLastColumn="0" w:lastRowFirstColumn="0" w:lastRowLastColumn="0"/>
              <w:rPr>
                <w:lang w:eastAsia="nl-BE"/>
              </w:rPr>
            </w:pPr>
          </w:p>
        </w:tc>
      </w:tr>
    </w:tbl>
    <w:p w:rsidR="0008544A" w:rsidRDefault="0008544A" w:rsidP="009F4F24">
      <w:pPr>
        <w:pStyle w:val="FiguurTabel-Opmerking"/>
      </w:pPr>
      <w:r>
        <w:t>R² = 58</w:t>
      </w:r>
      <w:r w:rsidR="009F4F24">
        <w:t>,</w:t>
      </w:r>
      <w:r>
        <w:t>6%, 2</w:t>
      </w:r>
      <w:r w:rsidR="009F4F24">
        <w:t> </w:t>
      </w:r>
      <w:r>
        <w:t xml:space="preserve">936 observaties, </w:t>
      </w:r>
    </w:p>
    <w:p w:rsidR="0008544A" w:rsidRPr="009F4F24" w:rsidRDefault="0008544A" w:rsidP="009F4F24">
      <w:pPr>
        <w:pStyle w:val="FiguurTabel-TekstBron"/>
        <w:rPr>
          <w:rStyle w:val="Grijs"/>
        </w:rPr>
      </w:pPr>
      <w:r w:rsidRPr="009F4F24">
        <w:rPr>
          <w:rStyle w:val="Grijs"/>
        </w:rPr>
        <w:t xml:space="preserve">Bron: </w:t>
      </w:r>
      <w:r w:rsidR="009F4F24">
        <w:rPr>
          <w:rStyle w:val="Grijs"/>
        </w:rPr>
        <w:tab/>
      </w:r>
      <w:r w:rsidRPr="009F4F24">
        <w:rPr>
          <w:rStyle w:val="Grijs"/>
        </w:rPr>
        <w:t>Huurschatter, 2016</w:t>
      </w:r>
    </w:p>
    <w:p w:rsidR="00775FE4" w:rsidRPr="00775FE4" w:rsidRDefault="00775FE4" w:rsidP="00775FE4"/>
    <w:p w:rsidR="00CD6AF2" w:rsidRDefault="00CD6AF2" w:rsidP="008B428A">
      <w:pPr>
        <w:sectPr w:rsidR="00CD6AF2" w:rsidSect="007559E4">
          <w:footerReference w:type="first" r:id="rId41"/>
          <w:pgSz w:w="11906" w:h="16838" w:code="9"/>
          <w:pgMar w:top="1418" w:right="1418" w:bottom="1418" w:left="1418" w:header="709" w:footer="709" w:gutter="0"/>
          <w:pgNumType w:start="1"/>
          <w:cols w:space="708"/>
          <w:titlePg/>
          <w:docGrid w:linePitch="360"/>
        </w:sectPr>
      </w:pPr>
    </w:p>
    <w:p w:rsidR="00494B57" w:rsidRPr="00D60CB0" w:rsidRDefault="00DB0858" w:rsidP="00494B57">
      <w:pPr>
        <w:pStyle w:val="BIJLAGEN-TITELPAGINA"/>
      </w:pPr>
      <w:bookmarkStart w:id="51" w:name="_Toc376876743"/>
      <w:r w:rsidRPr="00D60CB0">
        <w:lastRenderedPageBreak/>
        <w:t>Bijlagen</w:t>
      </w:r>
      <w:bookmarkEnd w:id="51"/>
    </w:p>
    <w:p w:rsidR="00A65B8D" w:rsidRDefault="00A65B8D" w:rsidP="00A65B8D">
      <w:pPr>
        <w:jc w:val="right"/>
      </w:pPr>
    </w:p>
    <w:p w:rsidR="00A65B8D" w:rsidRDefault="00A65B8D" w:rsidP="00A65B8D"/>
    <w:p w:rsidR="00494B57" w:rsidRPr="00A65B8D" w:rsidRDefault="00494B57" w:rsidP="00A65B8D">
      <w:pPr>
        <w:sectPr w:rsidR="00494B57" w:rsidRPr="00A65B8D" w:rsidSect="00CD6AF2">
          <w:headerReference w:type="first" r:id="rId42"/>
          <w:footerReference w:type="first" r:id="rId43"/>
          <w:type w:val="oddPage"/>
          <w:pgSz w:w="11906" w:h="16838" w:code="9"/>
          <w:pgMar w:top="1418" w:right="1418" w:bottom="1418" w:left="1418" w:header="709" w:footer="709" w:gutter="0"/>
          <w:cols w:space="708"/>
          <w:titlePg/>
          <w:docGrid w:linePitch="360"/>
        </w:sectPr>
      </w:pPr>
    </w:p>
    <w:p w:rsidR="00FA6233" w:rsidRDefault="00FA6233" w:rsidP="00FA6233">
      <w:pPr>
        <w:pStyle w:val="Heading6"/>
      </w:pPr>
      <w:bookmarkStart w:id="52" w:name="Text28"/>
      <w:r>
        <w:lastRenderedPageBreak/>
        <w:t>Woonwaarderingsstelsel Nederland</w:t>
      </w:r>
    </w:p>
    <w:p w:rsidR="00FA6233" w:rsidRPr="00FA6233" w:rsidRDefault="00FA6233" w:rsidP="00FA6233">
      <w:pPr>
        <w:pStyle w:val="Caption"/>
      </w:pPr>
      <w:r w:rsidRPr="00FA6233">
        <w:t>Tabel B</w:t>
      </w:r>
      <w:r w:rsidR="00301DB0">
        <w:fldChar w:fldCharType="begin"/>
      </w:r>
      <w:r w:rsidR="00301DB0">
        <w:instrText xml:space="preserve"> SEQ Table_A \* ARABIC </w:instrText>
      </w:r>
      <w:r w:rsidR="00301DB0">
        <w:fldChar w:fldCharType="separate"/>
      </w:r>
      <w:r w:rsidR="00A65B8D">
        <w:rPr>
          <w:noProof/>
        </w:rPr>
        <w:t>1</w:t>
      </w:r>
      <w:r w:rsidR="00301DB0">
        <w:rPr>
          <w:noProof/>
        </w:rPr>
        <w:fldChar w:fldCharType="end"/>
      </w:r>
      <w:r w:rsidRPr="00FA6233">
        <w:tab/>
        <w:t>Overzicht Woonwaarderingsstelsel zelfstandige woning per 1 oktober 2015, Nederland</w:t>
      </w:r>
    </w:p>
    <w:p w:rsidR="00FA6233" w:rsidRDefault="00FA6233" w:rsidP="00FA6233">
      <w:pPr>
        <w:pStyle w:val="Tabel-RegelafstandEnkel"/>
      </w:pPr>
      <w:r w:rsidRPr="005815FC">
        <w:rPr>
          <w:noProof/>
          <w:lang w:eastAsia="nl-BE"/>
        </w:rPr>
        <w:drawing>
          <wp:inline distT="0" distB="0" distL="0" distR="0" wp14:anchorId="4A0764E3" wp14:editId="18B63BBF">
            <wp:extent cx="4825016" cy="7162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4705" cy="7177183"/>
                    </a:xfrm>
                    <a:prstGeom prst="rect">
                      <a:avLst/>
                    </a:prstGeom>
                    <a:noFill/>
                    <a:ln>
                      <a:noFill/>
                    </a:ln>
                  </pic:spPr>
                </pic:pic>
              </a:graphicData>
            </a:graphic>
          </wp:inline>
        </w:drawing>
      </w:r>
    </w:p>
    <w:p w:rsidR="00FA6233" w:rsidRDefault="00FA6233" w:rsidP="00FA6233">
      <w:pPr>
        <w:pStyle w:val="Tabel-RegelafstandEnkel"/>
      </w:pPr>
      <w:r w:rsidRPr="005815FC">
        <w:rPr>
          <w:noProof/>
          <w:lang w:eastAsia="nl-BE"/>
        </w:rPr>
        <w:lastRenderedPageBreak/>
        <w:drawing>
          <wp:inline distT="0" distB="0" distL="0" distR="0" wp14:anchorId="221EDBB7" wp14:editId="14DFC058">
            <wp:extent cx="4257675" cy="5153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5153025"/>
                    </a:xfrm>
                    <a:prstGeom prst="rect">
                      <a:avLst/>
                    </a:prstGeom>
                    <a:noFill/>
                    <a:ln>
                      <a:noFill/>
                    </a:ln>
                  </pic:spPr>
                </pic:pic>
              </a:graphicData>
            </a:graphic>
          </wp:inline>
        </w:drawing>
      </w:r>
    </w:p>
    <w:p w:rsidR="00FA6233" w:rsidRDefault="00FA6233">
      <w:pPr>
        <w:spacing w:before="0" w:line="240" w:lineRule="auto"/>
        <w:jc w:val="left"/>
        <w:rPr>
          <w:b/>
          <w:sz w:val="20"/>
          <w:lang w:val="nl-NL"/>
        </w:rPr>
      </w:pPr>
      <w:r>
        <w:br w:type="page"/>
      </w:r>
    </w:p>
    <w:p w:rsidR="00FA6233" w:rsidRPr="00FA6233" w:rsidRDefault="00FA6233" w:rsidP="00FA6233">
      <w:pPr>
        <w:pStyle w:val="Caption"/>
        <w:keepLines/>
      </w:pPr>
      <w:r w:rsidRPr="00FA6233">
        <w:lastRenderedPageBreak/>
        <w:t>Tabel B</w:t>
      </w:r>
      <w:r w:rsidR="00301DB0">
        <w:fldChar w:fldCharType="begin"/>
      </w:r>
      <w:r w:rsidR="00301DB0">
        <w:instrText xml:space="preserve"> SEQ Table_A \* ARABIC </w:instrText>
      </w:r>
      <w:r w:rsidR="00301DB0">
        <w:fldChar w:fldCharType="separate"/>
      </w:r>
      <w:r w:rsidR="00A65B8D">
        <w:rPr>
          <w:noProof/>
        </w:rPr>
        <w:t>2</w:t>
      </w:r>
      <w:r w:rsidR="00301DB0">
        <w:rPr>
          <w:noProof/>
        </w:rPr>
        <w:fldChar w:fldCharType="end"/>
      </w:r>
      <w:r w:rsidRPr="00FA6233">
        <w:tab/>
        <w:t>Maximale huurprijsgrenzen voor zelfstandige woning per 1 oktober 2015, Nederland</w:t>
      </w:r>
    </w:p>
    <w:p w:rsidR="00FA6233" w:rsidRDefault="00FA6233" w:rsidP="002C003D">
      <w:pPr>
        <w:pStyle w:val="Tabel-RegelafstandEnkel"/>
      </w:pPr>
      <w:bookmarkStart w:id="53" w:name="_GoBack"/>
      <w:r w:rsidRPr="005F0069">
        <w:rPr>
          <w:noProof/>
          <w:lang w:eastAsia="nl-BE"/>
        </w:rPr>
        <w:drawing>
          <wp:inline distT="0" distB="0" distL="0" distR="0" wp14:anchorId="66E2A0AC" wp14:editId="1F3AC2E0">
            <wp:extent cx="4733925" cy="6411637"/>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8105" cy="6417298"/>
                    </a:xfrm>
                    <a:prstGeom prst="rect">
                      <a:avLst/>
                    </a:prstGeom>
                    <a:noFill/>
                    <a:ln>
                      <a:noFill/>
                    </a:ln>
                  </pic:spPr>
                </pic:pic>
              </a:graphicData>
            </a:graphic>
          </wp:inline>
        </w:drawing>
      </w:r>
      <w:bookmarkEnd w:id="53"/>
    </w:p>
    <w:p w:rsidR="00FA6233" w:rsidRDefault="00FA6233" w:rsidP="00FA6233">
      <w:pPr>
        <w:spacing w:before="0" w:line="240" w:lineRule="auto"/>
        <w:jc w:val="left"/>
        <w:rPr>
          <w:rFonts w:ascii="Candara" w:hAnsi="Candara" w:cs="Arial"/>
          <w:b/>
          <w:bCs/>
          <w:iCs/>
          <w:color w:val="491469"/>
          <w:sz w:val="40"/>
          <w:szCs w:val="28"/>
        </w:rPr>
      </w:pPr>
      <w:r>
        <w:br w:type="page"/>
      </w:r>
    </w:p>
    <w:p w:rsidR="00FA6233" w:rsidRDefault="00FA6233" w:rsidP="00FA6233">
      <w:pPr>
        <w:pStyle w:val="Heading6"/>
      </w:pPr>
      <w:r w:rsidRPr="00F31F82">
        <w:lastRenderedPageBreak/>
        <w:t>De huurprijs van een sociale huurwoning</w:t>
      </w:r>
    </w:p>
    <w:p w:rsidR="00FA6233" w:rsidRDefault="00FA6233" w:rsidP="002C003D">
      <w:pPr>
        <w:spacing w:before="0"/>
        <w:rPr>
          <w:lang w:val="nl-NL"/>
        </w:rPr>
      </w:pPr>
      <w:r>
        <w:rPr>
          <w:lang w:val="nl-NL"/>
        </w:rPr>
        <w:t xml:space="preserve">De Vlaamse overheid bepaalt de </w:t>
      </w:r>
      <w:hyperlink r:id="rId47" w:anchor="huurprijs" w:tooltip="De huurprijs is de prijs die de huurder betaalt voor het gebruik van de woning en de gemeenschappelijke delen.&#10;De regelgeving over de tegemoetkoming in de huurprijs vermeldt uitdrukkelijk dat het om de netto-huurprijs gaat. De kosten voor de huur van beroepslo" w:history="1">
        <w:r>
          <w:rPr>
            <w:color w:val="15465B"/>
            <w:lang w:val="nl-NL"/>
          </w:rPr>
          <w:t>huurprijs</w:t>
        </w:r>
      </w:hyperlink>
      <w:r>
        <w:rPr>
          <w:lang w:val="nl-NL"/>
        </w:rPr>
        <w:t xml:space="preserve"> van een sociale huurwoning. Huurder en sociale verhuurder kunnen daar niet van afwijken. De huurprijs wordt berekend op basis van</w:t>
      </w:r>
    </w:p>
    <w:p w:rsidR="00FA6233" w:rsidRDefault="00FA6233" w:rsidP="00FA6233">
      <w:pPr>
        <w:pStyle w:val="ListBullet"/>
        <w:rPr>
          <w:lang w:val="nl-NL"/>
        </w:rPr>
      </w:pPr>
      <w:r>
        <w:rPr>
          <w:lang w:val="nl-NL"/>
        </w:rPr>
        <w:t>het inkomen,</w:t>
      </w:r>
    </w:p>
    <w:p w:rsidR="00FA6233" w:rsidRDefault="00FA6233" w:rsidP="00FA6233">
      <w:pPr>
        <w:pStyle w:val="ListBullet"/>
        <w:rPr>
          <w:lang w:val="nl-NL"/>
        </w:rPr>
      </w:pPr>
      <w:r>
        <w:rPr>
          <w:lang w:val="nl-NL"/>
        </w:rPr>
        <w:t>de waarde van de woning en</w:t>
      </w:r>
    </w:p>
    <w:p w:rsidR="00FA6233" w:rsidRDefault="00FA6233" w:rsidP="00FA6233">
      <w:pPr>
        <w:pStyle w:val="ListBullet"/>
        <w:rPr>
          <w:lang w:val="nl-NL"/>
        </w:rPr>
      </w:pPr>
      <w:r>
        <w:rPr>
          <w:lang w:val="nl-NL"/>
        </w:rPr>
        <w:t>de gezinsgrootte.</w:t>
      </w:r>
    </w:p>
    <w:p w:rsidR="00FA6233" w:rsidRDefault="00FA6233" w:rsidP="002C003D">
      <w:pPr>
        <w:spacing w:before="120"/>
        <w:rPr>
          <w:rFonts w:ascii="fll" w:hAnsi="fll"/>
          <w:color w:val="5E5E5E"/>
          <w:lang w:val="nl-NL"/>
        </w:rPr>
      </w:pPr>
      <w:r>
        <w:rPr>
          <w:lang w:val="nl-NL"/>
        </w:rPr>
        <w:t>De prijs moet betaalbaar zijn, en is nooit hoger dan de prijs van een vergelijkbare woning op de private huurmarkt. Huurders die geen of amper een inkomen hebben betalen de minimale huurprijs.</w:t>
      </w:r>
    </w:p>
    <w:p w:rsidR="00FA6233" w:rsidRDefault="00FA6233" w:rsidP="002C003D">
      <w:pPr>
        <w:spacing w:before="120"/>
        <w:rPr>
          <w:lang w:val="nl-NL"/>
        </w:rPr>
      </w:pPr>
      <w:r>
        <w:rPr>
          <w:lang w:val="nl-NL"/>
        </w:rPr>
        <w:t>Voor de verschillende sociale verhuurders geldt een aparte huurprijsberekening. Enkel de sociale huis</w:t>
      </w:r>
      <w:r w:rsidR="00711296">
        <w:rPr>
          <w:lang w:val="nl-NL"/>
        </w:rPr>
        <w:softHyphen/>
      </w:r>
      <w:r>
        <w:rPr>
          <w:lang w:val="nl-NL"/>
        </w:rPr>
        <w:t>vestingsmaatschappijen hanteren de onderstaande berekeningswijze zoals voorzien in het besluit van de Vlaamse regering van 12 oktober 2007.</w:t>
      </w:r>
    </w:p>
    <w:p w:rsidR="00FA6233" w:rsidRDefault="00FA6233" w:rsidP="00FA6233">
      <w:pPr>
        <w:pStyle w:val="Heading8"/>
        <w:rPr>
          <w:lang w:val="nl-NL"/>
        </w:rPr>
      </w:pPr>
      <w:r w:rsidRPr="00FA6233">
        <w:t>Berekening</w:t>
      </w:r>
      <w:r>
        <w:rPr>
          <w:lang w:val="nl-NL"/>
        </w:rPr>
        <w:t xml:space="preserve"> van de huurprijs van een sociale huurwoning van een sociale huisvestingsmaatschappij</w:t>
      </w:r>
    </w:p>
    <w:p w:rsidR="00FA6233" w:rsidRDefault="00FA6233" w:rsidP="002C003D">
      <w:pPr>
        <w:spacing w:before="120"/>
        <w:rPr>
          <w:lang w:val="nl-NL"/>
        </w:rPr>
      </w:pPr>
      <w:r>
        <w:rPr>
          <w:lang w:val="nl-NL"/>
        </w:rPr>
        <w:t>De berekening van de huurprijs is schematisch weer te geven als volgt:</w:t>
      </w:r>
    </w:p>
    <w:p w:rsidR="00FA6233" w:rsidRPr="00F31F82" w:rsidRDefault="00FA6233" w:rsidP="002C003D">
      <w:pPr>
        <w:spacing w:before="120"/>
        <w:rPr>
          <w:lang w:val="en-US"/>
        </w:rPr>
      </w:pPr>
      <w:r w:rsidRPr="00F31F82">
        <w:rPr>
          <w:lang w:val="en-US"/>
        </w:rPr>
        <w:t>RH = MHP &lt; (I/55 – PK – GK) &lt; BH</w:t>
      </w:r>
    </w:p>
    <w:p w:rsidR="00FA6233" w:rsidRDefault="00FA6233" w:rsidP="00FA6233">
      <w:pPr>
        <w:jc w:val="left"/>
        <w:rPr>
          <w:lang w:val="nl-NL"/>
        </w:rPr>
      </w:pPr>
      <w:r w:rsidRPr="00FA6233">
        <w:t>RH  = reële maandelijkse huurprijs</w:t>
      </w:r>
      <w:r w:rsidRPr="00FA6233">
        <w:br/>
        <w:t>MHP  = minimale huurprijs</w:t>
      </w:r>
      <w:r w:rsidRPr="00FA6233">
        <w:br/>
        <w:t>I    = geïndexeerd jaarinkomen, minstens leefloon</w:t>
      </w:r>
      <w:r w:rsidRPr="00FA6233">
        <w:br/>
        <w:t>PK  = patrimoniumkorting</w:t>
      </w:r>
      <w:r w:rsidRPr="00FA6233">
        <w:br/>
        <w:t>GK  = gezinskorting</w:t>
      </w:r>
      <w:r w:rsidRPr="00FA6233">
        <w:br/>
        <w:t>BH  =</w:t>
      </w:r>
      <w:r>
        <w:rPr>
          <w:lang w:val="nl-NL"/>
        </w:rPr>
        <w:t xml:space="preserve"> basishuurprijs (=marktwaarde bij aanvang huurcontract)</w:t>
      </w:r>
    </w:p>
    <w:p w:rsidR="00FA6233" w:rsidRDefault="00FA6233" w:rsidP="002C003D">
      <w:pPr>
        <w:spacing w:before="120"/>
        <w:rPr>
          <w:lang w:val="nl-NL"/>
        </w:rPr>
      </w:pPr>
      <w:r>
        <w:rPr>
          <w:lang w:val="nl-NL"/>
        </w:rPr>
        <w:t xml:space="preserve">De huurprijs wordt berekend op basis van het inkomen, de waarde van de woning en het aantal </w:t>
      </w:r>
      <w:hyperlink r:id="rId48" w:anchor="persoon_ten_laste" w:tooltip="In de regelgeving mbt tegemoetkomingen voor huisvesting zijn personen ten laste:kinderen jonger dan 18 jaar;kinderen ouder dan 18 jaar waarvoor nog kindergeld of een wezentoelage wordt uitbetaald;personen met een handicap.Volwassen partners, werkloze kinderen " w:history="1">
        <w:r>
          <w:rPr>
            <w:color w:val="15465B"/>
            <w:lang w:val="nl-NL"/>
          </w:rPr>
          <w:t>per</w:t>
        </w:r>
        <w:r w:rsidR="00711296">
          <w:rPr>
            <w:color w:val="15465B"/>
            <w:lang w:val="nl-NL"/>
          </w:rPr>
          <w:softHyphen/>
        </w:r>
        <w:r>
          <w:rPr>
            <w:color w:val="15465B"/>
            <w:lang w:val="nl-NL"/>
          </w:rPr>
          <w:t>sonen ten laste</w:t>
        </w:r>
      </w:hyperlink>
      <w:r>
        <w:rPr>
          <w:lang w:val="nl-NL"/>
        </w:rPr>
        <w:t>.</w:t>
      </w:r>
    </w:p>
    <w:p w:rsidR="00FA6233" w:rsidRDefault="00FA6233" w:rsidP="00FA6233">
      <w:pPr>
        <w:pStyle w:val="Heading8"/>
        <w:rPr>
          <w:lang w:val="nl-NL"/>
        </w:rPr>
      </w:pPr>
      <w:r>
        <w:rPr>
          <w:lang w:val="nl-NL"/>
        </w:rPr>
        <w:t>Inkomen (I)</w:t>
      </w:r>
    </w:p>
    <w:p w:rsidR="00FA6233" w:rsidRDefault="00FA6233" w:rsidP="002C003D">
      <w:pPr>
        <w:spacing w:before="120"/>
        <w:rPr>
          <w:rFonts w:ascii="fll" w:hAnsi="fll"/>
          <w:color w:val="5E5E5E"/>
          <w:lang w:val="nl-NL"/>
        </w:rPr>
      </w:pPr>
      <w:r>
        <w:rPr>
          <w:lang w:val="nl-NL"/>
        </w:rPr>
        <w:t>Normaal betaalt de sociale huurder iets meer dan een vijfde, ofwel 22% van zijn maandinkomen voor zijn sociale huurwoning. Op de private huurmarkt is dat soms meer dan een derde, tot meer dan de helft. Als het inkomen daalt, daalt de huurprijs mee. Als het inkomen blijft dalen, zal de huurder uit</w:t>
      </w:r>
      <w:r w:rsidR="00711296">
        <w:rPr>
          <w:lang w:val="nl-NL"/>
        </w:rPr>
        <w:softHyphen/>
      </w:r>
      <w:r>
        <w:rPr>
          <w:lang w:val="nl-NL"/>
        </w:rPr>
        <w:t>eindelijk de minimale huurprijs blijven betalen. Als het inkomen stijgt, stijgt ook de huurprijs, maar ze wordt nooit hoger dan op de privémarkt.</w:t>
      </w:r>
    </w:p>
    <w:p w:rsidR="00FA6233" w:rsidRDefault="00FA6233" w:rsidP="00FA6233">
      <w:pPr>
        <w:pStyle w:val="Heading8"/>
        <w:rPr>
          <w:lang w:val="nl-NL"/>
        </w:rPr>
      </w:pPr>
      <w:r>
        <w:rPr>
          <w:lang w:val="nl-NL"/>
        </w:rPr>
        <w:t>De waarde van de woning (BH, MHP en PK)</w:t>
      </w:r>
    </w:p>
    <w:p w:rsidR="00FA6233" w:rsidRDefault="00FA6233" w:rsidP="002C003D">
      <w:pPr>
        <w:spacing w:before="120"/>
        <w:rPr>
          <w:rFonts w:ascii="fll" w:hAnsi="fll"/>
          <w:color w:val="5E5E5E"/>
          <w:lang w:val="nl-NL"/>
        </w:rPr>
      </w:pPr>
      <w:r>
        <w:rPr>
          <w:lang w:val="nl-NL"/>
        </w:rPr>
        <w:t>Op basis van de marktwaarde van de woning wordt een korting voorzien. Hoe meer de woning waard is, hoe lager de korting. Dit is de patrimoniumkorting. De maximale patrimoniumkorting is 133 euro en de minimale 0 euro.</w:t>
      </w:r>
    </w:p>
    <w:p w:rsidR="00FA6233" w:rsidRDefault="00FA6233" w:rsidP="002C003D">
      <w:pPr>
        <w:spacing w:before="120"/>
        <w:rPr>
          <w:lang w:val="nl-NL"/>
        </w:rPr>
      </w:pPr>
      <w:r>
        <w:rPr>
          <w:lang w:val="nl-NL"/>
        </w:rPr>
        <w:lastRenderedPageBreak/>
        <w:t>Als het inkomen van de huurder stijgt, stijgt de huurprijs ook. Eens de basishuurprijs voor de woning is bereikt, blijft de huurder die basishuurprijs betalen.</w:t>
      </w:r>
    </w:p>
    <w:p w:rsidR="00FA6233" w:rsidRDefault="00FA6233" w:rsidP="002C003D">
      <w:pPr>
        <w:spacing w:before="120"/>
        <w:rPr>
          <w:lang w:val="nl-NL"/>
        </w:rPr>
      </w:pPr>
      <w:r>
        <w:rPr>
          <w:lang w:val="nl-NL"/>
        </w:rPr>
        <w:t>Als het inkomen van de huurder daalt, kan hij de minimale huurprijs betalen. Die hangt af van de waarde van de woning. Minimaal betaalt de huurder 116 euro voor de woningen met een markt</w:t>
      </w:r>
      <w:r w:rsidR="00711296">
        <w:rPr>
          <w:lang w:val="nl-NL"/>
        </w:rPr>
        <w:softHyphen/>
      </w:r>
      <w:r>
        <w:rPr>
          <w:lang w:val="nl-NL"/>
        </w:rPr>
        <w:t>waarde tot 261 euro. Vanaf een marktwaarde van 677 euro betaalt de huurder minimaal 232 euro.</w:t>
      </w:r>
    </w:p>
    <w:p w:rsidR="00FA6233" w:rsidRDefault="00FA6233" w:rsidP="00FA6233">
      <w:pPr>
        <w:pStyle w:val="Heading8"/>
        <w:rPr>
          <w:lang w:val="nl-NL"/>
        </w:rPr>
      </w:pPr>
      <w:r>
        <w:rPr>
          <w:lang w:val="nl-NL"/>
        </w:rPr>
        <w:t>Personen ten laste (gezinskorting)</w:t>
      </w:r>
    </w:p>
    <w:p w:rsidR="00FA6233" w:rsidRDefault="00FA6233" w:rsidP="002C003D">
      <w:pPr>
        <w:spacing w:before="120"/>
        <w:rPr>
          <w:rFonts w:ascii="fll" w:hAnsi="fll"/>
          <w:color w:val="5E5E5E"/>
          <w:lang w:val="nl-NL"/>
        </w:rPr>
      </w:pPr>
      <w:r>
        <w:rPr>
          <w:lang w:val="nl-NL"/>
        </w:rPr>
        <w:t xml:space="preserve">Een </w:t>
      </w:r>
      <w:hyperlink r:id="rId49" w:anchor="persoon_ten_laste" w:tooltip="In de regelgeving mbt tegemoetkomingen voor huisvesting zijn personen ten laste:kinderen jonger dan 18 jaar;kinderen ouder dan 18 jaar waarvoor nog kindergeld of een wezentoelage wordt uitbetaald;personen met een handicap.Volwassen partners, werkloze kinderen " w:history="1">
        <w:r>
          <w:rPr>
            <w:color w:val="15465B"/>
            <w:lang w:val="nl-NL"/>
          </w:rPr>
          <w:t>persoon ten laste</w:t>
        </w:r>
      </w:hyperlink>
      <w:r>
        <w:rPr>
          <w:lang w:val="nl-NL"/>
        </w:rPr>
        <w:t xml:space="preserve"> is elke persoon die in de huurwoning is gedomicilieerd, en die minderjarig is (of voor wie kinderbijslag of </w:t>
      </w:r>
      <w:proofErr w:type="spellStart"/>
      <w:r>
        <w:rPr>
          <w:lang w:val="nl-NL"/>
        </w:rPr>
        <w:t>wezentoelage</w:t>
      </w:r>
      <w:proofErr w:type="spellEnd"/>
      <w:r>
        <w:rPr>
          <w:lang w:val="nl-NL"/>
        </w:rPr>
        <w:t xml:space="preserve"> wordt betaald), of ernstig gehandicapt is.</w:t>
      </w:r>
    </w:p>
    <w:p w:rsidR="00FA6233" w:rsidRDefault="00FA6233" w:rsidP="002C003D">
      <w:pPr>
        <w:spacing w:before="120"/>
        <w:rPr>
          <w:lang w:val="nl-NL"/>
        </w:rPr>
      </w:pPr>
      <w:r>
        <w:rPr>
          <w:lang w:val="nl-NL"/>
        </w:rPr>
        <w:t>Per persoon ten laste geldt er een korting op de huur van 18 euro. Voor een kind ten laste dat ernstig gehandicapt is, is er een korting van 36 euro.</w:t>
      </w:r>
    </w:p>
    <w:p w:rsidR="00FA6233" w:rsidRDefault="00FA6233" w:rsidP="002C003D">
      <w:pPr>
        <w:spacing w:before="120"/>
        <w:rPr>
          <w:lang w:val="nl-NL"/>
        </w:rPr>
      </w:pPr>
      <w:r>
        <w:rPr>
          <w:lang w:val="nl-NL"/>
        </w:rPr>
        <w:t>Voor kinderen in co-ouderschap die niet in de huurwoning zijn gedomicilieerd, kent men een halve korting (9 euro) toe als de beide ouders hiervoor een verklaring van co-ouderschap ondertekenen.</w:t>
      </w:r>
    </w:p>
    <w:p w:rsidR="00FA6233" w:rsidRDefault="00FA6233" w:rsidP="00FA6233">
      <w:pPr>
        <w:pStyle w:val="Heading8"/>
        <w:rPr>
          <w:lang w:val="nl-NL"/>
        </w:rPr>
      </w:pPr>
      <w:r>
        <w:rPr>
          <w:lang w:val="nl-NL"/>
        </w:rPr>
        <w:t>Transparantie</w:t>
      </w:r>
    </w:p>
    <w:p w:rsidR="00FA6233" w:rsidRDefault="00FA6233" w:rsidP="002C003D">
      <w:pPr>
        <w:spacing w:before="120"/>
        <w:rPr>
          <w:rFonts w:ascii="fll" w:hAnsi="fll"/>
          <w:color w:val="5E5E5E"/>
          <w:lang w:val="nl-NL"/>
        </w:rPr>
      </w:pPr>
      <w:r>
        <w:rPr>
          <w:lang w:val="nl-NL"/>
        </w:rPr>
        <w:t>De waarde van de woning ligt voor maximaal negen jaar vast in de huurovereenkomst. Zo lang kunnende basishuurprijs, minimale huurprijs en patrimoniumkorting enkel worden geïndexeerd. De huurprijs kan alleen nog schommelen door wijzigingen in het inkomen of het aantal personen ten laste.</w:t>
      </w:r>
    </w:p>
    <w:p w:rsidR="00FA6233" w:rsidRDefault="00FA6233" w:rsidP="00FA6233">
      <w:pPr>
        <w:pStyle w:val="Heading8"/>
        <w:rPr>
          <w:lang w:val="nl-NL"/>
        </w:rPr>
      </w:pPr>
      <w:r>
        <w:rPr>
          <w:lang w:val="nl-NL"/>
        </w:rPr>
        <w:t>Aanpassing van de huurprijs</w:t>
      </w:r>
    </w:p>
    <w:p w:rsidR="00FA6233" w:rsidRDefault="00FA6233" w:rsidP="002C003D">
      <w:pPr>
        <w:spacing w:before="120"/>
        <w:rPr>
          <w:lang w:val="nl-NL"/>
        </w:rPr>
      </w:pPr>
      <w:r>
        <w:rPr>
          <w:lang w:val="nl-NL"/>
        </w:rPr>
        <w:t>De huurprijs wordt jaarlijks op 1 januari aangepast. Daarnaast zijn nog bijkomende aanpassingen mogelijk in geval van:</w:t>
      </w:r>
    </w:p>
    <w:p w:rsidR="00FA6233" w:rsidRDefault="00FA6233" w:rsidP="00FA6233">
      <w:pPr>
        <w:pStyle w:val="ListBullet"/>
        <w:rPr>
          <w:lang w:val="nl-NL"/>
        </w:rPr>
      </w:pPr>
      <w:r>
        <w:rPr>
          <w:lang w:val="nl-NL"/>
        </w:rPr>
        <w:t>Pensioen, overlijden of schrapping uit de huurovereenkomst: een gezinslid kan met pensioen gaan, verhuizen of overlijden, waardoor het gezinsinkomen daalt. De huurprijs zal wijzigen vanaf de maand die volgt op de maand waarin de verhuurder de nodige stukken ontving voor een herberekening.</w:t>
      </w:r>
    </w:p>
    <w:p w:rsidR="00FA6233" w:rsidRDefault="00FA6233" w:rsidP="00FA6233">
      <w:pPr>
        <w:pStyle w:val="ListBullet"/>
        <w:rPr>
          <w:lang w:val="nl-NL"/>
        </w:rPr>
      </w:pPr>
      <w:r>
        <w:rPr>
          <w:lang w:val="nl-NL"/>
        </w:rPr>
        <w:t>Daling van het inkomen: als het inkomen na drie opeenvolgende maanden gemiddeld 20% lager is dan het inkomen waarmee de huurprijs werd berekend, dan zal de huurprijs worden aangepast vanaf de maand die volgt op de maand waarin de sociale huisvestingsmaatschappij de nodige stukken ont</w:t>
      </w:r>
      <w:r w:rsidR="00711296">
        <w:rPr>
          <w:lang w:val="nl-NL"/>
        </w:rPr>
        <w:softHyphen/>
      </w:r>
      <w:r>
        <w:rPr>
          <w:lang w:val="nl-NL"/>
        </w:rPr>
        <w:t>ving voor een herberekening. De verhuurder kan het voortbestaan van de daling om de drie maan</w:t>
      </w:r>
      <w:r w:rsidR="00711296">
        <w:rPr>
          <w:lang w:val="nl-NL"/>
        </w:rPr>
        <w:softHyphen/>
      </w:r>
      <w:r>
        <w:rPr>
          <w:lang w:val="nl-NL"/>
        </w:rPr>
        <w:t>den controleren.</w:t>
      </w:r>
    </w:p>
    <w:p w:rsidR="00FA6233" w:rsidRDefault="00FA6233" w:rsidP="00FA6233">
      <w:pPr>
        <w:pStyle w:val="ListBullet"/>
        <w:rPr>
          <w:lang w:val="nl-NL"/>
        </w:rPr>
      </w:pPr>
      <w:r>
        <w:rPr>
          <w:lang w:val="nl-NL"/>
        </w:rPr>
        <w:t>Toetreding van nieuwe huurders: als een bijkomende persoon de woning betrekt, wiens inkomen meetelt voor de huurprijs, dan wordt die opnieuw berekend. De huurprijs verandert vanaf de maand die volgt op de maand waarin die persoon de woning betrok.</w:t>
      </w:r>
    </w:p>
    <w:p w:rsidR="00FA6233" w:rsidRDefault="00FA6233" w:rsidP="00FA6233">
      <w:pPr>
        <w:spacing w:before="0" w:line="240" w:lineRule="auto"/>
        <w:jc w:val="left"/>
        <w:rPr>
          <w:rFonts w:ascii="Candara" w:hAnsi="Candara" w:cs="Arial"/>
          <w:b/>
          <w:bCs/>
          <w:iCs/>
          <w:color w:val="491469"/>
          <w:sz w:val="40"/>
          <w:szCs w:val="28"/>
        </w:rPr>
      </w:pPr>
    </w:p>
    <w:bookmarkEnd w:id="52"/>
    <w:p w:rsidR="00630C95" w:rsidRPr="001E2A27" w:rsidRDefault="00630C95" w:rsidP="00D60CB0">
      <w:pPr>
        <w:pStyle w:val="Title"/>
      </w:pPr>
    </w:p>
    <w:p w:rsidR="00841ED6" w:rsidRPr="008D437F" w:rsidRDefault="00841ED6" w:rsidP="00841ED6">
      <w:pPr>
        <w:pStyle w:val="Bibliografie"/>
      </w:pPr>
    </w:p>
    <w:sectPr w:rsidR="00841ED6" w:rsidRPr="008D437F" w:rsidSect="00CD6AF2">
      <w:headerReference w:type="first" r:id="rId50"/>
      <w:footerReference w:type="first" r:id="rId51"/>
      <w:type w:val="oddPag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DB0" w:rsidRDefault="00301DB0" w:rsidP="0000237E">
      <w:pPr>
        <w:spacing w:line="240" w:lineRule="auto"/>
      </w:pPr>
      <w:r>
        <w:separator/>
      </w:r>
    </w:p>
  </w:endnote>
  <w:endnote w:type="continuationSeparator" w:id="0">
    <w:p w:rsidR="00301DB0" w:rsidRDefault="00301DB0" w:rsidP="00002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
    <w:altName w:val="Times New Roman"/>
    <w:charset w:val="00"/>
    <w:family w:val="auto"/>
    <w:pitch w:val="variable"/>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landersArtSerif-Regular">
    <w:altName w:val="Courier New"/>
    <w:charset w:val="00"/>
    <w:family w:val="auto"/>
    <w:pitch w:val="default"/>
  </w:font>
  <w:font w:name="fl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301DB0" w:rsidRDefault="00301DB0" w:rsidP="00301DB0">
    <w:pPr>
      <w:pStyle w:val="Footer"/>
      <w:pBdr>
        <w:top w:val="single" w:sz="4" w:space="1" w:color="A5A5A5" w:themeColor="background1" w:themeShade="A5"/>
      </w:pBdr>
      <w:jc w:val="right"/>
      <w:rPr>
        <w:color w:val="7F7F7F" w:themeColor="background1" w:themeShade="7F"/>
      </w:rPr>
    </w:pPr>
    <w:r>
      <w:rPr>
        <w:rStyle w:val="Grijs"/>
      </w:rPr>
      <w:t>De Huurschatter. Deel 4. Sociale huurmarktwaarden</w:t>
    </w:r>
    <w:r w:rsidRPr="00301DB0">
      <w:rPr>
        <w:color w:val="7F7F7F" w:themeColor="background1" w:themeShade="7F"/>
      </w:rPr>
      <w:t xml:space="preserve"> | </w:t>
    </w:r>
    <w:r w:rsidRPr="00BF3162">
      <w:rPr>
        <w:color w:val="7F7F7F" w:themeColor="background1" w:themeShade="7F"/>
        <w:lang w:val="en-US"/>
      </w:rPr>
      <w:fldChar w:fldCharType="begin"/>
    </w:r>
    <w:r w:rsidRPr="00301DB0">
      <w:rPr>
        <w:color w:val="7F7F7F" w:themeColor="background1" w:themeShade="7F"/>
      </w:rPr>
      <w:instrText xml:space="preserve"> PAGE   \* MERGEFORMAT </w:instrText>
    </w:r>
    <w:r w:rsidRPr="00BF3162">
      <w:rPr>
        <w:color w:val="7F7F7F" w:themeColor="background1" w:themeShade="7F"/>
        <w:lang w:val="en-US"/>
      </w:rPr>
      <w:fldChar w:fldCharType="separate"/>
    </w:r>
    <w:r w:rsidR="008D437F">
      <w:rPr>
        <w:noProof/>
        <w:color w:val="7F7F7F" w:themeColor="background1" w:themeShade="7F"/>
      </w:rPr>
      <w:t>vi</w:t>
    </w:r>
    <w:r w:rsidRPr="00BF3162">
      <w:rPr>
        <w:color w:val="7F7F7F" w:themeColor="background1" w:themeShade="7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Default="00301D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301DB0" w:rsidRDefault="00301DB0" w:rsidP="00301DB0">
    <w:pPr>
      <w:pStyle w:val="Footer"/>
      <w:pBdr>
        <w:top w:val="single" w:sz="4" w:space="1" w:color="A5A5A5" w:themeColor="background1" w:themeShade="A5"/>
      </w:pBdr>
      <w:jc w:val="right"/>
      <w:rPr>
        <w:color w:val="7F7F7F" w:themeColor="background1" w:themeShade="7F"/>
      </w:rPr>
    </w:pPr>
    <w:r>
      <w:rPr>
        <w:rStyle w:val="Grijs"/>
      </w:rPr>
      <w:t>De Huurschatter. Deel 4. Sociale huurmarktwaarden</w:t>
    </w:r>
    <w:r w:rsidRPr="00301DB0">
      <w:rPr>
        <w:color w:val="7F7F7F" w:themeColor="background1" w:themeShade="7F"/>
      </w:rPr>
      <w:t xml:space="preserve"> | </w:t>
    </w:r>
    <w:r w:rsidRPr="00BF3162">
      <w:rPr>
        <w:color w:val="7F7F7F" w:themeColor="background1" w:themeShade="7F"/>
        <w:lang w:val="en-US"/>
      </w:rPr>
      <w:fldChar w:fldCharType="begin"/>
    </w:r>
    <w:r w:rsidRPr="00301DB0">
      <w:rPr>
        <w:color w:val="7F7F7F" w:themeColor="background1" w:themeShade="7F"/>
      </w:rPr>
      <w:instrText xml:space="preserve"> PAGE   \* MERGEFORMAT </w:instrText>
    </w:r>
    <w:r w:rsidRPr="00BF3162">
      <w:rPr>
        <w:color w:val="7F7F7F" w:themeColor="background1" w:themeShade="7F"/>
        <w:lang w:val="en-US"/>
      </w:rPr>
      <w:fldChar w:fldCharType="separate"/>
    </w:r>
    <w:r w:rsidR="008D437F">
      <w:rPr>
        <w:noProof/>
        <w:color w:val="7F7F7F" w:themeColor="background1" w:themeShade="7F"/>
      </w:rPr>
      <w:t>v</w:t>
    </w:r>
    <w:r w:rsidRPr="00BF3162">
      <w:rPr>
        <w:color w:val="7F7F7F" w:themeColor="background1" w:themeShade="7F"/>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301DB0" w:rsidRDefault="00301DB0" w:rsidP="00301DB0">
    <w:pPr>
      <w:pStyle w:val="Footer"/>
      <w:pBdr>
        <w:top w:val="single" w:sz="4" w:space="1" w:color="A5A5A5" w:themeColor="background1" w:themeShade="A5"/>
      </w:pBdr>
      <w:jc w:val="right"/>
      <w:rPr>
        <w:color w:val="7F7F7F" w:themeColor="background1" w:themeShade="7F"/>
      </w:rPr>
    </w:pPr>
    <w:r>
      <w:rPr>
        <w:rStyle w:val="Grijs"/>
      </w:rPr>
      <w:t>De Huurschatter. Deel 4. Sociale huurmarktwaarden</w:t>
    </w:r>
    <w:r w:rsidRPr="00301DB0">
      <w:rPr>
        <w:color w:val="7F7F7F" w:themeColor="background1" w:themeShade="7F"/>
      </w:rPr>
      <w:t xml:space="preserve"> | </w:t>
    </w:r>
    <w:r w:rsidRPr="00BF3162">
      <w:rPr>
        <w:color w:val="7F7F7F" w:themeColor="background1" w:themeShade="7F"/>
        <w:lang w:val="en-US"/>
      </w:rPr>
      <w:fldChar w:fldCharType="begin"/>
    </w:r>
    <w:r w:rsidRPr="00301DB0">
      <w:rPr>
        <w:color w:val="7F7F7F" w:themeColor="background1" w:themeShade="7F"/>
      </w:rPr>
      <w:instrText xml:space="preserve"> PAGE   \* MERGEFORMAT </w:instrText>
    </w:r>
    <w:r w:rsidRPr="00BF3162">
      <w:rPr>
        <w:color w:val="7F7F7F" w:themeColor="background1" w:themeShade="7F"/>
        <w:lang w:val="en-US"/>
      </w:rPr>
      <w:fldChar w:fldCharType="separate"/>
    </w:r>
    <w:r w:rsidR="008D437F">
      <w:rPr>
        <w:noProof/>
        <w:color w:val="7F7F7F" w:themeColor="background1" w:themeShade="7F"/>
      </w:rPr>
      <w:t>12</w:t>
    </w:r>
    <w:r w:rsidRPr="00BF3162">
      <w:rPr>
        <w:color w:val="7F7F7F" w:themeColor="background1" w:themeShade="7F"/>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301DB0" w:rsidRDefault="00301DB0" w:rsidP="00CD6AF2">
    <w:pPr>
      <w:pStyle w:val="Footer"/>
      <w:pBdr>
        <w:top w:val="single" w:sz="4" w:space="1" w:color="A5A5A5" w:themeColor="background1" w:themeShade="A5"/>
      </w:pBdr>
      <w:jc w:val="right"/>
      <w:rPr>
        <w:color w:val="7F7F7F" w:themeColor="background1" w:themeShade="7F"/>
      </w:rPr>
    </w:pPr>
    <w:r>
      <w:rPr>
        <w:rStyle w:val="Grijs"/>
      </w:rPr>
      <w:t>De Huurschatter. Deel 4. Sociale huurmarktwaarden</w:t>
    </w:r>
    <w:r w:rsidRPr="00301DB0">
      <w:rPr>
        <w:color w:val="7F7F7F" w:themeColor="background1" w:themeShade="7F"/>
      </w:rPr>
      <w:t xml:space="preserve"> | </w:t>
    </w:r>
    <w:r w:rsidRPr="00BF3162">
      <w:rPr>
        <w:color w:val="7F7F7F" w:themeColor="background1" w:themeShade="7F"/>
        <w:lang w:val="en-US"/>
      </w:rPr>
      <w:fldChar w:fldCharType="begin"/>
    </w:r>
    <w:r w:rsidRPr="00301DB0">
      <w:rPr>
        <w:color w:val="7F7F7F" w:themeColor="background1" w:themeShade="7F"/>
      </w:rPr>
      <w:instrText xml:space="preserve"> PAGE   \* MERGEFORMAT </w:instrText>
    </w:r>
    <w:r w:rsidRPr="00BF3162">
      <w:rPr>
        <w:color w:val="7F7F7F" w:themeColor="background1" w:themeShade="7F"/>
        <w:lang w:val="en-US"/>
      </w:rPr>
      <w:fldChar w:fldCharType="separate"/>
    </w:r>
    <w:r w:rsidR="008D437F">
      <w:rPr>
        <w:noProof/>
        <w:color w:val="7F7F7F" w:themeColor="background1" w:themeShade="7F"/>
      </w:rPr>
      <w:t>vii</w:t>
    </w:r>
    <w:r w:rsidRPr="00BF3162">
      <w:rPr>
        <w:color w:val="7F7F7F" w:themeColor="background1" w:themeShade="7F"/>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9E4" w:rsidRPr="00301DB0" w:rsidRDefault="007559E4" w:rsidP="00CD6AF2">
    <w:pPr>
      <w:pStyle w:val="Footer"/>
      <w:pBdr>
        <w:top w:val="single" w:sz="4" w:space="1" w:color="A5A5A5" w:themeColor="background1" w:themeShade="A5"/>
      </w:pBdr>
      <w:jc w:val="right"/>
      <w:rPr>
        <w:color w:val="7F7F7F" w:themeColor="background1" w:themeShade="7F"/>
      </w:rPr>
    </w:pPr>
    <w:r>
      <w:rPr>
        <w:rStyle w:val="Grijs"/>
      </w:rPr>
      <w:t>De Huurschatter. Deel 4. Sociale huurmarktwaarden</w:t>
    </w:r>
    <w:r w:rsidRPr="00301DB0">
      <w:rPr>
        <w:color w:val="7F7F7F" w:themeColor="background1" w:themeShade="7F"/>
      </w:rPr>
      <w:t xml:space="preserve"> | </w:t>
    </w:r>
    <w:r w:rsidRPr="00BF3162">
      <w:rPr>
        <w:color w:val="7F7F7F" w:themeColor="background1" w:themeShade="7F"/>
        <w:lang w:val="en-US"/>
      </w:rPr>
      <w:fldChar w:fldCharType="begin"/>
    </w:r>
    <w:r w:rsidRPr="00301DB0">
      <w:rPr>
        <w:color w:val="7F7F7F" w:themeColor="background1" w:themeShade="7F"/>
      </w:rPr>
      <w:instrText xml:space="preserve"> PAGE   \* MERGEFORMAT </w:instrText>
    </w:r>
    <w:r w:rsidRPr="00BF3162">
      <w:rPr>
        <w:color w:val="7F7F7F" w:themeColor="background1" w:themeShade="7F"/>
        <w:lang w:val="en-US"/>
      </w:rPr>
      <w:fldChar w:fldCharType="separate"/>
    </w:r>
    <w:r w:rsidR="008D437F">
      <w:rPr>
        <w:noProof/>
        <w:color w:val="7F7F7F" w:themeColor="background1" w:themeShade="7F"/>
      </w:rPr>
      <w:t>1</w:t>
    </w:r>
    <w:r w:rsidRPr="00BF3162">
      <w:rPr>
        <w:color w:val="7F7F7F" w:themeColor="background1" w:themeShade="7F"/>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CD6AF2" w:rsidRDefault="00A65B8D" w:rsidP="00CD6AF2">
    <w:pPr>
      <w:pStyle w:val="Footer"/>
      <w:pBdr>
        <w:top w:val="single" w:sz="4" w:space="1" w:color="A5A5A5" w:themeColor="background1" w:themeShade="A5"/>
      </w:pBdr>
      <w:jc w:val="right"/>
      <w:rPr>
        <w:color w:val="7F7F7F" w:themeColor="background1" w:themeShade="7F"/>
        <w:lang w:val="en-US"/>
      </w:rPr>
    </w:pPr>
    <w:r>
      <w:rPr>
        <w:rStyle w:val="Grijs"/>
      </w:rPr>
      <w:t>De Huurschatter. Deel 4. Sociale huurmarktwaarden</w:t>
    </w:r>
    <w:r w:rsidRPr="00301DB0">
      <w:rPr>
        <w:color w:val="7F7F7F" w:themeColor="background1" w:themeShade="7F"/>
      </w:rPr>
      <w:t xml:space="preserve"> </w:t>
    </w:r>
    <w:r w:rsidR="00301DB0" w:rsidRPr="00BF3162">
      <w:rPr>
        <w:color w:val="7F7F7F" w:themeColor="background1" w:themeShade="7F"/>
        <w:lang w:val="en-US"/>
      </w:rPr>
      <w:t xml:space="preserve">| </w:t>
    </w:r>
    <w:r w:rsidR="00301DB0" w:rsidRPr="00BF3162">
      <w:rPr>
        <w:color w:val="7F7F7F" w:themeColor="background1" w:themeShade="7F"/>
        <w:lang w:val="en-US"/>
      </w:rPr>
      <w:fldChar w:fldCharType="begin"/>
    </w:r>
    <w:r w:rsidR="00301DB0" w:rsidRPr="00BF3162">
      <w:rPr>
        <w:color w:val="7F7F7F" w:themeColor="background1" w:themeShade="7F"/>
        <w:lang w:val="en-US"/>
      </w:rPr>
      <w:instrText xml:space="preserve"> PAGE   \* MERGEFORMAT </w:instrText>
    </w:r>
    <w:r w:rsidR="00301DB0" w:rsidRPr="00BF3162">
      <w:rPr>
        <w:color w:val="7F7F7F" w:themeColor="background1" w:themeShade="7F"/>
        <w:lang w:val="en-US"/>
      </w:rPr>
      <w:fldChar w:fldCharType="separate"/>
    </w:r>
    <w:r w:rsidR="008D437F">
      <w:rPr>
        <w:noProof/>
        <w:color w:val="7F7F7F" w:themeColor="background1" w:themeShade="7F"/>
        <w:lang w:val="en-US"/>
      </w:rPr>
      <w:t>41</w:t>
    </w:r>
    <w:r w:rsidR="00301DB0" w:rsidRPr="00BF3162">
      <w:rPr>
        <w:color w:val="7F7F7F" w:themeColor="background1" w:themeShade="7F"/>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CD6AF2" w:rsidRDefault="00A65B8D" w:rsidP="00CD6AF2">
    <w:pPr>
      <w:pStyle w:val="Footer"/>
      <w:pBdr>
        <w:top w:val="single" w:sz="4" w:space="1" w:color="A5A5A5" w:themeColor="background1" w:themeShade="A5"/>
      </w:pBdr>
      <w:jc w:val="right"/>
      <w:rPr>
        <w:color w:val="7F7F7F" w:themeColor="background1" w:themeShade="7F"/>
        <w:lang w:val="en-US"/>
      </w:rPr>
    </w:pPr>
    <w:r w:rsidRPr="00A65B8D">
      <w:rPr>
        <w:rStyle w:val="Grijs"/>
      </w:rPr>
      <w:t>De Huurschatter. Deel 4. Sociale huurmarktwaarden</w:t>
    </w:r>
    <w:r w:rsidR="00301DB0" w:rsidRPr="00BF3162">
      <w:rPr>
        <w:color w:val="7F7F7F" w:themeColor="background1" w:themeShade="7F"/>
        <w:lang w:val="en-US"/>
      </w:rPr>
      <w:t xml:space="preserve"> | </w:t>
    </w:r>
    <w:r w:rsidR="00301DB0" w:rsidRPr="00BF3162">
      <w:rPr>
        <w:color w:val="7F7F7F" w:themeColor="background1" w:themeShade="7F"/>
        <w:lang w:val="en-US"/>
      </w:rPr>
      <w:fldChar w:fldCharType="begin"/>
    </w:r>
    <w:r w:rsidR="00301DB0" w:rsidRPr="00BF3162">
      <w:rPr>
        <w:color w:val="7F7F7F" w:themeColor="background1" w:themeShade="7F"/>
        <w:lang w:val="en-US"/>
      </w:rPr>
      <w:instrText xml:space="preserve"> PAGE   \* MERGEFORMAT </w:instrText>
    </w:r>
    <w:r w:rsidR="00301DB0" w:rsidRPr="00BF3162">
      <w:rPr>
        <w:color w:val="7F7F7F" w:themeColor="background1" w:themeShade="7F"/>
        <w:lang w:val="en-US"/>
      </w:rPr>
      <w:fldChar w:fldCharType="separate"/>
    </w:r>
    <w:r w:rsidR="008D437F">
      <w:rPr>
        <w:noProof/>
        <w:color w:val="7F7F7F" w:themeColor="background1" w:themeShade="7F"/>
        <w:lang w:val="en-US"/>
      </w:rPr>
      <w:t>43</w:t>
    </w:r>
    <w:r w:rsidR="00301DB0" w:rsidRPr="00BF3162">
      <w:rPr>
        <w:color w:val="7F7F7F" w:themeColor="background1" w:themeShade="7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DB0" w:rsidRPr="001B107E" w:rsidRDefault="00301DB0" w:rsidP="00393E5B">
      <w:pPr>
        <w:spacing w:before="0" w:line="240" w:lineRule="auto"/>
        <w:rPr>
          <w:color w:val="A6A6A6" w:themeColor="background1" w:themeShade="A6"/>
        </w:rPr>
      </w:pPr>
      <w:r w:rsidRPr="001B107E">
        <w:rPr>
          <w:color w:val="A6A6A6" w:themeColor="background1" w:themeShade="A6"/>
        </w:rPr>
        <w:separator/>
      </w:r>
    </w:p>
  </w:footnote>
  <w:footnote w:type="continuationSeparator" w:id="0">
    <w:p w:rsidR="00301DB0" w:rsidRPr="005C6E3D" w:rsidRDefault="00301DB0" w:rsidP="00A634F3">
      <w:pPr>
        <w:pStyle w:val="Footer"/>
        <w:pBdr>
          <w:bottom w:val="dashSmallGap" w:sz="4" w:space="1" w:color="808080"/>
        </w:pBdr>
        <w:ind w:right="3969"/>
      </w:pPr>
    </w:p>
  </w:footnote>
  <w:footnote w:id="1">
    <w:p w:rsidR="00301DB0" w:rsidRDefault="00301DB0" w:rsidP="0008544A">
      <w:pPr>
        <w:pStyle w:val="FootnoteText"/>
      </w:pPr>
      <w:r>
        <w:rPr>
          <w:rStyle w:val="FootnoteReference"/>
        </w:rPr>
        <w:footnoteRef/>
      </w:r>
      <w:r>
        <w:tab/>
        <w:t>C</w:t>
      </w:r>
      <w:r w:rsidRPr="00BB7CA9">
        <w:t>irculaire Aanpassingen woningwaarderings</w:t>
      </w:r>
      <w:r>
        <w:t>stelsel 2015-04 2014-0000685462.</w:t>
      </w:r>
    </w:p>
  </w:footnote>
  <w:footnote w:id="2">
    <w:p w:rsidR="00301DB0" w:rsidRDefault="00301DB0" w:rsidP="0008544A">
      <w:pPr>
        <w:pStyle w:val="FootnoteText"/>
      </w:pPr>
      <w:r>
        <w:rPr>
          <w:rStyle w:val="FootnoteReference"/>
        </w:rPr>
        <w:footnoteRef/>
      </w:r>
      <w:r>
        <w:t xml:space="preserve"> </w:t>
      </w:r>
      <w:r>
        <w:tab/>
      </w:r>
      <w:hyperlink r:id="rId1" w:history="1">
        <w:r w:rsidRPr="007438F3">
          <w:rPr>
            <w:rStyle w:val="Hyperlink"/>
          </w:rPr>
          <w:t>http://www2.vlaanderen.be/economie/energiesparen/epb/doc/veelgemaaktefout_brutovloeropp.pdf</w:t>
        </w:r>
      </w:hyperlink>
    </w:p>
    <w:p w:rsidR="00301DB0" w:rsidRDefault="00301DB0" w:rsidP="0008544A">
      <w:pPr>
        <w:pStyle w:val="FootnoteText"/>
      </w:pPr>
    </w:p>
  </w:footnote>
  <w:footnote w:id="3">
    <w:p w:rsidR="00301DB0" w:rsidRDefault="00301DB0" w:rsidP="0008544A">
      <w:pPr>
        <w:pStyle w:val="FootnoteText"/>
      </w:pPr>
      <w:r>
        <w:rPr>
          <w:rStyle w:val="FootnoteReference"/>
        </w:rPr>
        <w:footnoteRef/>
      </w:r>
      <w:r>
        <w:t xml:space="preserve"> </w:t>
      </w:r>
      <w:r>
        <w:tab/>
        <w:t xml:space="preserve">Dit in de veronderstelling dat een privaat huurappartement in een statistische sector met sociale huisvesting erop wijst dat de sociale huisvesting daar eveneens bestaat uit appartementen. </w:t>
      </w:r>
    </w:p>
  </w:footnote>
  <w:footnote w:id="4">
    <w:p w:rsidR="00301DB0" w:rsidRDefault="00301DB0" w:rsidP="0008544A">
      <w:pPr>
        <w:pStyle w:val="FootnoteText"/>
      </w:pPr>
      <w:r>
        <w:rPr>
          <w:rStyle w:val="FootnoteReference"/>
        </w:rPr>
        <w:footnoteRef/>
      </w:r>
      <w:r>
        <w:t xml:space="preserve"> </w:t>
      </w:r>
      <w:r>
        <w:tab/>
        <w:t xml:space="preserve">Voor meer detail zie: </w:t>
      </w:r>
      <w:r w:rsidRPr="00024E6B">
        <w:t>https://www.wonenvlaanderen.be/sociale-verhuur/de-huurprijs-van-een-sociale-huurwoning</w:t>
      </w:r>
    </w:p>
  </w:footnote>
  <w:footnote w:id="5">
    <w:p w:rsidR="00301DB0" w:rsidRDefault="00301DB0" w:rsidP="0008544A">
      <w:pPr>
        <w:pStyle w:val="FootnoteText"/>
      </w:pPr>
      <w:r>
        <w:rPr>
          <w:rStyle w:val="FootnoteReference"/>
        </w:rPr>
        <w:footnoteRef/>
      </w:r>
      <w:r>
        <w:t xml:space="preserve"> schatting Huurschatter 2015 = β* huur 2008 door notaris, zonder constante</w:t>
      </w:r>
    </w:p>
  </w:footnote>
  <w:footnote w:id="6">
    <w:p w:rsidR="00301DB0" w:rsidRDefault="00301DB0" w:rsidP="0008544A">
      <w:pPr>
        <w:pStyle w:val="FootnoteText"/>
        <w:ind w:left="0" w:firstLine="0"/>
      </w:pPr>
    </w:p>
  </w:footnote>
  <w:footnote w:id="7">
    <w:p w:rsidR="00301DB0" w:rsidRDefault="00301DB0" w:rsidP="0008544A">
      <w:pPr>
        <w:pStyle w:val="FootnoteText"/>
      </w:pPr>
      <w:r>
        <w:rPr>
          <w:rStyle w:val="FootnoteReference"/>
        </w:rPr>
        <w:footnoteRef/>
      </w:r>
      <w:r>
        <w:t xml:space="preserve"> </w:t>
      </w:r>
      <w:r>
        <w:tab/>
      </w:r>
      <w:r w:rsidRPr="000D55B2">
        <w:t>http://www.energiesparen.be/epcparticulier/inhoud</w:t>
      </w:r>
    </w:p>
  </w:footnote>
  <w:footnote w:id="8">
    <w:p w:rsidR="00301DB0" w:rsidRDefault="00301DB0" w:rsidP="0008544A">
      <w:pPr>
        <w:pStyle w:val="FootnoteText"/>
      </w:pPr>
      <w:r>
        <w:rPr>
          <w:rStyle w:val="FootnoteReference"/>
        </w:rPr>
        <w:footnoteRef/>
      </w:r>
      <w:r>
        <w:t xml:space="preserve"> </w:t>
      </w:r>
      <w:r>
        <w:tab/>
        <w:t>De enige coëfficiënt waarvan we een iets positiever teken hadden verwacht waren de woningen met een bouwjaar voor 1914, waarvan we verwachtten dat de EPC hoger zou zijn dan de woningen die gebouwd waren in de periode 1950-1960.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Default="00301DB0">
    <w:pPr>
      <w:pStyle w:val="Header"/>
    </w:pPr>
    <w:r>
      <w:rPr>
        <w:lang w:eastAsia="nl-BE"/>
      </w:rPr>
      <w:drawing>
        <wp:anchor distT="0" distB="0" distL="114300" distR="114300" simplePos="0" relativeHeight="251661312" behindDoc="1" locked="0" layoutInCell="1" allowOverlap="1" wp14:anchorId="21BD30B0" wp14:editId="72018B6E">
          <wp:simplePos x="0" y="0"/>
          <wp:positionH relativeFrom="page">
            <wp:align>center</wp:align>
          </wp:positionH>
          <wp:positionV relativeFrom="page">
            <wp:posOffset>2088515</wp:posOffset>
          </wp:positionV>
          <wp:extent cx="14035385" cy="9360000"/>
          <wp:effectExtent l="19050" t="0" r="4465" b="0"/>
          <wp:wrapNone/>
          <wp:docPr id="26" name="Picture 0" descr="bgsteunp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steunp_groot.jpg"/>
                  <pic:cNvPicPr/>
                </pic:nvPicPr>
                <pic:blipFill>
                  <a:blip r:embed="rId1"/>
                  <a:stretch>
                    <a:fillRect/>
                  </a:stretch>
                </pic:blipFill>
                <pic:spPr>
                  <a:xfrm>
                    <a:off x="0" y="0"/>
                    <a:ext cx="14035385" cy="9360000"/>
                  </a:xfrm>
                  <a:prstGeom prst="rect">
                    <a:avLst/>
                  </a:prstGeom>
                </pic:spPr>
              </pic:pic>
            </a:graphicData>
          </a:graphic>
        </wp:anchor>
      </w:drawing>
    </w:r>
    <w:r>
      <w:rPr>
        <w:lang w:eastAsia="nl-BE"/>
      </w:rPr>
      <mc:AlternateContent>
        <mc:Choice Requires="wps">
          <w:drawing>
            <wp:anchor distT="0" distB="0" distL="114300" distR="114300" simplePos="0" relativeHeight="251660288" behindDoc="0" locked="0" layoutInCell="1" allowOverlap="1" wp14:anchorId="404EDD58" wp14:editId="2C8E3F7A">
              <wp:simplePos x="0" y="0"/>
              <wp:positionH relativeFrom="page">
                <wp:align>center</wp:align>
              </wp:positionH>
              <wp:positionV relativeFrom="page">
                <wp:posOffset>2088515</wp:posOffset>
              </wp:positionV>
              <wp:extent cx="7560310" cy="1979930"/>
              <wp:effectExtent l="0" t="2540" r="254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979930"/>
                      </a:xfrm>
                      <a:prstGeom prst="rect">
                        <a:avLst/>
                      </a:prstGeom>
                      <a:solidFill>
                        <a:srgbClr val="FFBF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DB0" w:rsidRDefault="00301DB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EDD58" id="_x0000_t202" coordsize="21600,21600" o:spt="202" path="m,l,21600r21600,l21600,xe">
              <v:stroke joinstyle="miter"/>
              <v:path gradientshapeok="t" o:connecttype="rect"/>
            </v:shapetype>
            <v:shape id="Text Box 10" o:spid="_x0000_s1045" type="#_x0000_t202" style="position:absolute;left:0;text-align:left;margin-left:0;margin-top:164.45pt;width:595.3pt;height:155.9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" fillcolor="#ffbf11" stroked="f">
              <v:textbox style="layout-flow:vertical;mso-layout-flow-alt:bottom-to-top">
                <w:txbxContent>
                  <w:p w:rsidR="00301DB0" w:rsidRDefault="00301DB0"/>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Default="00301DB0" w:rsidP="002D51AA">
    <w:pPr>
      <w:pStyle w:val="Header"/>
      <w:spacing w:before="48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Default="00301DB0" w:rsidP="002D51AA">
    <w:pPr>
      <w:pStyle w:val="Header"/>
      <w:spacing w:before="48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89432E" w:rsidRDefault="00301DB0" w:rsidP="007F1B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89432E" w:rsidRDefault="00301DB0" w:rsidP="007F1B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89432E" w:rsidRDefault="00301DB0" w:rsidP="007F1B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DB0" w:rsidRPr="0089432E" w:rsidRDefault="00301DB0" w:rsidP="007F1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20ED5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B0286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0E1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1424FC"/>
    <w:lvl w:ilvl="0">
      <w:start w:val="1"/>
      <w:numFmt w:val="decimal"/>
      <w:pStyle w:val="ListNumber2"/>
      <w:lvlText w:val="%1."/>
      <w:lvlJc w:val="left"/>
      <w:pPr>
        <w:tabs>
          <w:tab w:val="num" w:pos="624"/>
        </w:tabs>
        <w:ind w:left="624" w:hanging="284"/>
      </w:pPr>
      <w:rPr>
        <w:rFonts w:hint="default"/>
      </w:rPr>
    </w:lvl>
  </w:abstractNum>
  <w:abstractNum w:abstractNumId="4" w15:restartNumberingAfterBreak="0">
    <w:nsid w:val="FFFFFF80"/>
    <w:multiLevelType w:val="singleLevel"/>
    <w:tmpl w:val="55F614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92924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60529C"/>
    <w:lvl w:ilvl="0">
      <w:start w:val="1"/>
      <w:numFmt w:val="bullet"/>
      <w:pStyle w:val="ListBullet3"/>
      <w:lvlText w:val="-"/>
      <w:lvlJc w:val="left"/>
      <w:pPr>
        <w:tabs>
          <w:tab w:val="num" w:pos="510"/>
        </w:tabs>
        <w:ind w:left="510" w:hanging="170"/>
      </w:pPr>
      <w:rPr>
        <w:rFonts w:ascii="Garamond" w:hAnsi="Garamond" w:hint="default"/>
        <w:color w:val="auto"/>
      </w:rPr>
    </w:lvl>
  </w:abstractNum>
  <w:abstractNum w:abstractNumId="7" w15:restartNumberingAfterBreak="0">
    <w:nsid w:val="FFFFFF83"/>
    <w:multiLevelType w:val="singleLevel"/>
    <w:tmpl w:val="1A549152"/>
    <w:lvl w:ilvl="0">
      <w:start w:val="1"/>
      <w:numFmt w:val="bullet"/>
      <w:pStyle w:val="ListBullet2"/>
      <w:lvlText w:val="-"/>
      <w:lvlJc w:val="left"/>
      <w:pPr>
        <w:tabs>
          <w:tab w:val="num" w:pos="170"/>
        </w:tabs>
        <w:ind w:left="340" w:hanging="170"/>
      </w:pPr>
      <w:rPr>
        <w:rFonts w:ascii="Garamond" w:hAnsi="Garamond" w:hint="default"/>
        <w:color w:val="auto"/>
      </w:rPr>
    </w:lvl>
  </w:abstractNum>
  <w:abstractNum w:abstractNumId="8" w15:restartNumberingAfterBreak="0">
    <w:nsid w:val="FFFFFF88"/>
    <w:multiLevelType w:val="singleLevel"/>
    <w:tmpl w:val="08130017"/>
    <w:lvl w:ilvl="0">
      <w:start w:val="1"/>
      <w:numFmt w:val="lowerLetter"/>
      <w:lvlText w:val="%1)"/>
      <w:lvlJc w:val="left"/>
      <w:pPr>
        <w:ind w:left="720" w:hanging="360"/>
      </w:pPr>
      <w:rPr>
        <w:rFonts w:hint="default"/>
      </w:rPr>
    </w:lvl>
  </w:abstractNum>
  <w:abstractNum w:abstractNumId="9" w15:restartNumberingAfterBreak="0">
    <w:nsid w:val="FFFFFF89"/>
    <w:multiLevelType w:val="singleLevel"/>
    <w:tmpl w:val="FF6EC41C"/>
    <w:lvl w:ilvl="0">
      <w:start w:val="1"/>
      <w:numFmt w:val="bullet"/>
      <w:pStyle w:val="ListBullet"/>
      <w:lvlText w:val="-"/>
      <w:lvlJc w:val="left"/>
      <w:pPr>
        <w:tabs>
          <w:tab w:val="num" w:pos="170"/>
        </w:tabs>
        <w:ind w:left="170" w:hanging="170"/>
      </w:pPr>
      <w:rPr>
        <w:rFonts w:ascii="Garamond" w:hAnsi="Garamond" w:hint="default"/>
        <w:color w:val="auto"/>
      </w:rPr>
    </w:lvl>
  </w:abstractNum>
  <w:abstractNum w:abstractNumId="10" w15:restartNumberingAfterBreak="0">
    <w:nsid w:val="0A476943"/>
    <w:multiLevelType w:val="multilevel"/>
    <w:tmpl w:val="0150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0B1BD6"/>
    <w:multiLevelType w:val="hybridMultilevel"/>
    <w:tmpl w:val="4854536A"/>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41D3F98"/>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4C913C2"/>
    <w:multiLevelType w:val="multilevel"/>
    <w:tmpl w:val="3D2E950E"/>
    <w:styleLink w:val="WWNum3"/>
    <w:lvl w:ilvl="0">
      <w:numFmt w:val="bullet"/>
      <w:lvlText w:val="-"/>
      <w:lvlJc w:val="left"/>
      <w:pPr>
        <w:ind w:left="720" w:hanging="360"/>
      </w:pPr>
      <w:rPr>
        <w:rFonts w:ascii="Calibri" w:hAnsi="Calibri" w:cs="F"/>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A44642"/>
    <w:multiLevelType w:val="multilevel"/>
    <w:tmpl w:val="1D6A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D267D"/>
    <w:multiLevelType w:val="hybridMultilevel"/>
    <w:tmpl w:val="DF020FF6"/>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9C11125"/>
    <w:multiLevelType w:val="hybridMultilevel"/>
    <w:tmpl w:val="C8E453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8FD5F71"/>
    <w:multiLevelType w:val="multilevel"/>
    <w:tmpl w:val="5D7E3D66"/>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lowerLetter"/>
      <w:pStyle w:val="Heading5"/>
      <w:lvlText w:val="%5)"/>
      <w:lvlJc w:val="left"/>
      <w:pPr>
        <w:tabs>
          <w:tab w:val="num" w:pos="340"/>
        </w:tabs>
        <w:ind w:left="340" w:hanging="340"/>
      </w:pPr>
      <w:rPr>
        <w:rFonts w:hint="default"/>
      </w:rPr>
    </w:lvl>
    <w:lvl w:ilvl="5">
      <w:start w:val="1"/>
      <w:numFmt w:val="decimal"/>
      <w:pStyle w:val="Heading6"/>
      <w:lvlText w:val="Bijlage %6"/>
      <w:lvlJc w:val="left"/>
      <w:pPr>
        <w:tabs>
          <w:tab w:val="num" w:pos="1418"/>
        </w:tabs>
        <w:ind w:left="1418" w:hanging="1418"/>
      </w:pPr>
      <w:rPr>
        <w:rFonts w:hint="default"/>
      </w:rPr>
    </w:lvl>
    <w:lvl w:ilvl="6">
      <w:start w:val="1"/>
      <w:numFmt w:val="decimal"/>
      <w:pStyle w:val="Heading7"/>
      <w:lvlText w:val="B%6.%7"/>
      <w:lvlJc w:val="left"/>
      <w:pPr>
        <w:tabs>
          <w:tab w:val="num" w:pos="680"/>
        </w:tabs>
        <w:ind w:left="680" w:hanging="680"/>
      </w:pPr>
      <w:rPr>
        <w:rFonts w:hint="default"/>
      </w:rPr>
    </w:lvl>
    <w:lvl w:ilvl="7">
      <w:start w:val="1"/>
      <w:numFmt w:val="decimal"/>
      <w:pStyle w:val="Heading8"/>
      <w:lvlText w:val="B%6.%7.%8"/>
      <w:lvlJc w:val="left"/>
      <w:pPr>
        <w:tabs>
          <w:tab w:val="num" w:pos="851"/>
        </w:tabs>
        <w:ind w:left="851" w:hanging="851"/>
      </w:pPr>
      <w:rPr>
        <w:rFonts w:hint="default"/>
      </w:rPr>
    </w:lvl>
    <w:lvl w:ilvl="8">
      <w:start w:val="1"/>
      <w:numFmt w:val="decimal"/>
      <w:pStyle w:val="Heading9"/>
      <w:lvlText w:val="B%6.%7.%8.%9"/>
      <w:lvlJc w:val="left"/>
      <w:pPr>
        <w:tabs>
          <w:tab w:val="num" w:pos="1021"/>
        </w:tabs>
        <w:ind w:left="1021" w:hanging="1021"/>
      </w:pPr>
      <w:rPr>
        <w:rFonts w:hint="default"/>
      </w:rPr>
    </w:lvl>
  </w:abstractNum>
  <w:abstractNum w:abstractNumId="18" w15:restartNumberingAfterBreak="0">
    <w:nsid w:val="49D07296"/>
    <w:multiLevelType w:val="multilevel"/>
    <w:tmpl w:val="240C3610"/>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5197A8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0D76FD6"/>
    <w:multiLevelType w:val="multilevel"/>
    <w:tmpl w:val="0413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9"/>
  </w:num>
  <w:num w:numId="9">
    <w:abstractNumId w:val="12"/>
  </w:num>
  <w:num w:numId="10">
    <w:abstractNumId w:val="20"/>
  </w:num>
  <w:num w:numId="11">
    <w:abstractNumId w:val="9"/>
  </w:num>
  <w:num w:numId="12">
    <w:abstractNumId w:val="7"/>
  </w:num>
  <w:num w:numId="13">
    <w:abstractNumId w:val="8"/>
  </w:num>
  <w:num w:numId="14">
    <w:abstractNumId w:val="17"/>
  </w:num>
  <w:num w:numId="15">
    <w:abstractNumId w:val="17"/>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680"/>
          </w:tabs>
          <w:ind w:left="680" w:hanging="680"/>
        </w:pPr>
        <w:rPr>
          <w:rFonts w:hint="default"/>
        </w:rPr>
      </w:lvl>
    </w:lvlOverride>
    <w:lvlOverride w:ilvl="3">
      <w:lvl w:ilvl="3">
        <w:start w:val="1"/>
        <w:numFmt w:val="decimal"/>
        <w:pStyle w:val="Heading4"/>
        <w:lvlText w:val="%1.%2.%3.%4"/>
        <w:lvlJc w:val="left"/>
        <w:pPr>
          <w:tabs>
            <w:tab w:val="num" w:pos="851"/>
          </w:tabs>
          <w:ind w:left="851" w:hanging="851"/>
        </w:pPr>
        <w:rPr>
          <w:rFonts w:hint="default"/>
        </w:rPr>
      </w:lvl>
    </w:lvlOverride>
    <w:lvlOverride w:ilvl="4">
      <w:lvl w:ilvl="4">
        <w:start w:val="1"/>
        <w:numFmt w:val="lowerLetter"/>
        <w:pStyle w:val="Heading5"/>
        <w:lvlText w:val="%5)"/>
        <w:lvlJc w:val="left"/>
        <w:pPr>
          <w:tabs>
            <w:tab w:val="num" w:pos="340"/>
          </w:tabs>
          <w:ind w:left="340" w:hanging="340"/>
        </w:pPr>
        <w:rPr>
          <w:rFonts w:hint="default"/>
        </w:rPr>
      </w:lvl>
    </w:lvlOverride>
    <w:lvlOverride w:ilvl="5">
      <w:lvl w:ilvl="5">
        <w:start w:val="1"/>
        <w:numFmt w:val="decimal"/>
        <w:pStyle w:val="Heading6"/>
        <w:lvlText w:val="Bijlage %6"/>
        <w:lvlJc w:val="left"/>
        <w:pPr>
          <w:tabs>
            <w:tab w:val="num" w:pos="1588"/>
          </w:tabs>
          <w:ind w:left="1588" w:hanging="15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pStyle w:val="Heading7"/>
        <w:lvlText w:val="B%6.%7"/>
        <w:lvlJc w:val="left"/>
        <w:pPr>
          <w:tabs>
            <w:tab w:val="num" w:pos="680"/>
          </w:tabs>
          <w:ind w:left="680" w:hanging="680"/>
        </w:pPr>
        <w:rPr>
          <w:rFonts w:hint="default"/>
        </w:rPr>
      </w:lvl>
    </w:lvlOverride>
    <w:lvlOverride w:ilvl="7">
      <w:lvl w:ilvl="7">
        <w:start w:val="1"/>
        <w:numFmt w:val="decimal"/>
        <w:pStyle w:val="Heading8"/>
        <w:lvlText w:val="B%6.%7.%8"/>
        <w:lvlJc w:val="left"/>
        <w:pPr>
          <w:tabs>
            <w:tab w:val="num" w:pos="851"/>
          </w:tabs>
          <w:ind w:left="851" w:hanging="851"/>
        </w:pPr>
        <w:rPr>
          <w:rFonts w:hint="default"/>
        </w:rPr>
      </w:lvl>
    </w:lvlOverride>
    <w:lvlOverride w:ilvl="8">
      <w:lvl w:ilvl="8">
        <w:start w:val="1"/>
        <w:numFmt w:val="decimal"/>
        <w:pStyle w:val="Heading9"/>
        <w:lvlText w:val="B%6.%7.%8.%9"/>
        <w:lvlJc w:val="left"/>
        <w:pPr>
          <w:tabs>
            <w:tab w:val="num" w:pos="1021"/>
          </w:tabs>
          <w:ind w:left="1021" w:hanging="1021"/>
        </w:pPr>
        <w:rPr>
          <w:rFonts w:hint="default"/>
        </w:rPr>
      </w:lvl>
    </w:lvlOverride>
  </w:num>
  <w:num w:numId="16">
    <w:abstractNumId w:val="13"/>
  </w:num>
  <w:num w:numId="17">
    <w:abstractNumId w:val="18"/>
  </w:num>
  <w:num w:numId="18">
    <w:abstractNumId w:val="14"/>
  </w:num>
  <w:num w:numId="19">
    <w:abstractNumId w:val="1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5"/>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09"/>
  <w:hyphenationZone w:val="425"/>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44A"/>
    <w:rsid w:val="0000054A"/>
    <w:rsid w:val="00000BDD"/>
    <w:rsid w:val="0000237E"/>
    <w:rsid w:val="00004D5B"/>
    <w:rsid w:val="00006C83"/>
    <w:rsid w:val="00007BDC"/>
    <w:rsid w:val="000134C1"/>
    <w:rsid w:val="000160A5"/>
    <w:rsid w:val="00016319"/>
    <w:rsid w:val="00022581"/>
    <w:rsid w:val="0002434F"/>
    <w:rsid w:val="00026C3D"/>
    <w:rsid w:val="00030FDA"/>
    <w:rsid w:val="0003158A"/>
    <w:rsid w:val="0003561D"/>
    <w:rsid w:val="00035BA6"/>
    <w:rsid w:val="00040F94"/>
    <w:rsid w:val="00043980"/>
    <w:rsid w:val="00053D3E"/>
    <w:rsid w:val="00054309"/>
    <w:rsid w:val="00055D4B"/>
    <w:rsid w:val="0005697D"/>
    <w:rsid w:val="000576CD"/>
    <w:rsid w:val="00060E38"/>
    <w:rsid w:val="000616B4"/>
    <w:rsid w:val="0006579F"/>
    <w:rsid w:val="0007060B"/>
    <w:rsid w:val="00070A03"/>
    <w:rsid w:val="00071795"/>
    <w:rsid w:val="0007187F"/>
    <w:rsid w:val="00071CB6"/>
    <w:rsid w:val="00072CEE"/>
    <w:rsid w:val="0007318C"/>
    <w:rsid w:val="000749CD"/>
    <w:rsid w:val="000768D8"/>
    <w:rsid w:val="00082F82"/>
    <w:rsid w:val="00084CDF"/>
    <w:rsid w:val="0008544A"/>
    <w:rsid w:val="00093516"/>
    <w:rsid w:val="000935D6"/>
    <w:rsid w:val="000962F4"/>
    <w:rsid w:val="000A082A"/>
    <w:rsid w:val="000A3A4A"/>
    <w:rsid w:val="000A3E90"/>
    <w:rsid w:val="000A5D43"/>
    <w:rsid w:val="000A78FF"/>
    <w:rsid w:val="000A7C52"/>
    <w:rsid w:val="000B12B8"/>
    <w:rsid w:val="000B22F5"/>
    <w:rsid w:val="000B557A"/>
    <w:rsid w:val="000B5BAE"/>
    <w:rsid w:val="000B5DF2"/>
    <w:rsid w:val="000B725B"/>
    <w:rsid w:val="000B786A"/>
    <w:rsid w:val="000C2337"/>
    <w:rsid w:val="000C5CED"/>
    <w:rsid w:val="000C6622"/>
    <w:rsid w:val="000D1A02"/>
    <w:rsid w:val="000D1B28"/>
    <w:rsid w:val="000D2EF9"/>
    <w:rsid w:val="000E0372"/>
    <w:rsid w:val="000E24A3"/>
    <w:rsid w:val="000E292E"/>
    <w:rsid w:val="000E5BB8"/>
    <w:rsid w:val="000E7816"/>
    <w:rsid w:val="000F0B31"/>
    <w:rsid w:val="000F370A"/>
    <w:rsid w:val="00100132"/>
    <w:rsid w:val="00103855"/>
    <w:rsid w:val="00105BD7"/>
    <w:rsid w:val="00107B6B"/>
    <w:rsid w:val="00110FFF"/>
    <w:rsid w:val="001130FC"/>
    <w:rsid w:val="00123A90"/>
    <w:rsid w:val="00127917"/>
    <w:rsid w:val="001332DE"/>
    <w:rsid w:val="001338BD"/>
    <w:rsid w:val="0013680B"/>
    <w:rsid w:val="001370D9"/>
    <w:rsid w:val="0014477D"/>
    <w:rsid w:val="00145378"/>
    <w:rsid w:val="00146352"/>
    <w:rsid w:val="001522CA"/>
    <w:rsid w:val="00153DA1"/>
    <w:rsid w:val="00154513"/>
    <w:rsid w:val="001618AE"/>
    <w:rsid w:val="001652CA"/>
    <w:rsid w:val="001663F6"/>
    <w:rsid w:val="00173986"/>
    <w:rsid w:val="00183968"/>
    <w:rsid w:val="00184679"/>
    <w:rsid w:val="00190293"/>
    <w:rsid w:val="00190FC2"/>
    <w:rsid w:val="00196D7D"/>
    <w:rsid w:val="001A1DC1"/>
    <w:rsid w:val="001A3AA0"/>
    <w:rsid w:val="001A4317"/>
    <w:rsid w:val="001A6767"/>
    <w:rsid w:val="001A756B"/>
    <w:rsid w:val="001B107E"/>
    <w:rsid w:val="001B111F"/>
    <w:rsid w:val="001B14E3"/>
    <w:rsid w:val="001B16C1"/>
    <w:rsid w:val="001B19D0"/>
    <w:rsid w:val="001B1F27"/>
    <w:rsid w:val="001B3970"/>
    <w:rsid w:val="001B3ECD"/>
    <w:rsid w:val="001B612E"/>
    <w:rsid w:val="001B70DF"/>
    <w:rsid w:val="001C012E"/>
    <w:rsid w:val="001C0399"/>
    <w:rsid w:val="001C2374"/>
    <w:rsid w:val="001C33FE"/>
    <w:rsid w:val="001C5F70"/>
    <w:rsid w:val="001C6F91"/>
    <w:rsid w:val="001D0D70"/>
    <w:rsid w:val="001D175B"/>
    <w:rsid w:val="001D1F2C"/>
    <w:rsid w:val="001E2A27"/>
    <w:rsid w:val="001E35BF"/>
    <w:rsid w:val="001E58C1"/>
    <w:rsid w:val="001E7820"/>
    <w:rsid w:val="001E7A4C"/>
    <w:rsid w:val="001E7CC5"/>
    <w:rsid w:val="001F13B9"/>
    <w:rsid w:val="001F1927"/>
    <w:rsid w:val="001F2DCE"/>
    <w:rsid w:val="001F5992"/>
    <w:rsid w:val="001F69BE"/>
    <w:rsid w:val="0020273E"/>
    <w:rsid w:val="0020394A"/>
    <w:rsid w:val="00206C0C"/>
    <w:rsid w:val="002100E0"/>
    <w:rsid w:val="0021288C"/>
    <w:rsid w:val="00212974"/>
    <w:rsid w:val="002136B1"/>
    <w:rsid w:val="0021407E"/>
    <w:rsid w:val="00215C75"/>
    <w:rsid w:val="00230058"/>
    <w:rsid w:val="00241C96"/>
    <w:rsid w:val="0024544F"/>
    <w:rsid w:val="002473C6"/>
    <w:rsid w:val="002508D9"/>
    <w:rsid w:val="00251F66"/>
    <w:rsid w:val="002608EE"/>
    <w:rsid w:val="00263723"/>
    <w:rsid w:val="00265309"/>
    <w:rsid w:val="0026649D"/>
    <w:rsid w:val="002703BE"/>
    <w:rsid w:val="00272D28"/>
    <w:rsid w:val="0027315F"/>
    <w:rsid w:val="00273A95"/>
    <w:rsid w:val="00273CBA"/>
    <w:rsid w:val="00276539"/>
    <w:rsid w:val="00277830"/>
    <w:rsid w:val="0027791E"/>
    <w:rsid w:val="0028075F"/>
    <w:rsid w:val="0028077B"/>
    <w:rsid w:val="002814E3"/>
    <w:rsid w:val="00281548"/>
    <w:rsid w:val="002828BE"/>
    <w:rsid w:val="00294489"/>
    <w:rsid w:val="002963F5"/>
    <w:rsid w:val="0029668E"/>
    <w:rsid w:val="00296720"/>
    <w:rsid w:val="002A1206"/>
    <w:rsid w:val="002A19BD"/>
    <w:rsid w:val="002A604C"/>
    <w:rsid w:val="002B0D5C"/>
    <w:rsid w:val="002B266A"/>
    <w:rsid w:val="002B6DFD"/>
    <w:rsid w:val="002C003D"/>
    <w:rsid w:val="002C3FDC"/>
    <w:rsid w:val="002C4FD5"/>
    <w:rsid w:val="002C5FCA"/>
    <w:rsid w:val="002D46CB"/>
    <w:rsid w:val="002D51AA"/>
    <w:rsid w:val="002D7082"/>
    <w:rsid w:val="002E12DB"/>
    <w:rsid w:val="002F054F"/>
    <w:rsid w:val="002F107B"/>
    <w:rsid w:val="002F1D5B"/>
    <w:rsid w:val="002F2DA7"/>
    <w:rsid w:val="002F2F07"/>
    <w:rsid w:val="002F3762"/>
    <w:rsid w:val="002F3D85"/>
    <w:rsid w:val="002F5E61"/>
    <w:rsid w:val="0030031A"/>
    <w:rsid w:val="00300A10"/>
    <w:rsid w:val="00300D16"/>
    <w:rsid w:val="00301D62"/>
    <w:rsid w:val="00301DB0"/>
    <w:rsid w:val="003065BD"/>
    <w:rsid w:val="00311985"/>
    <w:rsid w:val="003211AE"/>
    <w:rsid w:val="003238B3"/>
    <w:rsid w:val="0032474A"/>
    <w:rsid w:val="00326A43"/>
    <w:rsid w:val="0033066D"/>
    <w:rsid w:val="003338E7"/>
    <w:rsid w:val="003345EF"/>
    <w:rsid w:val="003348FE"/>
    <w:rsid w:val="00337396"/>
    <w:rsid w:val="00346751"/>
    <w:rsid w:val="0034707C"/>
    <w:rsid w:val="00347652"/>
    <w:rsid w:val="00353F39"/>
    <w:rsid w:val="0035600F"/>
    <w:rsid w:val="003570A5"/>
    <w:rsid w:val="003609C4"/>
    <w:rsid w:val="00364C83"/>
    <w:rsid w:val="00364E1E"/>
    <w:rsid w:val="00370512"/>
    <w:rsid w:val="00372BD5"/>
    <w:rsid w:val="00372BDB"/>
    <w:rsid w:val="00373242"/>
    <w:rsid w:val="00373FEC"/>
    <w:rsid w:val="0037431D"/>
    <w:rsid w:val="0037461A"/>
    <w:rsid w:val="0038104D"/>
    <w:rsid w:val="00382730"/>
    <w:rsid w:val="0038398B"/>
    <w:rsid w:val="00384EC6"/>
    <w:rsid w:val="00385C60"/>
    <w:rsid w:val="003867E9"/>
    <w:rsid w:val="003876B0"/>
    <w:rsid w:val="0039121F"/>
    <w:rsid w:val="00393E5B"/>
    <w:rsid w:val="003A11D7"/>
    <w:rsid w:val="003A1227"/>
    <w:rsid w:val="003A3594"/>
    <w:rsid w:val="003A5AFE"/>
    <w:rsid w:val="003A5DD5"/>
    <w:rsid w:val="003A6458"/>
    <w:rsid w:val="003A7136"/>
    <w:rsid w:val="003A7E73"/>
    <w:rsid w:val="003B1741"/>
    <w:rsid w:val="003B1757"/>
    <w:rsid w:val="003B1D81"/>
    <w:rsid w:val="003B4569"/>
    <w:rsid w:val="003B5A03"/>
    <w:rsid w:val="003B61D2"/>
    <w:rsid w:val="003C065A"/>
    <w:rsid w:val="003C0ED3"/>
    <w:rsid w:val="003C1C9E"/>
    <w:rsid w:val="003C2556"/>
    <w:rsid w:val="003D073C"/>
    <w:rsid w:val="003D1152"/>
    <w:rsid w:val="003D2968"/>
    <w:rsid w:val="003D4C4D"/>
    <w:rsid w:val="003D72A5"/>
    <w:rsid w:val="003E04E2"/>
    <w:rsid w:val="003E0869"/>
    <w:rsid w:val="003E0EE8"/>
    <w:rsid w:val="003E1075"/>
    <w:rsid w:val="003E11F0"/>
    <w:rsid w:val="003F188E"/>
    <w:rsid w:val="003F7466"/>
    <w:rsid w:val="00400DE6"/>
    <w:rsid w:val="00401559"/>
    <w:rsid w:val="00401C00"/>
    <w:rsid w:val="004072F5"/>
    <w:rsid w:val="00411632"/>
    <w:rsid w:val="004135BB"/>
    <w:rsid w:val="00413ACD"/>
    <w:rsid w:val="00414C5D"/>
    <w:rsid w:val="00417710"/>
    <w:rsid w:val="00417F75"/>
    <w:rsid w:val="00421947"/>
    <w:rsid w:val="00421FA3"/>
    <w:rsid w:val="00424A6B"/>
    <w:rsid w:val="00427412"/>
    <w:rsid w:val="004317B4"/>
    <w:rsid w:val="004323E9"/>
    <w:rsid w:val="004358F8"/>
    <w:rsid w:val="00437921"/>
    <w:rsid w:val="0044039B"/>
    <w:rsid w:val="00440662"/>
    <w:rsid w:val="00440B3D"/>
    <w:rsid w:val="00441C56"/>
    <w:rsid w:val="00441DC0"/>
    <w:rsid w:val="0044451D"/>
    <w:rsid w:val="00445A38"/>
    <w:rsid w:val="004467E4"/>
    <w:rsid w:val="004515CB"/>
    <w:rsid w:val="00451A05"/>
    <w:rsid w:val="00452CBA"/>
    <w:rsid w:val="004548F0"/>
    <w:rsid w:val="004644AB"/>
    <w:rsid w:val="00466B6A"/>
    <w:rsid w:val="004724BB"/>
    <w:rsid w:val="00472987"/>
    <w:rsid w:val="00476817"/>
    <w:rsid w:val="00477E7E"/>
    <w:rsid w:val="00480701"/>
    <w:rsid w:val="004854D1"/>
    <w:rsid w:val="004856FA"/>
    <w:rsid w:val="00485E0C"/>
    <w:rsid w:val="004868F2"/>
    <w:rsid w:val="00490876"/>
    <w:rsid w:val="0049380F"/>
    <w:rsid w:val="00493C68"/>
    <w:rsid w:val="00494B57"/>
    <w:rsid w:val="00494CFD"/>
    <w:rsid w:val="00495CFE"/>
    <w:rsid w:val="00496444"/>
    <w:rsid w:val="004973A1"/>
    <w:rsid w:val="004A08AE"/>
    <w:rsid w:val="004A43ED"/>
    <w:rsid w:val="004A649D"/>
    <w:rsid w:val="004B2D64"/>
    <w:rsid w:val="004B30A8"/>
    <w:rsid w:val="004B38AF"/>
    <w:rsid w:val="004B3AF1"/>
    <w:rsid w:val="004B505C"/>
    <w:rsid w:val="004B5684"/>
    <w:rsid w:val="004B6144"/>
    <w:rsid w:val="004B76B3"/>
    <w:rsid w:val="004C0100"/>
    <w:rsid w:val="004C4CE8"/>
    <w:rsid w:val="004C6AC8"/>
    <w:rsid w:val="004D51D1"/>
    <w:rsid w:val="004E0585"/>
    <w:rsid w:val="004E1B8F"/>
    <w:rsid w:val="004E2F09"/>
    <w:rsid w:val="004E7114"/>
    <w:rsid w:val="004F0330"/>
    <w:rsid w:val="004F04DE"/>
    <w:rsid w:val="004F2B2D"/>
    <w:rsid w:val="004F44C6"/>
    <w:rsid w:val="004F58E7"/>
    <w:rsid w:val="00500E2D"/>
    <w:rsid w:val="00501CEA"/>
    <w:rsid w:val="005041BE"/>
    <w:rsid w:val="00505C55"/>
    <w:rsid w:val="00507E1A"/>
    <w:rsid w:val="0051453B"/>
    <w:rsid w:val="00517717"/>
    <w:rsid w:val="00517E88"/>
    <w:rsid w:val="005202FB"/>
    <w:rsid w:val="0052115E"/>
    <w:rsid w:val="005246DE"/>
    <w:rsid w:val="005267E2"/>
    <w:rsid w:val="00527780"/>
    <w:rsid w:val="00533864"/>
    <w:rsid w:val="005363F0"/>
    <w:rsid w:val="005364F1"/>
    <w:rsid w:val="00536917"/>
    <w:rsid w:val="00540C6E"/>
    <w:rsid w:val="005411AB"/>
    <w:rsid w:val="00544EBD"/>
    <w:rsid w:val="005456D1"/>
    <w:rsid w:val="0054791E"/>
    <w:rsid w:val="0055203A"/>
    <w:rsid w:val="00554E3B"/>
    <w:rsid w:val="00555247"/>
    <w:rsid w:val="00562E31"/>
    <w:rsid w:val="00563EE6"/>
    <w:rsid w:val="00571277"/>
    <w:rsid w:val="00572FDF"/>
    <w:rsid w:val="005756B2"/>
    <w:rsid w:val="005761BE"/>
    <w:rsid w:val="0057631F"/>
    <w:rsid w:val="00577AAC"/>
    <w:rsid w:val="0058108F"/>
    <w:rsid w:val="00582A86"/>
    <w:rsid w:val="0058396B"/>
    <w:rsid w:val="00584E40"/>
    <w:rsid w:val="00585B4A"/>
    <w:rsid w:val="005864AD"/>
    <w:rsid w:val="00587309"/>
    <w:rsid w:val="00592BE4"/>
    <w:rsid w:val="00595178"/>
    <w:rsid w:val="00595EA6"/>
    <w:rsid w:val="00597067"/>
    <w:rsid w:val="005A5EAF"/>
    <w:rsid w:val="005B057C"/>
    <w:rsid w:val="005B08DF"/>
    <w:rsid w:val="005B0D2A"/>
    <w:rsid w:val="005B180F"/>
    <w:rsid w:val="005B31E0"/>
    <w:rsid w:val="005C08DF"/>
    <w:rsid w:val="005C23DA"/>
    <w:rsid w:val="005C6E3D"/>
    <w:rsid w:val="005D792F"/>
    <w:rsid w:val="005E0593"/>
    <w:rsid w:val="005E152C"/>
    <w:rsid w:val="005E1746"/>
    <w:rsid w:val="005E1D1F"/>
    <w:rsid w:val="005E1FD6"/>
    <w:rsid w:val="005E735C"/>
    <w:rsid w:val="005F0589"/>
    <w:rsid w:val="005F0FDD"/>
    <w:rsid w:val="005F315C"/>
    <w:rsid w:val="005F455B"/>
    <w:rsid w:val="005F537E"/>
    <w:rsid w:val="005F57A6"/>
    <w:rsid w:val="006012B3"/>
    <w:rsid w:val="00601E58"/>
    <w:rsid w:val="006034E0"/>
    <w:rsid w:val="00605CC6"/>
    <w:rsid w:val="006104E8"/>
    <w:rsid w:val="00613EF4"/>
    <w:rsid w:val="0061754F"/>
    <w:rsid w:val="00625310"/>
    <w:rsid w:val="00627ABA"/>
    <w:rsid w:val="00630B5A"/>
    <w:rsid w:val="00630C95"/>
    <w:rsid w:val="0063194E"/>
    <w:rsid w:val="00632113"/>
    <w:rsid w:val="00632BE8"/>
    <w:rsid w:val="0063495F"/>
    <w:rsid w:val="00635435"/>
    <w:rsid w:val="00641F5B"/>
    <w:rsid w:val="00644152"/>
    <w:rsid w:val="00647D89"/>
    <w:rsid w:val="00651132"/>
    <w:rsid w:val="0065176C"/>
    <w:rsid w:val="0065512B"/>
    <w:rsid w:val="006552F7"/>
    <w:rsid w:val="00655F80"/>
    <w:rsid w:val="00660507"/>
    <w:rsid w:val="00661FD4"/>
    <w:rsid w:val="00662497"/>
    <w:rsid w:val="006627FB"/>
    <w:rsid w:val="0067184A"/>
    <w:rsid w:val="00673BDB"/>
    <w:rsid w:val="006741D5"/>
    <w:rsid w:val="00677C9A"/>
    <w:rsid w:val="006818C8"/>
    <w:rsid w:val="006856B3"/>
    <w:rsid w:val="00687DB4"/>
    <w:rsid w:val="0069039E"/>
    <w:rsid w:val="006919C1"/>
    <w:rsid w:val="00692E63"/>
    <w:rsid w:val="00693EC8"/>
    <w:rsid w:val="006A09C6"/>
    <w:rsid w:val="006A101D"/>
    <w:rsid w:val="006A16B6"/>
    <w:rsid w:val="006A302F"/>
    <w:rsid w:val="006A3852"/>
    <w:rsid w:val="006A512B"/>
    <w:rsid w:val="006B3612"/>
    <w:rsid w:val="006B4CC1"/>
    <w:rsid w:val="006B5377"/>
    <w:rsid w:val="006B7941"/>
    <w:rsid w:val="006C2B9D"/>
    <w:rsid w:val="006C2BD4"/>
    <w:rsid w:val="006C2CD0"/>
    <w:rsid w:val="006C4FC2"/>
    <w:rsid w:val="006D0354"/>
    <w:rsid w:val="006D19E9"/>
    <w:rsid w:val="006D1CB9"/>
    <w:rsid w:val="006D379A"/>
    <w:rsid w:val="006D53FE"/>
    <w:rsid w:val="006D60C3"/>
    <w:rsid w:val="006D670D"/>
    <w:rsid w:val="006E0FB4"/>
    <w:rsid w:val="006E3EA6"/>
    <w:rsid w:val="006E3EB7"/>
    <w:rsid w:val="006E5654"/>
    <w:rsid w:val="006E57EE"/>
    <w:rsid w:val="006F1C1E"/>
    <w:rsid w:val="006F2D7B"/>
    <w:rsid w:val="006F3B60"/>
    <w:rsid w:val="00700549"/>
    <w:rsid w:val="00700D7B"/>
    <w:rsid w:val="00704132"/>
    <w:rsid w:val="00710AF7"/>
    <w:rsid w:val="00711296"/>
    <w:rsid w:val="007161B8"/>
    <w:rsid w:val="00717C89"/>
    <w:rsid w:val="0072518F"/>
    <w:rsid w:val="00726338"/>
    <w:rsid w:val="00727DC1"/>
    <w:rsid w:val="00730E06"/>
    <w:rsid w:val="007375ED"/>
    <w:rsid w:val="00740743"/>
    <w:rsid w:val="0074573C"/>
    <w:rsid w:val="00747472"/>
    <w:rsid w:val="00747B8C"/>
    <w:rsid w:val="00750818"/>
    <w:rsid w:val="0075171C"/>
    <w:rsid w:val="007559E4"/>
    <w:rsid w:val="00756D2F"/>
    <w:rsid w:val="007611F0"/>
    <w:rsid w:val="007624BE"/>
    <w:rsid w:val="00762E7B"/>
    <w:rsid w:val="00763EC8"/>
    <w:rsid w:val="0076564E"/>
    <w:rsid w:val="00767931"/>
    <w:rsid w:val="007717B4"/>
    <w:rsid w:val="00775D5C"/>
    <w:rsid w:val="00775FE4"/>
    <w:rsid w:val="0077775E"/>
    <w:rsid w:val="00783429"/>
    <w:rsid w:val="007843AA"/>
    <w:rsid w:val="00785A7A"/>
    <w:rsid w:val="0078681D"/>
    <w:rsid w:val="00786A6C"/>
    <w:rsid w:val="00790E1D"/>
    <w:rsid w:val="007A54B6"/>
    <w:rsid w:val="007A59C0"/>
    <w:rsid w:val="007B170F"/>
    <w:rsid w:val="007B25DD"/>
    <w:rsid w:val="007B3F10"/>
    <w:rsid w:val="007C0343"/>
    <w:rsid w:val="007C2706"/>
    <w:rsid w:val="007C28DD"/>
    <w:rsid w:val="007C2F38"/>
    <w:rsid w:val="007C4FC0"/>
    <w:rsid w:val="007C5EC4"/>
    <w:rsid w:val="007C5FAC"/>
    <w:rsid w:val="007C664A"/>
    <w:rsid w:val="007D090C"/>
    <w:rsid w:val="007D2028"/>
    <w:rsid w:val="007D3FE4"/>
    <w:rsid w:val="007E19B7"/>
    <w:rsid w:val="007E1EDE"/>
    <w:rsid w:val="007E1FA7"/>
    <w:rsid w:val="007E2E12"/>
    <w:rsid w:val="007E61DE"/>
    <w:rsid w:val="007E7E7B"/>
    <w:rsid w:val="007F1B21"/>
    <w:rsid w:val="007F2AFA"/>
    <w:rsid w:val="007F38C9"/>
    <w:rsid w:val="00804CBF"/>
    <w:rsid w:val="00810B0B"/>
    <w:rsid w:val="00812354"/>
    <w:rsid w:val="0081247C"/>
    <w:rsid w:val="00814012"/>
    <w:rsid w:val="008172D6"/>
    <w:rsid w:val="0082139A"/>
    <w:rsid w:val="008222DD"/>
    <w:rsid w:val="008249F1"/>
    <w:rsid w:val="00825C9F"/>
    <w:rsid w:val="00827A03"/>
    <w:rsid w:val="008322C3"/>
    <w:rsid w:val="0083581E"/>
    <w:rsid w:val="008371DC"/>
    <w:rsid w:val="00837FA1"/>
    <w:rsid w:val="00841ED6"/>
    <w:rsid w:val="008420C9"/>
    <w:rsid w:val="00847DF5"/>
    <w:rsid w:val="00857C4E"/>
    <w:rsid w:val="00862D40"/>
    <w:rsid w:val="00865783"/>
    <w:rsid w:val="00867214"/>
    <w:rsid w:val="00870FCD"/>
    <w:rsid w:val="00873D13"/>
    <w:rsid w:val="00880A5C"/>
    <w:rsid w:val="00883AC2"/>
    <w:rsid w:val="00883E07"/>
    <w:rsid w:val="00890B08"/>
    <w:rsid w:val="00893E6F"/>
    <w:rsid w:val="0089432E"/>
    <w:rsid w:val="008947EC"/>
    <w:rsid w:val="00894C6E"/>
    <w:rsid w:val="008966B6"/>
    <w:rsid w:val="008A0EC9"/>
    <w:rsid w:val="008A276A"/>
    <w:rsid w:val="008A605B"/>
    <w:rsid w:val="008A7138"/>
    <w:rsid w:val="008A71D4"/>
    <w:rsid w:val="008A7E29"/>
    <w:rsid w:val="008B380B"/>
    <w:rsid w:val="008B428A"/>
    <w:rsid w:val="008B53C8"/>
    <w:rsid w:val="008B5762"/>
    <w:rsid w:val="008B6187"/>
    <w:rsid w:val="008B65DE"/>
    <w:rsid w:val="008C0D89"/>
    <w:rsid w:val="008C2713"/>
    <w:rsid w:val="008C45D1"/>
    <w:rsid w:val="008C6E46"/>
    <w:rsid w:val="008D05D6"/>
    <w:rsid w:val="008D16BC"/>
    <w:rsid w:val="008D437F"/>
    <w:rsid w:val="008D5447"/>
    <w:rsid w:val="008D5755"/>
    <w:rsid w:val="008D6BC8"/>
    <w:rsid w:val="008E09D9"/>
    <w:rsid w:val="008F06EB"/>
    <w:rsid w:val="008F117A"/>
    <w:rsid w:val="008F1DAC"/>
    <w:rsid w:val="00901007"/>
    <w:rsid w:val="009011E1"/>
    <w:rsid w:val="00901340"/>
    <w:rsid w:val="009041FC"/>
    <w:rsid w:val="00905AE4"/>
    <w:rsid w:val="00907458"/>
    <w:rsid w:val="00912EC8"/>
    <w:rsid w:val="00913927"/>
    <w:rsid w:val="009151F2"/>
    <w:rsid w:val="0091686A"/>
    <w:rsid w:val="00920CF8"/>
    <w:rsid w:val="009223FC"/>
    <w:rsid w:val="00923E6B"/>
    <w:rsid w:val="0092580C"/>
    <w:rsid w:val="009258F5"/>
    <w:rsid w:val="00933F2D"/>
    <w:rsid w:val="00934363"/>
    <w:rsid w:val="00937FCD"/>
    <w:rsid w:val="00941BAE"/>
    <w:rsid w:val="0094369F"/>
    <w:rsid w:val="00943C51"/>
    <w:rsid w:val="009442AF"/>
    <w:rsid w:val="00951149"/>
    <w:rsid w:val="009525DC"/>
    <w:rsid w:val="00956510"/>
    <w:rsid w:val="00960D93"/>
    <w:rsid w:val="0096151C"/>
    <w:rsid w:val="0096279B"/>
    <w:rsid w:val="00964C2B"/>
    <w:rsid w:val="00964D8C"/>
    <w:rsid w:val="00965E87"/>
    <w:rsid w:val="009742E5"/>
    <w:rsid w:val="00975565"/>
    <w:rsid w:val="00976C8F"/>
    <w:rsid w:val="00977D22"/>
    <w:rsid w:val="00980170"/>
    <w:rsid w:val="00981D2E"/>
    <w:rsid w:val="0098212A"/>
    <w:rsid w:val="00982822"/>
    <w:rsid w:val="00982DA7"/>
    <w:rsid w:val="009833DE"/>
    <w:rsid w:val="00984F5B"/>
    <w:rsid w:val="00985586"/>
    <w:rsid w:val="0098619E"/>
    <w:rsid w:val="00986409"/>
    <w:rsid w:val="00990C0E"/>
    <w:rsid w:val="00990FED"/>
    <w:rsid w:val="00991F10"/>
    <w:rsid w:val="00992B58"/>
    <w:rsid w:val="00997279"/>
    <w:rsid w:val="0099752E"/>
    <w:rsid w:val="00997EA0"/>
    <w:rsid w:val="009A0383"/>
    <w:rsid w:val="009A1D5F"/>
    <w:rsid w:val="009A23D0"/>
    <w:rsid w:val="009A28FC"/>
    <w:rsid w:val="009A5F38"/>
    <w:rsid w:val="009B302F"/>
    <w:rsid w:val="009C00FA"/>
    <w:rsid w:val="009C17A5"/>
    <w:rsid w:val="009C1D50"/>
    <w:rsid w:val="009C1EE2"/>
    <w:rsid w:val="009C3F53"/>
    <w:rsid w:val="009C533B"/>
    <w:rsid w:val="009C75C4"/>
    <w:rsid w:val="009D06AF"/>
    <w:rsid w:val="009D1156"/>
    <w:rsid w:val="009D1782"/>
    <w:rsid w:val="009D225D"/>
    <w:rsid w:val="009D3980"/>
    <w:rsid w:val="009D609A"/>
    <w:rsid w:val="009E0014"/>
    <w:rsid w:val="009E0B1A"/>
    <w:rsid w:val="009E10D9"/>
    <w:rsid w:val="009E1119"/>
    <w:rsid w:val="009E6BA4"/>
    <w:rsid w:val="009F2D90"/>
    <w:rsid w:val="009F2E64"/>
    <w:rsid w:val="009F3701"/>
    <w:rsid w:val="009F37CC"/>
    <w:rsid w:val="009F3C3B"/>
    <w:rsid w:val="009F4F24"/>
    <w:rsid w:val="00A128A9"/>
    <w:rsid w:val="00A12B80"/>
    <w:rsid w:val="00A136AA"/>
    <w:rsid w:val="00A14201"/>
    <w:rsid w:val="00A2053B"/>
    <w:rsid w:val="00A2109B"/>
    <w:rsid w:val="00A277CA"/>
    <w:rsid w:val="00A323BC"/>
    <w:rsid w:val="00A347E1"/>
    <w:rsid w:val="00A347F7"/>
    <w:rsid w:val="00A37FA1"/>
    <w:rsid w:val="00A41665"/>
    <w:rsid w:val="00A4170F"/>
    <w:rsid w:val="00A41EA1"/>
    <w:rsid w:val="00A43A42"/>
    <w:rsid w:val="00A474B1"/>
    <w:rsid w:val="00A51A6D"/>
    <w:rsid w:val="00A52243"/>
    <w:rsid w:val="00A57199"/>
    <w:rsid w:val="00A57859"/>
    <w:rsid w:val="00A57F1E"/>
    <w:rsid w:val="00A60487"/>
    <w:rsid w:val="00A634F3"/>
    <w:rsid w:val="00A649CA"/>
    <w:rsid w:val="00A659EF"/>
    <w:rsid w:val="00A65B8D"/>
    <w:rsid w:val="00A665F5"/>
    <w:rsid w:val="00A66FBD"/>
    <w:rsid w:val="00A67780"/>
    <w:rsid w:val="00A720E8"/>
    <w:rsid w:val="00A734D3"/>
    <w:rsid w:val="00A74E78"/>
    <w:rsid w:val="00A754A1"/>
    <w:rsid w:val="00A76080"/>
    <w:rsid w:val="00A76D11"/>
    <w:rsid w:val="00A81131"/>
    <w:rsid w:val="00A82603"/>
    <w:rsid w:val="00A830F7"/>
    <w:rsid w:val="00A83883"/>
    <w:rsid w:val="00A841A6"/>
    <w:rsid w:val="00A852E1"/>
    <w:rsid w:val="00A860E7"/>
    <w:rsid w:val="00A87520"/>
    <w:rsid w:val="00A87AF4"/>
    <w:rsid w:val="00A90CBF"/>
    <w:rsid w:val="00A91C87"/>
    <w:rsid w:val="00A92364"/>
    <w:rsid w:val="00A93159"/>
    <w:rsid w:val="00A96CEB"/>
    <w:rsid w:val="00AA0484"/>
    <w:rsid w:val="00AA1604"/>
    <w:rsid w:val="00AA16A7"/>
    <w:rsid w:val="00AA481E"/>
    <w:rsid w:val="00AA60E4"/>
    <w:rsid w:val="00AA63A6"/>
    <w:rsid w:val="00AA6FB5"/>
    <w:rsid w:val="00AB00F8"/>
    <w:rsid w:val="00AB16CB"/>
    <w:rsid w:val="00AB1C14"/>
    <w:rsid w:val="00AB25EB"/>
    <w:rsid w:val="00AC03BB"/>
    <w:rsid w:val="00AC0D40"/>
    <w:rsid w:val="00AC11DD"/>
    <w:rsid w:val="00AC383D"/>
    <w:rsid w:val="00AC54F2"/>
    <w:rsid w:val="00AC7AB9"/>
    <w:rsid w:val="00AD0911"/>
    <w:rsid w:val="00AD0C91"/>
    <w:rsid w:val="00AD1EA3"/>
    <w:rsid w:val="00AD2220"/>
    <w:rsid w:val="00AD4118"/>
    <w:rsid w:val="00AD58D9"/>
    <w:rsid w:val="00AE0EA2"/>
    <w:rsid w:val="00AE1E60"/>
    <w:rsid w:val="00AE6273"/>
    <w:rsid w:val="00AF0E24"/>
    <w:rsid w:val="00AF1069"/>
    <w:rsid w:val="00AF1520"/>
    <w:rsid w:val="00AF3D72"/>
    <w:rsid w:val="00AF4ABA"/>
    <w:rsid w:val="00AF5A20"/>
    <w:rsid w:val="00B049F6"/>
    <w:rsid w:val="00B04B00"/>
    <w:rsid w:val="00B04D06"/>
    <w:rsid w:val="00B064A8"/>
    <w:rsid w:val="00B104AD"/>
    <w:rsid w:val="00B109E9"/>
    <w:rsid w:val="00B10A98"/>
    <w:rsid w:val="00B127AF"/>
    <w:rsid w:val="00B13B5C"/>
    <w:rsid w:val="00B14272"/>
    <w:rsid w:val="00B150FF"/>
    <w:rsid w:val="00B15667"/>
    <w:rsid w:val="00B15EA0"/>
    <w:rsid w:val="00B1669F"/>
    <w:rsid w:val="00B17010"/>
    <w:rsid w:val="00B207B4"/>
    <w:rsid w:val="00B270CB"/>
    <w:rsid w:val="00B27639"/>
    <w:rsid w:val="00B302E9"/>
    <w:rsid w:val="00B3369C"/>
    <w:rsid w:val="00B42820"/>
    <w:rsid w:val="00B45358"/>
    <w:rsid w:val="00B4768A"/>
    <w:rsid w:val="00B476C4"/>
    <w:rsid w:val="00B50A82"/>
    <w:rsid w:val="00B521B8"/>
    <w:rsid w:val="00B535FF"/>
    <w:rsid w:val="00B54109"/>
    <w:rsid w:val="00B558BF"/>
    <w:rsid w:val="00B5640F"/>
    <w:rsid w:val="00B57A01"/>
    <w:rsid w:val="00B57B12"/>
    <w:rsid w:val="00B60E72"/>
    <w:rsid w:val="00B61B7C"/>
    <w:rsid w:val="00B65936"/>
    <w:rsid w:val="00B70768"/>
    <w:rsid w:val="00B70C00"/>
    <w:rsid w:val="00B710B8"/>
    <w:rsid w:val="00B7753E"/>
    <w:rsid w:val="00B77AE7"/>
    <w:rsid w:val="00B80C25"/>
    <w:rsid w:val="00B829AE"/>
    <w:rsid w:val="00B85139"/>
    <w:rsid w:val="00B86F2E"/>
    <w:rsid w:val="00B87378"/>
    <w:rsid w:val="00B87581"/>
    <w:rsid w:val="00B908C6"/>
    <w:rsid w:val="00B916C7"/>
    <w:rsid w:val="00B9176C"/>
    <w:rsid w:val="00B927D0"/>
    <w:rsid w:val="00B94BC5"/>
    <w:rsid w:val="00B97117"/>
    <w:rsid w:val="00B971D3"/>
    <w:rsid w:val="00BA203D"/>
    <w:rsid w:val="00BA2805"/>
    <w:rsid w:val="00BA3477"/>
    <w:rsid w:val="00BA491F"/>
    <w:rsid w:val="00BA6949"/>
    <w:rsid w:val="00BB1EC6"/>
    <w:rsid w:val="00BB4573"/>
    <w:rsid w:val="00BB626E"/>
    <w:rsid w:val="00BB6BDB"/>
    <w:rsid w:val="00BC08D5"/>
    <w:rsid w:val="00BC50A9"/>
    <w:rsid w:val="00BC7226"/>
    <w:rsid w:val="00BC7F53"/>
    <w:rsid w:val="00BD0329"/>
    <w:rsid w:val="00BD03F3"/>
    <w:rsid w:val="00BD2D27"/>
    <w:rsid w:val="00BD3A8D"/>
    <w:rsid w:val="00BD53BC"/>
    <w:rsid w:val="00BE4BF1"/>
    <w:rsid w:val="00BE53AF"/>
    <w:rsid w:val="00BE7757"/>
    <w:rsid w:val="00BF2CDD"/>
    <w:rsid w:val="00BF3162"/>
    <w:rsid w:val="00BF6BE1"/>
    <w:rsid w:val="00C00985"/>
    <w:rsid w:val="00C03F9B"/>
    <w:rsid w:val="00C043E3"/>
    <w:rsid w:val="00C0611D"/>
    <w:rsid w:val="00C06600"/>
    <w:rsid w:val="00C06F46"/>
    <w:rsid w:val="00C11EAD"/>
    <w:rsid w:val="00C132A4"/>
    <w:rsid w:val="00C142AC"/>
    <w:rsid w:val="00C2390B"/>
    <w:rsid w:val="00C24339"/>
    <w:rsid w:val="00C3453A"/>
    <w:rsid w:val="00C36F31"/>
    <w:rsid w:val="00C3796E"/>
    <w:rsid w:val="00C409A8"/>
    <w:rsid w:val="00C40A0C"/>
    <w:rsid w:val="00C40AF7"/>
    <w:rsid w:val="00C424A3"/>
    <w:rsid w:val="00C43185"/>
    <w:rsid w:val="00C446C9"/>
    <w:rsid w:val="00C44C9A"/>
    <w:rsid w:val="00C47A3A"/>
    <w:rsid w:val="00C51388"/>
    <w:rsid w:val="00C520FE"/>
    <w:rsid w:val="00C550AD"/>
    <w:rsid w:val="00C55B4B"/>
    <w:rsid w:val="00C63468"/>
    <w:rsid w:val="00C6355A"/>
    <w:rsid w:val="00C67012"/>
    <w:rsid w:val="00C676B6"/>
    <w:rsid w:val="00C72EFD"/>
    <w:rsid w:val="00C745F8"/>
    <w:rsid w:val="00C83CF9"/>
    <w:rsid w:val="00C84791"/>
    <w:rsid w:val="00C86E22"/>
    <w:rsid w:val="00C8738D"/>
    <w:rsid w:val="00C873A1"/>
    <w:rsid w:val="00C95B13"/>
    <w:rsid w:val="00C96428"/>
    <w:rsid w:val="00C970BE"/>
    <w:rsid w:val="00CA23EA"/>
    <w:rsid w:val="00CA2789"/>
    <w:rsid w:val="00CA359A"/>
    <w:rsid w:val="00CA4B0F"/>
    <w:rsid w:val="00CB1BF3"/>
    <w:rsid w:val="00CB1DDE"/>
    <w:rsid w:val="00CB45D4"/>
    <w:rsid w:val="00CB6CAF"/>
    <w:rsid w:val="00CB7A7A"/>
    <w:rsid w:val="00CC414C"/>
    <w:rsid w:val="00CC4390"/>
    <w:rsid w:val="00CD296F"/>
    <w:rsid w:val="00CD3542"/>
    <w:rsid w:val="00CD6AF2"/>
    <w:rsid w:val="00CE0ABD"/>
    <w:rsid w:val="00CE1FBA"/>
    <w:rsid w:val="00CE4D14"/>
    <w:rsid w:val="00CF0600"/>
    <w:rsid w:val="00CF126E"/>
    <w:rsid w:val="00CF35D6"/>
    <w:rsid w:val="00D015F8"/>
    <w:rsid w:val="00D01CCC"/>
    <w:rsid w:val="00D026DF"/>
    <w:rsid w:val="00D07E7A"/>
    <w:rsid w:val="00D106E3"/>
    <w:rsid w:val="00D110EF"/>
    <w:rsid w:val="00D119A0"/>
    <w:rsid w:val="00D12559"/>
    <w:rsid w:val="00D1437D"/>
    <w:rsid w:val="00D14CC2"/>
    <w:rsid w:val="00D158FF"/>
    <w:rsid w:val="00D16133"/>
    <w:rsid w:val="00D21AE0"/>
    <w:rsid w:val="00D21BEC"/>
    <w:rsid w:val="00D22661"/>
    <w:rsid w:val="00D23523"/>
    <w:rsid w:val="00D23556"/>
    <w:rsid w:val="00D24A02"/>
    <w:rsid w:val="00D275F2"/>
    <w:rsid w:val="00D311E0"/>
    <w:rsid w:val="00D34DD0"/>
    <w:rsid w:val="00D405E0"/>
    <w:rsid w:val="00D413D5"/>
    <w:rsid w:val="00D418E3"/>
    <w:rsid w:val="00D42234"/>
    <w:rsid w:val="00D43E6C"/>
    <w:rsid w:val="00D47019"/>
    <w:rsid w:val="00D4719F"/>
    <w:rsid w:val="00D51040"/>
    <w:rsid w:val="00D515B4"/>
    <w:rsid w:val="00D528AB"/>
    <w:rsid w:val="00D550C5"/>
    <w:rsid w:val="00D572D0"/>
    <w:rsid w:val="00D57799"/>
    <w:rsid w:val="00D6038C"/>
    <w:rsid w:val="00D60CB0"/>
    <w:rsid w:val="00D61CE6"/>
    <w:rsid w:val="00D636B6"/>
    <w:rsid w:val="00D65347"/>
    <w:rsid w:val="00D65B12"/>
    <w:rsid w:val="00D66172"/>
    <w:rsid w:val="00D66706"/>
    <w:rsid w:val="00D707D4"/>
    <w:rsid w:val="00D7555A"/>
    <w:rsid w:val="00D82A9D"/>
    <w:rsid w:val="00D8341B"/>
    <w:rsid w:val="00D83C13"/>
    <w:rsid w:val="00D850FE"/>
    <w:rsid w:val="00D86743"/>
    <w:rsid w:val="00D87D8F"/>
    <w:rsid w:val="00D907FD"/>
    <w:rsid w:val="00D91282"/>
    <w:rsid w:val="00D9171A"/>
    <w:rsid w:val="00D93129"/>
    <w:rsid w:val="00D93F8D"/>
    <w:rsid w:val="00D95E8A"/>
    <w:rsid w:val="00D95F6B"/>
    <w:rsid w:val="00D97444"/>
    <w:rsid w:val="00DA1E7A"/>
    <w:rsid w:val="00DA3F46"/>
    <w:rsid w:val="00DA5E0D"/>
    <w:rsid w:val="00DA7783"/>
    <w:rsid w:val="00DB0858"/>
    <w:rsid w:val="00DB112B"/>
    <w:rsid w:val="00DB12A0"/>
    <w:rsid w:val="00DB2584"/>
    <w:rsid w:val="00DB4311"/>
    <w:rsid w:val="00DB6356"/>
    <w:rsid w:val="00DB7E67"/>
    <w:rsid w:val="00DC23BE"/>
    <w:rsid w:val="00DC4607"/>
    <w:rsid w:val="00DC4793"/>
    <w:rsid w:val="00DC7038"/>
    <w:rsid w:val="00DD1ABE"/>
    <w:rsid w:val="00DE01E8"/>
    <w:rsid w:val="00DE0A6E"/>
    <w:rsid w:val="00DE0B73"/>
    <w:rsid w:val="00DE2538"/>
    <w:rsid w:val="00DE2A98"/>
    <w:rsid w:val="00DE70A3"/>
    <w:rsid w:val="00DF74EF"/>
    <w:rsid w:val="00DF7D5D"/>
    <w:rsid w:val="00E0269C"/>
    <w:rsid w:val="00E1029C"/>
    <w:rsid w:val="00E11E9D"/>
    <w:rsid w:val="00E169E3"/>
    <w:rsid w:val="00E21099"/>
    <w:rsid w:val="00E22EF9"/>
    <w:rsid w:val="00E2402B"/>
    <w:rsid w:val="00E254DC"/>
    <w:rsid w:val="00E25709"/>
    <w:rsid w:val="00E279C8"/>
    <w:rsid w:val="00E304E2"/>
    <w:rsid w:val="00E33363"/>
    <w:rsid w:val="00E353FF"/>
    <w:rsid w:val="00E361BD"/>
    <w:rsid w:val="00E36E1C"/>
    <w:rsid w:val="00E44A15"/>
    <w:rsid w:val="00E4712D"/>
    <w:rsid w:val="00E4792A"/>
    <w:rsid w:val="00E502BD"/>
    <w:rsid w:val="00E516F0"/>
    <w:rsid w:val="00E55103"/>
    <w:rsid w:val="00E57B2A"/>
    <w:rsid w:val="00E607E5"/>
    <w:rsid w:val="00E613A4"/>
    <w:rsid w:val="00E64E9C"/>
    <w:rsid w:val="00E656A5"/>
    <w:rsid w:val="00E725B7"/>
    <w:rsid w:val="00E72E9C"/>
    <w:rsid w:val="00E75AD3"/>
    <w:rsid w:val="00E761A2"/>
    <w:rsid w:val="00E779F2"/>
    <w:rsid w:val="00E808D6"/>
    <w:rsid w:val="00E8249D"/>
    <w:rsid w:val="00E84659"/>
    <w:rsid w:val="00E90EDD"/>
    <w:rsid w:val="00E91664"/>
    <w:rsid w:val="00E92781"/>
    <w:rsid w:val="00E93AC1"/>
    <w:rsid w:val="00EA0557"/>
    <w:rsid w:val="00EA23CE"/>
    <w:rsid w:val="00EB37C9"/>
    <w:rsid w:val="00EB49C8"/>
    <w:rsid w:val="00EC23B6"/>
    <w:rsid w:val="00EC3573"/>
    <w:rsid w:val="00EC482E"/>
    <w:rsid w:val="00EC4F4A"/>
    <w:rsid w:val="00EC7058"/>
    <w:rsid w:val="00ED3CC5"/>
    <w:rsid w:val="00EE167E"/>
    <w:rsid w:val="00EE2B15"/>
    <w:rsid w:val="00EE2C55"/>
    <w:rsid w:val="00EE50DF"/>
    <w:rsid w:val="00EE545D"/>
    <w:rsid w:val="00EE5B83"/>
    <w:rsid w:val="00EE6859"/>
    <w:rsid w:val="00EE7F8C"/>
    <w:rsid w:val="00EF1706"/>
    <w:rsid w:val="00EF1D6E"/>
    <w:rsid w:val="00EF5469"/>
    <w:rsid w:val="00EF6ABB"/>
    <w:rsid w:val="00F017DB"/>
    <w:rsid w:val="00F01ED8"/>
    <w:rsid w:val="00F05443"/>
    <w:rsid w:val="00F0621B"/>
    <w:rsid w:val="00F1301C"/>
    <w:rsid w:val="00F1455C"/>
    <w:rsid w:val="00F16D79"/>
    <w:rsid w:val="00F20148"/>
    <w:rsid w:val="00F230AB"/>
    <w:rsid w:val="00F2322D"/>
    <w:rsid w:val="00F23F7C"/>
    <w:rsid w:val="00F27EA9"/>
    <w:rsid w:val="00F32425"/>
    <w:rsid w:val="00F35F49"/>
    <w:rsid w:val="00F3656C"/>
    <w:rsid w:val="00F370F8"/>
    <w:rsid w:val="00F41115"/>
    <w:rsid w:val="00F46161"/>
    <w:rsid w:val="00F47DB2"/>
    <w:rsid w:val="00F56BC8"/>
    <w:rsid w:val="00F56C49"/>
    <w:rsid w:val="00F61952"/>
    <w:rsid w:val="00F61E09"/>
    <w:rsid w:val="00F663C6"/>
    <w:rsid w:val="00F66828"/>
    <w:rsid w:val="00F66942"/>
    <w:rsid w:val="00F70EE3"/>
    <w:rsid w:val="00F72332"/>
    <w:rsid w:val="00F7495E"/>
    <w:rsid w:val="00F74D22"/>
    <w:rsid w:val="00F75283"/>
    <w:rsid w:val="00F80B33"/>
    <w:rsid w:val="00F8522F"/>
    <w:rsid w:val="00F86919"/>
    <w:rsid w:val="00F875FA"/>
    <w:rsid w:val="00F87E96"/>
    <w:rsid w:val="00F91D9B"/>
    <w:rsid w:val="00F943BD"/>
    <w:rsid w:val="00F96802"/>
    <w:rsid w:val="00FA0381"/>
    <w:rsid w:val="00FA1B65"/>
    <w:rsid w:val="00FA284C"/>
    <w:rsid w:val="00FA6233"/>
    <w:rsid w:val="00FA76DE"/>
    <w:rsid w:val="00FB0E17"/>
    <w:rsid w:val="00FB2DB4"/>
    <w:rsid w:val="00FB6568"/>
    <w:rsid w:val="00FC0BB4"/>
    <w:rsid w:val="00FC3E35"/>
    <w:rsid w:val="00FC3EE1"/>
    <w:rsid w:val="00FC4D3C"/>
    <w:rsid w:val="00FC5895"/>
    <w:rsid w:val="00FC5B75"/>
    <w:rsid w:val="00FC7232"/>
    <w:rsid w:val="00FD1941"/>
    <w:rsid w:val="00FD269B"/>
    <w:rsid w:val="00FD306D"/>
    <w:rsid w:val="00FD3967"/>
    <w:rsid w:val="00FD6544"/>
    <w:rsid w:val="00FE7B48"/>
    <w:rsid w:val="00FE7BAE"/>
    <w:rsid w:val="00FF0EDA"/>
    <w:rsid w:val="00FF0F61"/>
    <w:rsid w:val="00FF6D7F"/>
    <w:rsid w:val="00FF75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C0C0F9A4-9E21-4E00-9436-BE12806F4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99"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30031A"/>
    <w:pPr>
      <w:spacing w:before="240" w:line="300" w:lineRule="exact"/>
      <w:jc w:val="both"/>
    </w:pPr>
    <w:rPr>
      <w:rFonts w:asciiTheme="minorHAnsi" w:hAnsiTheme="minorHAnsi"/>
      <w:sz w:val="22"/>
      <w:szCs w:val="24"/>
      <w:lang w:eastAsia="nl-NL"/>
    </w:rPr>
  </w:style>
  <w:style w:type="paragraph" w:styleId="Heading1">
    <w:name w:val="heading 1"/>
    <w:basedOn w:val="Normal"/>
    <w:next w:val="Normal"/>
    <w:link w:val="Heading1Char"/>
    <w:uiPriority w:val="9"/>
    <w:qFormat/>
    <w:rsid w:val="0065512B"/>
    <w:pPr>
      <w:keepNext/>
      <w:numPr>
        <w:numId w:val="14"/>
      </w:numPr>
      <w:suppressAutoHyphens/>
      <w:spacing w:before="0" w:after="1200" w:line="240" w:lineRule="auto"/>
      <w:jc w:val="left"/>
      <w:outlineLvl w:val="0"/>
    </w:pPr>
    <w:rPr>
      <w:rFonts w:ascii="Candara" w:hAnsi="Candara" w:cs="Arial"/>
      <w:b/>
      <w:bCs/>
      <w:color w:val="491469"/>
      <w:sz w:val="40"/>
      <w:szCs w:val="34"/>
    </w:rPr>
  </w:style>
  <w:style w:type="paragraph" w:styleId="Heading2">
    <w:name w:val="heading 2"/>
    <w:basedOn w:val="Normal"/>
    <w:next w:val="Normal"/>
    <w:link w:val="Heading2Char"/>
    <w:uiPriority w:val="9"/>
    <w:qFormat/>
    <w:rsid w:val="0082139A"/>
    <w:pPr>
      <w:keepNext/>
      <w:numPr>
        <w:ilvl w:val="1"/>
        <w:numId w:val="14"/>
      </w:numPr>
      <w:suppressAutoHyphens/>
      <w:spacing w:before="480" w:line="240" w:lineRule="auto"/>
      <w:jc w:val="left"/>
      <w:outlineLvl w:val="1"/>
    </w:pPr>
    <w:rPr>
      <w:rFonts w:ascii="Candara" w:hAnsi="Candara" w:cs="Arial"/>
      <w:b/>
      <w:bCs/>
      <w:iCs/>
      <w:sz w:val="32"/>
      <w:szCs w:val="28"/>
    </w:rPr>
  </w:style>
  <w:style w:type="paragraph" w:styleId="Heading3">
    <w:name w:val="heading 3"/>
    <w:basedOn w:val="Normal"/>
    <w:next w:val="Normal"/>
    <w:link w:val="Heading3Char"/>
    <w:uiPriority w:val="9"/>
    <w:qFormat/>
    <w:rsid w:val="0082139A"/>
    <w:pPr>
      <w:keepNext/>
      <w:numPr>
        <w:ilvl w:val="2"/>
        <w:numId w:val="14"/>
      </w:numPr>
      <w:suppressAutoHyphens/>
      <w:spacing w:before="480" w:line="240" w:lineRule="auto"/>
      <w:jc w:val="left"/>
      <w:outlineLvl w:val="2"/>
    </w:pPr>
    <w:rPr>
      <w:rFonts w:ascii="Candara" w:hAnsi="Candara" w:cs="Arial"/>
      <w:b/>
      <w:bCs/>
      <w:color w:val="808080" w:themeColor="background1" w:themeShade="80"/>
      <w:sz w:val="28"/>
      <w:szCs w:val="26"/>
    </w:rPr>
  </w:style>
  <w:style w:type="paragraph" w:styleId="Heading4">
    <w:name w:val="heading 4"/>
    <w:basedOn w:val="Normal"/>
    <w:next w:val="Normal"/>
    <w:link w:val="Heading4Char"/>
    <w:uiPriority w:val="9"/>
    <w:qFormat/>
    <w:rsid w:val="00907458"/>
    <w:pPr>
      <w:keepNext/>
      <w:numPr>
        <w:ilvl w:val="3"/>
        <w:numId w:val="14"/>
      </w:numPr>
      <w:suppressAutoHyphens/>
      <w:spacing w:before="360"/>
      <w:jc w:val="left"/>
      <w:outlineLvl w:val="3"/>
    </w:pPr>
    <w:rPr>
      <w:rFonts w:ascii="Candara" w:hAnsi="Candara"/>
      <w:b/>
      <w:bCs/>
      <w:color w:val="FFC000"/>
      <w:sz w:val="24"/>
      <w:szCs w:val="28"/>
    </w:rPr>
  </w:style>
  <w:style w:type="paragraph" w:styleId="Heading5">
    <w:name w:val="heading 5"/>
    <w:basedOn w:val="Normal"/>
    <w:next w:val="Normal"/>
    <w:link w:val="Heading5Char"/>
    <w:uiPriority w:val="9"/>
    <w:qFormat/>
    <w:rsid w:val="0082139A"/>
    <w:pPr>
      <w:keepNext/>
      <w:numPr>
        <w:ilvl w:val="4"/>
        <w:numId w:val="14"/>
      </w:numPr>
      <w:suppressAutoHyphens/>
      <w:spacing w:before="360"/>
      <w:jc w:val="left"/>
      <w:outlineLvl w:val="4"/>
    </w:pPr>
    <w:rPr>
      <w:rFonts w:ascii="Candara" w:hAnsi="Candara"/>
      <w:bCs/>
      <w:i/>
      <w:iCs/>
      <w:szCs w:val="26"/>
    </w:rPr>
  </w:style>
  <w:style w:type="paragraph" w:styleId="Heading6">
    <w:name w:val="heading 6"/>
    <w:basedOn w:val="Subtitle"/>
    <w:next w:val="Normal"/>
    <w:link w:val="Heading6Char"/>
    <w:uiPriority w:val="9"/>
    <w:qFormat/>
    <w:rsid w:val="0065512B"/>
    <w:pPr>
      <w:numPr>
        <w:ilvl w:val="5"/>
        <w:numId w:val="15"/>
      </w:numPr>
      <w:spacing w:before="0" w:after="1200"/>
      <w:outlineLvl w:val="5"/>
    </w:pPr>
    <w:rPr>
      <w:color w:val="491469"/>
      <w:sz w:val="40"/>
    </w:rPr>
  </w:style>
  <w:style w:type="paragraph" w:styleId="Heading7">
    <w:name w:val="heading 7"/>
    <w:basedOn w:val="Normal"/>
    <w:next w:val="Normal"/>
    <w:link w:val="Heading7Char"/>
    <w:uiPriority w:val="9"/>
    <w:qFormat/>
    <w:rsid w:val="0082139A"/>
    <w:pPr>
      <w:keepNext/>
      <w:numPr>
        <w:ilvl w:val="6"/>
        <w:numId w:val="14"/>
      </w:numPr>
      <w:suppressAutoHyphens/>
      <w:spacing w:before="480" w:line="240" w:lineRule="auto"/>
      <w:outlineLvl w:val="6"/>
    </w:pPr>
    <w:rPr>
      <w:rFonts w:ascii="Candara" w:hAnsi="Candara"/>
      <w:b/>
      <w:sz w:val="32"/>
    </w:rPr>
  </w:style>
  <w:style w:type="paragraph" w:styleId="Heading8">
    <w:name w:val="heading 8"/>
    <w:basedOn w:val="Heading3"/>
    <w:next w:val="Normal"/>
    <w:link w:val="Heading8Char"/>
    <w:uiPriority w:val="9"/>
    <w:qFormat/>
    <w:rsid w:val="0082139A"/>
    <w:pPr>
      <w:numPr>
        <w:ilvl w:val="7"/>
      </w:numPr>
      <w:outlineLvl w:val="7"/>
    </w:pPr>
  </w:style>
  <w:style w:type="paragraph" w:styleId="Heading9">
    <w:name w:val="heading 9"/>
    <w:basedOn w:val="Heading4"/>
    <w:next w:val="Normal"/>
    <w:link w:val="Heading9Char"/>
    <w:uiPriority w:val="9"/>
    <w:qFormat/>
    <w:rsid w:val="0082139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04AD"/>
    <w:pPr>
      <w:shd w:val="solid" w:color="FFFFFF" w:fill="FFFFFF"/>
      <w:spacing w:line="240" w:lineRule="auto"/>
      <w:jc w:val="center"/>
    </w:pPr>
    <w:rPr>
      <w:rFonts w:ascii="Century Gothic" w:hAnsi="Century Gothic"/>
      <w:b/>
      <w:noProof/>
      <w:sz w:val="16"/>
      <w:szCs w:val="13"/>
    </w:rPr>
  </w:style>
  <w:style w:type="paragraph" w:styleId="Footer">
    <w:name w:val="footer"/>
    <w:basedOn w:val="Normal"/>
    <w:link w:val="FooterChar"/>
    <w:uiPriority w:val="99"/>
    <w:rsid w:val="00C11EAD"/>
    <w:pPr>
      <w:spacing w:line="240" w:lineRule="auto"/>
      <w:jc w:val="center"/>
    </w:pPr>
    <w:rPr>
      <w:sz w:val="17"/>
    </w:rPr>
  </w:style>
  <w:style w:type="character" w:styleId="PageNumber">
    <w:name w:val="page number"/>
    <w:basedOn w:val="DefaultParagraphFont"/>
    <w:rsid w:val="00D22661"/>
    <w:rPr>
      <w:rFonts w:ascii="Garamond" w:hAnsi="Garamond"/>
      <w:sz w:val="16"/>
    </w:rPr>
  </w:style>
  <w:style w:type="paragraph" w:styleId="Title">
    <w:name w:val="Title"/>
    <w:basedOn w:val="Heading1"/>
    <w:next w:val="Normal"/>
    <w:link w:val="TitleChar"/>
    <w:uiPriority w:val="10"/>
    <w:qFormat/>
    <w:rsid w:val="0065512B"/>
    <w:pPr>
      <w:numPr>
        <w:numId w:val="0"/>
      </w:numPr>
    </w:pPr>
  </w:style>
  <w:style w:type="paragraph" w:styleId="NormalIndent">
    <w:name w:val="Normal Indent"/>
    <w:basedOn w:val="Normal"/>
    <w:link w:val="NormalIndentChar"/>
    <w:qFormat/>
    <w:rsid w:val="00740743"/>
    <w:pPr>
      <w:spacing w:before="0"/>
      <w:ind w:firstLine="170"/>
    </w:pPr>
  </w:style>
  <w:style w:type="character" w:styleId="Strong">
    <w:name w:val="Strong"/>
    <w:basedOn w:val="DefaultParagraphFont"/>
    <w:qFormat/>
    <w:rsid w:val="00585B4A"/>
    <w:rPr>
      <w:b/>
      <w:bCs/>
    </w:rPr>
  </w:style>
  <w:style w:type="character" w:customStyle="1" w:styleId="Grijs">
    <w:name w:val="_Grijs"/>
    <w:basedOn w:val="DefaultParagraphFont"/>
    <w:qFormat/>
    <w:rsid w:val="00912EC8"/>
    <w:rPr>
      <w:color w:val="808080"/>
    </w:rPr>
  </w:style>
  <w:style w:type="paragraph" w:customStyle="1" w:styleId="TITELPAGINA-Titel">
    <w:name w:val="_TITELPAGINA-Titel"/>
    <w:basedOn w:val="Normal"/>
    <w:next w:val="Normal"/>
    <w:semiHidden/>
    <w:rsid w:val="00B61B7C"/>
    <w:pPr>
      <w:suppressAutoHyphens/>
      <w:spacing w:before="0" w:line="240" w:lineRule="auto"/>
      <w:jc w:val="left"/>
    </w:pPr>
    <w:rPr>
      <w:rFonts w:ascii="Trebuchet MS" w:hAnsi="Trebuchet MS"/>
      <w:b/>
      <w:bCs/>
      <w:caps/>
      <w:sz w:val="48"/>
      <w:szCs w:val="20"/>
    </w:rPr>
  </w:style>
  <w:style w:type="paragraph" w:customStyle="1" w:styleId="TITELPAGINA-Subtitel">
    <w:name w:val="_TITELPAGINA-Subtitel"/>
    <w:basedOn w:val="Normal"/>
    <w:next w:val="Normal"/>
    <w:semiHidden/>
    <w:rsid w:val="00B61B7C"/>
    <w:pPr>
      <w:suppressAutoHyphens/>
      <w:spacing w:before="0" w:line="240" w:lineRule="auto"/>
      <w:jc w:val="left"/>
    </w:pPr>
    <w:rPr>
      <w:rFonts w:ascii="Trebuchet MS" w:hAnsi="Trebuchet MS"/>
      <w:b/>
      <w:bCs/>
      <w:color w:val="491469"/>
      <w:sz w:val="40"/>
      <w:szCs w:val="20"/>
    </w:rPr>
  </w:style>
  <w:style w:type="paragraph" w:customStyle="1" w:styleId="TITELPAGINA-Promotor">
    <w:name w:val="_TITELPAGINA-Promotor"/>
    <w:basedOn w:val="Normal"/>
    <w:next w:val="Normal"/>
    <w:semiHidden/>
    <w:rsid w:val="00B61B7C"/>
    <w:pPr>
      <w:suppressAutoHyphens/>
      <w:spacing w:after="1600" w:line="240" w:lineRule="auto"/>
      <w:ind w:left="1701"/>
      <w:jc w:val="left"/>
    </w:pPr>
    <w:rPr>
      <w:rFonts w:ascii="Trebuchet MS" w:hAnsi="Trebuchet MS"/>
      <w:b/>
      <w:sz w:val="24"/>
      <w:szCs w:val="22"/>
    </w:rPr>
  </w:style>
  <w:style w:type="paragraph" w:styleId="TOC1">
    <w:name w:val="toc 1"/>
    <w:basedOn w:val="Normal"/>
    <w:next w:val="Normal"/>
    <w:autoRedefine/>
    <w:uiPriority w:val="39"/>
    <w:qFormat/>
    <w:rsid w:val="00880A5C"/>
    <w:pPr>
      <w:tabs>
        <w:tab w:val="right" w:pos="9072"/>
      </w:tabs>
      <w:spacing w:line="240" w:lineRule="auto"/>
      <w:ind w:left="425" w:hanging="425"/>
      <w:jc w:val="left"/>
    </w:pPr>
    <w:rPr>
      <w:rFonts w:ascii="Candara" w:hAnsi="Candara"/>
      <w:b/>
      <w:sz w:val="20"/>
    </w:rPr>
  </w:style>
  <w:style w:type="character" w:styleId="Hyperlink">
    <w:name w:val="Hyperlink"/>
    <w:basedOn w:val="DefaultParagraphFont"/>
    <w:uiPriority w:val="99"/>
    <w:rsid w:val="00C676B6"/>
    <w:rPr>
      <w:color w:val="0000FF"/>
      <w:u w:val="single"/>
    </w:rPr>
  </w:style>
  <w:style w:type="table" w:styleId="TableGrid">
    <w:name w:val="Table Grid"/>
    <w:basedOn w:val="TableNormal"/>
    <w:uiPriority w:val="39"/>
    <w:rsid w:val="00D413D5"/>
    <w:pPr>
      <w:spacing w:line="274" w:lineRule="exact"/>
      <w:jc w:val="both"/>
    </w:pPr>
    <w:rPr>
      <w:rFonts w:ascii="Garamond" w:hAnsi="Garamond"/>
      <w:sz w:val="16"/>
      <w:szCs w:val="16"/>
    </w:rPr>
    <w:tblPr>
      <w:tblBorders>
        <w:top w:val="single" w:sz="4" w:space="0" w:color="808080"/>
        <w:bottom w:val="single" w:sz="4" w:space="0" w:color="808080"/>
        <w:insideH w:val="single" w:sz="4" w:space="0" w:color="808080"/>
        <w:insideV w:val="single" w:sz="4" w:space="0" w:color="808080"/>
      </w:tblBorders>
      <w:tblCellMar>
        <w:top w:w="57" w:type="dxa"/>
        <w:left w:w="57" w:type="dxa"/>
        <w:bottom w:w="57" w:type="dxa"/>
        <w:right w:w="57" w:type="dxa"/>
      </w:tblCellMar>
    </w:tblPr>
  </w:style>
  <w:style w:type="paragraph" w:styleId="TOC2">
    <w:name w:val="toc 2"/>
    <w:basedOn w:val="Normal"/>
    <w:next w:val="Normal"/>
    <w:autoRedefine/>
    <w:uiPriority w:val="39"/>
    <w:qFormat/>
    <w:rsid w:val="0081247C"/>
    <w:pPr>
      <w:tabs>
        <w:tab w:val="right" w:pos="9072"/>
      </w:tabs>
      <w:spacing w:before="0" w:line="240" w:lineRule="auto"/>
      <w:ind w:left="850" w:hanging="425"/>
      <w:jc w:val="left"/>
    </w:pPr>
    <w:rPr>
      <w:rFonts w:ascii="Candara" w:hAnsi="Candara"/>
      <w:sz w:val="20"/>
    </w:rPr>
  </w:style>
  <w:style w:type="paragraph" w:styleId="TOC3">
    <w:name w:val="toc 3"/>
    <w:basedOn w:val="Normal"/>
    <w:next w:val="Normal"/>
    <w:autoRedefine/>
    <w:uiPriority w:val="39"/>
    <w:qFormat/>
    <w:rsid w:val="0081247C"/>
    <w:pPr>
      <w:tabs>
        <w:tab w:val="right" w:pos="9072"/>
      </w:tabs>
      <w:spacing w:before="0" w:line="240" w:lineRule="auto"/>
      <w:ind w:left="1276" w:hanging="425"/>
      <w:jc w:val="left"/>
    </w:pPr>
    <w:rPr>
      <w:rFonts w:ascii="Candara" w:hAnsi="Candara"/>
      <w:sz w:val="20"/>
    </w:rPr>
  </w:style>
  <w:style w:type="numbering" w:styleId="111111">
    <w:name w:val="Outline List 2"/>
    <w:basedOn w:val="NoList"/>
    <w:semiHidden/>
    <w:rsid w:val="00AD0911"/>
    <w:pPr>
      <w:numPr>
        <w:numId w:val="8"/>
      </w:numPr>
    </w:pPr>
  </w:style>
  <w:style w:type="numbering" w:styleId="1ai">
    <w:name w:val="Outline List 1"/>
    <w:basedOn w:val="NoList"/>
    <w:semiHidden/>
    <w:rsid w:val="00AD0911"/>
    <w:pPr>
      <w:numPr>
        <w:numId w:val="9"/>
      </w:numPr>
    </w:pPr>
  </w:style>
  <w:style w:type="numbering" w:styleId="ArticleSection">
    <w:name w:val="Outline List 3"/>
    <w:basedOn w:val="NoList"/>
    <w:semiHidden/>
    <w:rsid w:val="00AD0911"/>
    <w:pPr>
      <w:numPr>
        <w:numId w:val="10"/>
      </w:numPr>
    </w:pPr>
  </w:style>
  <w:style w:type="paragraph" w:styleId="BlockText">
    <w:name w:val="Block Text"/>
    <w:basedOn w:val="Normal"/>
    <w:semiHidden/>
    <w:rsid w:val="00AD0911"/>
    <w:pPr>
      <w:spacing w:after="120"/>
      <w:ind w:left="1440" w:right="1440"/>
    </w:pPr>
  </w:style>
  <w:style w:type="paragraph" w:styleId="BodyText">
    <w:name w:val="Body Text"/>
    <w:basedOn w:val="Normal"/>
    <w:link w:val="BodyTextChar"/>
    <w:semiHidden/>
    <w:rsid w:val="00AD0911"/>
    <w:pPr>
      <w:spacing w:after="120"/>
    </w:pPr>
  </w:style>
  <w:style w:type="paragraph" w:styleId="BodyText2">
    <w:name w:val="Body Text 2"/>
    <w:basedOn w:val="Normal"/>
    <w:link w:val="BodyText2Char"/>
    <w:semiHidden/>
    <w:rsid w:val="00AD0911"/>
    <w:pPr>
      <w:spacing w:after="120" w:line="480" w:lineRule="auto"/>
    </w:pPr>
  </w:style>
  <w:style w:type="paragraph" w:styleId="BodyText3">
    <w:name w:val="Body Text 3"/>
    <w:basedOn w:val="Normal"/>
    <w:link w:val="BodyText3Char"/>
    <w:semiHidden/>
    <w:rsid w:val="00AD0911"/>
    <w:pPr>
      <w:spacing w:after="120"/>
    </w:pPr>
    <w:rPr>
      <w:sz w:val="16"/>
      <w:szCs w:val="16"/>
    </w:rPr>
  </w:style>
  <w:style w:type="paragraph" w:styleId="BodyTextFirstIndent">
    <w:name w:val="Body Text First Indent"/>
    <w:basedOn w:val="BodyText"/>
    <w:link w:val="BodyTextFirstIndentChar"/>
    <w:semiHidden/>
    <w:rsid w:val="00AD0911"/>
    <w:pPr>
      <w:ind w:firstLine="210"/>
    </w:pPr>
  </w:style>
  <w:style w:type="paragraph" w:styleId="BodyTextIndent">
    <w:name w:val="Body Text Indent"/>
    <w:basedOn w:val="Normal"/>
    <w:link w:val="BodyTextIndentChar"/>
    <w:semiHidden/>
    <w:rsid w:val="00AD0911"/>
    <w:pPr>
      <w:spacing w:after="120"/>
      <w:ind w:left="283"/>
    </w:pPr>
  </w:style>
  <w:style w:type="paragraph" w:styleId="BodyTextFirstIndent2">
    <w:name w:val="Body Text First Indent 2"/>
    <w:basedOn w:val="BodyTextIndent"/>
    <w:link w:val="BodyTextFirstIndent2Char"/>
    <w:semiHidden/>
    <w:rsid w:val="00AD0911"/>
    <w:pPr>
      <w:ind w:firstLine="210"/>
    </w:pPr>
  </w:style>
  <w:style w:type="paragraph" w:styleId="BodyTextIndent2">
    <w:name w:val="Body Text Indent 2"/>
    <w:basedOn w:val="Normal"/>
    <w:link w:val="BodyTextIndent2Char"/>
    <w:semiHidden/>
    <w:rsid w:val="00AD0911"/>
    <w:pPr>
      <w:spacing w:after="120" w:line="480" w:lineRule="auto"/>
      <w:ind w:left="283"/>
    </w:pPr>
  </w:style>
  <w:style w:type="paragraph" w:styleId="BodyTextIndent3">
    <w:name w:val="Body Text Indent 3"/>
    <w:basedOn w:val="Normal"/>
    <w:link w:val="BodyTextIndent3Char"/>
    <w:semiHidden/>
    <w:rsid w:val="00AD0911"/>
    <w:pPr>
      <w:spacing w:after="120"/>
      <w:ind w:left="283"/>
    </w:pPr>
    <w:rPr>
      <w:sz w:val="16"/>
      <w:szCs w:val="16"/>
    </w:rPr>
  </w:style>
  <w:style w:type="paragraph" w:styleId="Closing">
    <w:name w:val="Closing"/>
    <w:basedOn w:val="Normal"/>
    <w:link w:val="ClosingChar"/>
    <w:semiHidden/>
    <w:rsid w:val="00AD0911"/>
    <w:pPr>
      <w:ind w:left="4252"/>
    </w:pPr>
  </w:style>
  <w:style w:type="paragraph" w:styleId="Date">
    <w:name w:val="Date"/>
    <w:basedOn w:val="Normal"/>
    <w:next w:val="Normal"/>
    <w:link w:val="DateChar"/>
    <w:semiHidden/>
    <w:rsid w:val="00AD0911"/>
  </w:style>
  <w:style w:type="paragraph" w:styleId="E-mailSignature">
    <w:name w:val="E-mail Signature"/>
    <w:basedOn w:val="Normal"/>
    <w:link w:val="E-mailSignatureChar"/>
    <w:semiHidden/>
    <w:rsid w:val="00AD0911"/>
  </w:style>
  <w:style w:type="paragraph" w:styleId="EnvelopeAddress">
    <w:name w:val="envelope address"/>
    <w:basedOn w:val="Normal"/>
    <w:semiHidden/>
    <w:rsid w:val="00AD091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semiHidden/>
    <w:rsid w:val="00AD0911"/>
    <w:rPr>
      <w:rFonts w:ascii="Arial" w:hAnsi="Arial" w:cs="Arial"/>
      <w:sz w:val="20"/>
      <w:szCs w:val="20"/>
    </w:rPr>
  </w:style>
  <w:style w:type="character" w:styleId="FollowedHyperlink">
    <w:name w:val="FollowedHyperlink"/>
    <w:basedOn w:val="DefaultParagraphFont"/>
    <w:uiPriority w:val="99"/>
    <w:semiHidden/>
    <w:rsid w:val="00AD0911"/>
    <w:rPr>
      <w:color w:val="800080"/>
      <w:u w:val="single"/>
    </w:rPr>
  </w:style>
  <w:style w:type="character" w:styleId="FootnoteReference">
    <w:name w:val="footnote reference"/>
    <w:basedOn w:val="DefaultParagraphFont"/>
    <w:uiPriority w:val="99"/>
    <w:semiHidden/>
    <w:rsid w:val="00AC383D"/>
    <w:rPr>
      <w:sz w:val="18"/>
      <w:szCs w:val="18"/>
      <w:vertAlign w:val="superscript"/>
    </w:rPr>
  </w:style>
  <w:style w:type="paragraph" w:styleId="FootnoteText">
    <w:name w:val="footnote text"/>
    <w:basedOn w:val="Normal"/>
    <w:link w:val="FootnoteTextChar"/>
    <w:uiPriority w:val="99"/>
    <w:semiHidden/>
    <w:rsid w:val="00AC383D"/>
    <w:pPr>
      <w:tabs>
        <w:tab w:val="left" w:pos="227"/>
      </w:tabs>
      <w:spacing w:before="0" w:line="240" w:lineRule="auto"/>
      <w:ind w:left="227" w:hanging="227"/>
    </w:pPr>
    <w:rPr>
      <w:sz w:val="18"/>
      <w:szCs w:val="18"/>
    </w:rPr>
  </w:style>
  <w:style w:type="character" w:styleId="HTMLAcronym">
    <w:name w:val="HTML Acronym"/>
    <w:basedOn w:val="DefaultParagraphFont"/>
    <w:semiHidden/>
    <w:rsid w:val="00AD0911"/>
  </w:style>
  <w:style w:type="paragraph" w:styleId="HTMLAddress">
    <w:name w:val="HTML Address"/>
    <w:basedOn w:val="Normal"/>
    <w:link w:val="HTMLAddressChar"/>
    <w:semiHidden/>
    <w:rsid w:val="00AD0911"/>
    <w:rPr>
      <w:i/>
      <w:iCs/>
    </w:rPr>
  </w:style>
  <w:style w:type="character" w:styleId="HTMLCite">
    <w:name w:val="HTML Cite"/>
    <w:basedOn w:val="DefaultParagraphFont"/>
    <w:semiHidden/>
    <w:rsid w:val="00AD0911"/>
    <w:rPr>
      <w:i/>
      <w:iCs/>
    </w:rPr>
  </w:style>
  <w:style w:type="character" w:styleId="HTMLCode">
    <w:name w:val="HTML Code"/>
    <w:basedOn w:val="DefaultParagraphFont"/>
    <w:semiHidden/>
    <w:rsid w:val="00AD0911"/>
    <w:rPr>
      <w:rFonts w:ascii="Courier New" w:hAnsi="Courier New" w:cs="Courier New"/>
      <w:sz w:val="20"/>
      <w:szCs w:val="20"/>
    </w:rPr>
  </w:style>
  <w:style w:type="character" w:styleId="HTMLDefinition">
    <w:name w:val="HTML Definition"/>
    <w:basedOn w:val="DefaultParagraphFont"/>
    <w:semiHidden/>
    <w:rsid w:val="00AD0911"/>
    <w:rPr>
      <w:i/>
      <w:iCs/>
    </w:rPr>
  </w:style>
  <w:style w:type="character" w:styleId="HTMLKeyboard">
    <w:name w:val="HTML Keyboard"/>
    <w:basedOn w:val="DefaultParagraphFont"/>
    <w:semiHidden/>
    <w:rsid w:val="00AD0911"/>
    <w:rPr>
      <w:rFonts w:ascii="Courier New" w:hAnsi="Courier New" w:cs="Courier New"/>
      <w:sz w:val="20"/>
      <w:szCs w:val="20"/>
    </w:rPr>
  </w:style>
  <w:style w:type="paragraph" w:styleId="HTMLPreformatted">
    <w:name w:val="HTML Preformatted"/>
    <w:basedOn w:val="Normal"/>
    <w:link w:val="HTMLPreformattedChar"/>
    <w:semiHidden/>
    <w:rsid w:val="00AD0911"/>
    <w:rPr>
      <w:rFonts w:ascii="Courier New" w:hAnsi="Courier New" w:cs="Courier New"/>
      <w:sz w:val="20"/>
      <w:szCs w:val="20"/>
    </w:rPr>
  </w:style>
  <w:style w:type="character" w:styleId="HTMLSample">
    <w:name w:val="HTML Sample"/>
    <w:basedOn w:val="DefaultParagraphFont"/>
    <w:semiHidden/>
    <w:rsid w:val="00AD0911"/>
    <w:rPr>
      <w:rFonts w:ascii="Courier New" w:hAnsi="Courier New" w:cs="Courier New"/>
    </w:rPr>
  </w:style>
  <w:style w:type="character" w:styleId="HTMLTypewriter">
    <w:name w:val="HTML Typewriter"/>
    <w:basedOn w:val="DefaultParagraphFont"/>
    <w:semiHidden/>
    <w:rsid w:val="00AD0911"/>
    <w:rPr>
      <w:rFonts w:ascii="Courier New" w:hAnsi="Courier New" w:cs="Courier New"/>
      <w:sz w:val="20"/>
      <w:szCs w:val="20"/>
    </w:rPr>
  </w:style>
  <w:style w:type="character" w:styleId="HTMLVariable">
    <w:name w:val="HTML Variable"/>
    <w:basedOn w:val="DefaultParagraphFont"/>
    <w:semiHidden/>
    <w:rsid w:val="00AD0911"/>
    <w:rPr>
      <w:i/>
      <w:iCs/>
    </w:rPr>
  </w:style>
  <w:style w:type="character" w:styleId="LineNumber">
    <w:name w:val="line number"/>
    <w:basedOn w:val="DefaultParagraphFont"/>
    <w:semiHidden/>
    <w:rsid w:val="00AD0911"/>
  </w:style>
  <w:style w:type="paragraph" w:styleId="List2">
    <w:name w:val="List 2"/>
    <w:basedOn w:val="Normal"/>
    <w:semiHidden/>
    <w:rsid w:val="00AD0911"/>
    <w:pPr>
      <w:ind w:left="566" w:hanging="283"/>
    </w:pPr>
  </w:style>
  <w:style w:type="paragraph" w:styleId="List3">
    <w:name w:val="List 3"/>
    <w:basedOn w:val="Normal"/>
    <w:semiHidden/>
    <w:rsid w:val="00AD0911"/>
    <w:pPr>
      <w:ind w:left="849" w:hanging="283"/>
    </w:pPr>
  </w:style>
  <w:style w:type="paragraph" w:styleId="List4">
    <w:name w:val="List 4"/>
    <w:basedOn w:val="Normal"/>
    <w:semiHidden/>
    <w:rsid w:val="00AD0911"/>
    <w:pPr>
      <w:ind w:left="1132" w:hanging="283"/>
    </w:pPr>
  </w:style>
  <w:style w:type="paragraph" w:styleId="List5">
    <w:name w:val="List 5"/>
    <w:basedOn w:val="Normal"/>
    <w:semiHidden/>
    <w:rsid w:val="00AD0911"/>
    <w:pPr>
      <w:ind w:left="1415" w:hanging="283"/>
    </w:pPr>
  </w:style>
  <w:style w:type="paragraph" w:styleId="ListBullet2">
    <w:name w:val="List Bullet 2"/>
    <w:basedOn w:val="Normal"/>
    <w:qFormat/>
    <w:rsid w:val="00647D89"/>
    <w:pPr>
      <w:numPr>
        <w:numId w:val="12"/>
      </w:numPr>
      <w:spacing w:before="0"/>
    </w:pPr>
  </w:style>
  <w:style w:type="paragraph" w:styleId="ListBullet3">
    <w:name w:val="List Bullet 3"/>
    <w:basedOn w:val="Normal"/>
    <w:rsid w:val="00A66FBD"/>
    <w:pPr>
      <w:numPr>
        <w:numId w:val="1"/>
      </w:numPr>
      <w:spacing w:before="0"/>
    </w:pPr>
  </w:style>
  <w:style w:type="paragraph" w:styleId="ListBullet4">
    <w:name w:val="List Bullet 4"/>
    <w:basedOn w:val="Normal"/>
    <w:semiHidden/>
    <w:rsid w:val="00A66FBD"/>
    <w:pPr>
      <w:numPr>
        <w:numId w:val="2"/>
      </w:numPr>
      <w:spacing w:before="0"/>
      <w:ind w:left="1208" w:hanging="357"/>
    </w:pPr>
  </w:style>
  <w:style w:type="paragraph" w:styleId="ListBullet5">
    <w:name w:val="List Bullet 5"/>
    <w:basedOn w:val="Normal"/>
    <w:autoRedefine/>
    <w:semiHidden/>
    <w:rsid w:val="00AD0911"/>
    <w:pPr>
      <w:numPr>
        <w:numId w:val="3"/>
      </w:numPr>
    </w:pPr>
  </w:style>
  <w:style w:type="paragraph" w:styleId="ListContinue2">
    <w:name w:val="List Continue 2"/>
    <w:basedOn w:val="Normal"/>
    <w:semiHidden/>
    <w:rsid w:val="00AD0911"/>
    <w:pPr>
      <w:spacing w:after="120"/>
      <w:ind w:left="566"/>
    </w:pPr>
  </w:style>
  <w:style w:type="paragraph" w:styleId="ListContinue3">
    <w:name w:val="List Continue 3"/>
    <w:basedOn w:val="Normal"/>
    <w:semiHidden/>
    <w:rsid w:val="00AD0911"/>
    <w:pPr>
      <w:spacing w:after="120"/>
      <w:ind w:left="849"/>
    </w:pPr>
  </w:style>
  <w:style w:type="paragraph" w:styleId="ListContinue4">
    <w:name w:val="List Continue 4"/>
    <w:basedOn w:val="Normal"/>
    <w:semiHidden/>
    <w:rsid w:val="00AD0911"/>
    <w:pPr>
      <w:spacing w:after="120"/>
      <w:ind w:left="1132"/>
    </w:pPr>
  </w:style>
  <w:style w:type="paragraph" w:styleId="ListContinue5">
    <w:name w:val="List Continue 5"/>
    <w:basedOn w:val="Normal"/>
    <w:semiHidden/>
    <w:rsid w:val="00AD0911"/>
    <w:pPr>
      <w:spacing w:after="120"/>
      <w:ind w:left="1415"/>
    </w:pPr>
  </w:style>
  <w:style w:type="paragraph" w:styleId="ListNumber2">
    <w:name w:val="List Number 2"/>
    <w:basedOn w:val="Normal"/>
    <w:qFormat/>
    <w:rsid w:val="00A66FBD"/>
    <w:pPr>
      <w:numPr>
        <w:numId w:val="4"/>
      </w:numPr>
      <w:spacing w:before="0"/>
    </w:pPr>
  </w:style>
  <w:style w:type="paragraph" w:styleId="ListNumber3">
    <w:name w:val="List Number 3"/>
    <w:basedOn w:val="Normal"/>
    <w:semiHidden/>
    <w:rsid w:val="00A66FBD"/>
    <w:pPr>
      <w:numPr>
        <w:numId w:val="5"/>
      </w:numPr>
      <w:spacing w:before="0"/>
      <w:ind w:left="924" w:hanging="357"/>
    </w:pPr>
  </w:style>
  <w:style w:type="paragraph" w:styleId="ListNumber4">
    <w:name w:val="List Number 4"/>
    <w:basedOn w:val="Normal"/>
    <w:semiHidden/>
    <w:rsid w:val="00A66FBD"/>
    <w:pPr>
      <w:numPr>
        <w:numId w:val="6"/>
      </w:numPr>
      <w:spacing w:before="0"/>
      <w:ind w:left="1208" w:hanging="357"/>
    </w:pPr>
  </w:style>
  <w:style w:type="paragraph" w:styleId="ListNumber5">
    <w:name w:val="List Number 5"/>
    <w:basedOn w:val="Normal"/>
    <w:semiHidden/>
    <w:rsid w:val="00AD0911"/>
    <w:pPr>
      <w:numPr>
        <w:numId w:val="7"/>
      </w:numPr>
    </w:pPr>
  </w:style>
  <w:style w:type="paragraph" w:styleId="MessageHeader">
    <w:name w:val="Message Header"/>
    <w:basedOn w:val="Normal"/>
    <w:link w:val="MessageHeaderChar"/>
    <w:semiHidden/>
    <w:rsid w:val="00AD091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0A3A4A"/>
    <w:rPr>
      <w:rFonts w:ascii="Times New Roman" w:hAnsi="Times New Roman"/>
      <w:sz w:val="24"/>
    </w:rPr>
  </w:style>
  <w:style w:type="paragraph" w:styleId="Salutation">
    <w:name w:val="Salutation"/>
    <w:basedOn w:val="Normal"/>
    <w:next w:val="Normal"/>
    <w:link w:val="SalutationChar"/>
    <w:semiHidden/>
    <w:rsid w:val="00AD0911"/>
  </w:style>
  <w:style w:type="paragraph" w:styleId="Signature">
    <w:name w:val="Signature"/>
    <w:basedOn w:val="Normal"/>
    <w:link w:val="SignatureChar"/>
    <w:semiHidden/>
    <w:rsid w:val="00AD0911"/>
    <w:pPr>
      <w:ind w:left="4252"/>
    </w:pPr>
  </w:style>
  <w:style w:type="table" w:styleId="Table3Deffects1">
    <w:name w:val="Table 3D effects 1"/>
    <w:basedOn w:val="TableNormal"/>
    <w:semiHidden/>
    <w:rsid w:val="00AD0911"/>
    <w:pPr>
      <w:spacing w:line="274" w:lineRule="exac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D0911"/>
    <w:pPr>
      <w:spacing w:line="274" w:lineRule="exac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D0911"/>
    <w:pPr>
      <w:spacing w:line="274" w:lineRule="exac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01ED8"/>
    <w:pPr>
      <w:keepNext/>
    </w:pPr>
    <w:rPr>
      <w:rFonts w:ascii="Garamond" w:hAnsi="Garamond"/>
      <w:sz w:val="17"/>
    </w:rPr>
    <w:tblPr>
      <w:tblInd w:w="57" w:type="dxa"/>
      <w:tblBorders>
        <w:top w:val="single" w:sz="4" w:space="0" w:color="808080"/>
        <w:left w:val="single" w:sz="12" w:space="0" w:color="808080"/>
        <w:bottom w:val="single" w:sz="4" w:space="0" w:color="808080"/>
        <w:right w:val="single" w:sz="12" w:space="0" w:color="808080"/>
        <w:insideH w:val="single" w:sz="4" w:space="0" w:color="808080"/>
        <w:insideV w:val="single" w:sz="4" w:space="0" w:color="808080"/>
      </w:tblBorders>
      <w:tblCellMar>
        <w:top w:w="57" w:type="dxa"/>
        <w:left w:w="57" w:type="dxa"/>
        <w:bottom w:w="57" w:type="dxa"/>
        <w:right w:w="57" w:type="dxa"/>
      </w:tblCellMar>
    </w:tblPr>
    <w:tcPr>
      <w:shd w:val="clear" w:color="auto" w:fill="auto"/>
    </w:tcPr>
    <w:tblStylePr w:type="firstRow">
      <w:rPr>
        <w:rFonts w:ascii="Cambria" w:hAnsi="Cambria"/>
        <w:i w:val="0"/>
        <w:iCs/>
        <w:sz w:val="19"/>
      </w:rPr>
      <w:tblPr/>
      <w:tcPr>
        <w:tcBorders>
          <w:top w:val="single" w:sz="4" w:space="0" w:color="808080"/>
          <w:left w:val="single" w:sz="12" w:space="0" w:color="808080"/>
          <w:bottom w:val="single" w:sz="4" w:space="0" w:color="808080"/>
        </w:tcBorders>
        <w:shd w:val="clear" w:color="auto" w:fill="auto"/>
      </w:tcPr>
    </w:tblStylePr>
    <w:tblStylePr w:type="lastRow">
      <w:rPr>
        <w:rFonts w:ascii="Cambria" w:hAnsi="Cambria"/>
        <w:color w:val="auto"/>
        <w:sz w:val="19"/>
      </w:rPr>
      <w:tblPr/>
      <w:tcPr>
        <w:tcBorders>
          <w:top w:val="single" w:sz="4" w:space="0" w:color="808080"/>
          <w:bottom w:val="single" w:sz="4" w:space="0" w:color="808080"/>
          <w:insideV w:val="single" w:sz="4" w:space="0" w:color="808080"/>
        </w:tcBorders>
        <w:shd w:val="clear" w:color="auto" w:fill="auto"/>
      </w:tcPr>
    </w:tblStylePr>
    <w:tblStylePr w:type="firstCol">
      <w:rPr>
        <w:rFonts w:ascii="Cambria" w:hAnsi="Cambria"/>
        <w:sz w:val="19"/>
      </w:rPr>
      <w:tblPr/>
      <w:tcPr>
        <w:tcBorders>
          <w:left w:val="single" w:sz="12" w:space="0" w:color="808080"/>
          <w:right w:val="single" w:sz="4" w:space="0" w:color="808080"/>
        </w:tcBorders>
        <w:shd w:val="clear" w:color="auto" w:fill="auto"/>
      </w:tcPr>
    </w:tblStylePr>
    <w:tblStylePr w:type="lastCol">
      <w:rPr>
        <w:rFonts w:ascii="Cambria" w:hAnsi="Cambria"/>
        <w:sz w:val="19"/>
      </w:rPr>
      <w:tblPr/>
      <w:tcPr>
        <w:tcBorders>
          <w:top w:val="single" w:sz="4" w:space="0" w:color="808080"/>
          <w:left w:val="nil"/>
          <w:bottom w:val="single" w:sz="4" w:space="0" w:color="808080"/>
          <w:right w:val="single" w:sz="12" w:space="0" w:color="808080"/>
          <w:insideH w:val="nil"/>
          <w:insideV w:val="nil"/>
          <w:tl2br w:val="nil"/>
          <w:tr2bl w:val="nil"/>
        </w:tcBorders>
        <w:shd w:val="clear" w:color="auto" w:fill="auto"/>
      </w:tcPr>
    </w:tblStylePr>
    <w:tblStylePr w:type="neCell">
      <w:rPr>
        <w:rFonts w:ascii="Cambria" w:hAnsi="Cambria"/>
        <w:b w:val="0"/>
        <w:bCs/>
        <w:i w:val="0"/>
        <w:iCs w:val="0"/>
        <w:sz w:val="19"/>
      </w:rPr>
      <w:tblPr/>
      <w:tcPr>
        <w:tcBorders>
          <w:tl2br w:val="none" w:sz="0" w:space="0" w:color="auto"/>
          <w:tr2bl w:val="none" w:sz="0" w:space="0" w:color="auto"/>
        </w:tcBorders>
      </w:tcPr>
    </w:tblStylePr>
    <w:tblStylePr w:type="nwCell">
      <w:rPr>
        <w:rFonts w:ascii="Cambria" w:hAnsi="Cambria"/>
        <w:sz w:val="19"/>
      </w:rPr>
    </w:tblStylePr>
    <w:tblStylePr w:type="seCell">
      <w:rPr>
        <w:rFonts w:ascii="Cambria" w:hAnsi="Cambria"/>
        <w:sz w:val="19"/>
      </w:rPr>
    </w:tblStylePr>
    <w:tblStylePr w:type="swCell">
      <w:rPr>
        <w:rFonts w:ascii="Cambria" w:hAnsi="Cambria"/>
        <w:b w:val="0"/>
        <w:bCs/>
        <w:sz w:val="19"/>
      </w:rPr>
      <w:tblPr/>
      <w:tcPr>
        <w:tcBorders>
          <w:tl2br w:val="none" w:sz="0" w:space="0" w:color="auto"/>
          <w:tr2bl w:val="none" w:sz="0" w:space="0" w:color="auto"/>
        </w:tcBorders>
      </w:tcPr>
    </w:tblStylePr>
  </w:style>
  <w:style w:type="table" w:styleId="TableClassic2">
    <w:name w:val="Table Classic 2"/>
    <w:basedOn w:val="TableNormal"/>
    <w:semiHidden/>
    <w:rsid w:val="00AD0911"/>
    <w:pPr>
      <w:spacing w:line="274" w:lineRule="exac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D0911"/>
    <w:pPr>
      <w:spacing w:line="274" w:lineRule="exac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D0911"/>
    <w:pPr>
      <w:spacing w:line="274" w:lineRule="exac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D0911"/>
    <w:pPr>
      <w:spacing w:line="274" w:lineRule="exac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D0911"/>
    <w:pPr>
      <w:spacing w:line="274" w:lineRule="exac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D0911"/>
    <w:pPr>
      <w:spacing w:line="274" w:lineRule="exac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D0911"/>
    <w:pPr>
      <w:spacing w:line="274" w:lineRule="exac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D0911"/>
    <w:pPr>
      <w:spacing w:line="274" w:lineRule="exac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D0911"/>
    <w:pPr>
      <w:spacing w:line="274" w:lineRule="exac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D0911"/>
    <w:pPr>
      <w:spacing w:line="274" w:lineRule="exac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D0911"/>
    <w:pPr>
      <w:spacing w:line="274" w:lineRule="exac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D0911"/>
    <w:pPr>
      <w:spacing w:line="274"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D0911"/>
    <w:pPr>
      <w:spacing w:line="274"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D413D5"/>
    <w:pPr>
      <w:spacing w:line="274" w:lineRule="exact"/>
      <w:jc w:val="both"/>
    </w:pPr>
    <w:rPr>
      <w:rFonts w:ascii="Garamond" w:hAnsi="Garamond"/>
      <w:sz w:val="16"/>
    </w:rPr>
    <w:tblPr>
      <w:tblBorders>
        <w:top w:val="single" w:sz="6" w:space="0" w:color="000000"/>
        <w:bottom w:val="single" w:sz="6" w:space="0" w:color="000000"/>
        <w:insideH w:val="single" w:sz="6" w:space="0" w:color="000000"/>
        <w:insideV w:val="single" w:sz="6" w:space="0" w:color="000000"/>
      </w:tblBorders>
      <w:tblCellMar>
        <w:top w:w="57" w:type="dxa"/>
        <w:left w:w="57" w:type="dxa"/>
        <w:bottom w:w="57" w:type="dxa"/>
        <w:right w:w="57"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D0911"/>
    <w:pPr>
      <w:spacing w:line="274" w:lineRule="exac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D0911"/>
    <w:pPr>
      <w:spacing w:line="274" w:lineRule="exac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D0911"/>
    <w:pPr>
      <w:spacing w:line="274" w:lineRule="exac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D0911"/>
    <w:pPr>
      <w:spacing w:line="274" w:lineRule="exac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D0911"/>
    <w:pPr>
      <w:spacing w:line="274" w:lineRule="exac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D0911"/>
    <w:pPr>
      <w:spacing w:line="274" w:lineRule="exac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AD0911"/>
    <w:pPr>
      <w:spacing w:line="274" w:lineRule="exac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D0911"/>
    <w:pPr>
      <w:spacing w:line="274" w:lineRule="exac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D0911"/>
    <w:pPr>
      <w:spacing w:line="274" w:lineRule="exac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D0911"/>
    <w:pPr>
      <w:spacing w:line="274" w:lineRule="exac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D0911"/>
    <w:pPr>
      <w:spacing w:line="274" w:lineRule="exac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D0911"/>
    <w:pPr>
      <w:spacing w:line="274"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D0911"/>
    <w:pPr>
      <w:spacing w:line="274" w:lineRule="exac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D0911"/>
    <w:pPr>
      <w:spacing w:line="274" w:lineRule="exac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D0911"/>
    <w:pPr>
      <w:spacing w:line="274"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D0911"/>
    <w:pPr>
      <w:spacing w:line="274" w:lineRule="exac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D0911"/>
    <w:pPr>
      <w:spacing w:line="274" w:lineRule="exac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D0911"/>
    <w:pPr>
      <w:spacing w:line="274"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D0911"/>
    <w:pPr>
      <w:spacing w:line="274"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D0911"/>
    <w:pPr>
      <w:spacing w:line="274" w:lineRule="exac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D0911"/>
    <w:pPr>
      <w:spacing w:line="274" w:lineRule="exac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5363F0"/>
    <w:pPr>
      <w:tabs>
        <w:tab w:val="right" w:pos="9072"/>
      </w:tabs>
      <w:spacing w:before="0" w:line="240" w:lineRule="auto"/>
      <w:ind w:left="737" w:hanging="737"/>
    </w:pPr>
    <w:rPr>
      <w:rFonts w:ascii="Candara" w:hAnsi="Candara"/>
      <w:sz w:val="19"/>
    </w:rPr>
  </w:style>
  <w:style w:type="paragraph" w:styleId="TOC5">
    <w:name w:val="toc 5"/>
    <w:basedOn w:val="Normal"/>
    <w:next w:val="Normal"/>
    <w:autoRedefine/>
    <w:semiHidden/>
    <w:rsid w:val="008249F1"/>
    <w:pPr>
      <w:tabs>
        <w:tab w:val="right" w:pos="7031"/>
      </w:tabs>
      <w:spacing w:line="240" w:lineRule="auto"/>
      <w:ind w:left="1247" w:hanging="907"/>
    </w:pPr>
    <w:rPr>
      <w:rFonts w:ascii="Century Gothic" w:hAnsi="Century Gothic"/>
      <w:sz w:val="17"/>
    </w:rPr>
  </w:style>
  <w:style w:type="paragraph" w:customStyle="1" w:styleId="Citaat">
    <w:name w:val="_Citaat"/>
    <w:basedOn w:val="Normal"/>
    <w:link w:val="CitaatChar"/>
    <w:qFormat/>
    <w:rsid w:val="00A277CA"/>
    <w:pPr>
      <w:spacing w:after="240"/>
      <w:ind w:left="170"/>
    </w:pPr>
    <w:rPr>
      <w:i/>
      <w:color w:val="A6A6A6" w:themeColor="background1" w:themeShade="A6"/>
    </w:rPr>
  </w:style>
  <w:style w:type="character" w:customStyle="1" w:styleId="CitaatChar">
    <w:name w:val="_Citaat Char"/>
    <w:basedOn w:val="DefaultParagraphFont"/>
    <w:link w:val="Citaat"/>
    <w:rsid w:val="00A277CA"/>
    <w:rPr>
      <w:rFonts w:asciiTheme="minorHAnsi" w:hAnsiTheme="minorHAnsi"/>
      <w:i/>
      <w:color w:val="A6A6A6" w:themeColor="background1" w:themeShade="A6"/>
      <w:sz w:val="22"/>
      <w:szCs w:val="24"/>
      <w:lang w:eastAsia="nl-NL"/>
    </w:rPr>
  </w:style>
  <w:style w:type="paragraph" w:styleId="ListNumber">
    <w:name w:val="List Number"/>
    <w:basedOn w:val="Normal"/>
    <w:qFormat/>
    <w:rsid w:val="00B4768A"/>
    <w:pPr>
      <w:spacing w:before="0"/>
    </w:pPr>
  </w:style>
  <w:style w:type="paragraph" w:customStyle="1" w:styleId="FiguurTabel-TekstBron">
    <w:name w:val="_Figuur/Tabel-TekstBron"/>
    <w:basedOn w:val="Normal"/>
    <w:next w:val="Normal"/>
    <w:rsid w:val="00B302E9"/>
    <w:pPr>
      <w:keepLines/>
      <w:spacing w:before="0" w:after="240" w:line="240" w:lineRule="auto"/>
      <w:ind w:left="567" w:hanging="567"/>
      <w:jc w:val="left"/>
    </w:pPr>
    <w:rPr>
      <w:sz w:val="20"/>
      <w:szCs w:val="34"/>
    </w:rPr>
  </w:style>
  <w:style w:type="paragraph" w:styleId="List">
    <w:name w:val="List"/>
    <w:basedOn w:val="Normal"/>
    <w:semiHidden/>
    <w:rsid w:val="004856FA"/>
    <w:pPr>
      <w:ind w:left="283" w:hanging="283"/>
    </w:pPr>
  </w:style>
  <w:style w:type="paragraph" w:styleId="ListBullet">
    <w:name w:val="List Bullet"/>
    <w:basedOn w:val="Normal"/>
    <w:qFormat/>
    <w:rsid w:val="00647D89"/>
    <w:pPr>
      <w:numPr>
        <w:numId w:val="11"/>
      </w:numPr>
      <w:spacing w:before="0"/>
    </w:pPr>
  </w:style>
  <w:style w:type="paragraph" w:styleId="ListContinue">
    <w:name w:val="List Continue"/>
    <w:basedOn w:val="Normal"/>
    <w:semiHidden/>
    <w:rsid w:val="008C2713"/>
    <w:pPr>
      <w:spacing w:after="120"/>
      <w:ind w:left="283"/>
    </w:pPr>
  </w:style>
  <w:style w:type="paragraph" w:styleId="NoteHeading">
    <w:name w:val="Note Heading"/>
    <w:basedOn w:val="Normal"/>
    <w:next w:val="Normal"/>
    <w:link w:val="NoteHeadingChar"/>
    <w:semiHidden/>
    <w:rsid w:val="00A830F7"/>
  </w:style>
  <w:style w:type="character" w:styleId="Emphasis">
    <w:name w:val="Emphasis"/>
    <w:basedOn w:val="DefaultParagraphFont"/>
    <w:qFormat/>
    <w:rsid w:val="00A830F7"/>
    <w:rPr>
      <w:i/>
      <w:iCs/>
    </w:rPr>
  </w:style>
  <w:style w:type="table" w:styleId="TableList1">
    <w:name w:val="Table List 1"/>
    <w:basedOn w:val="TableNormal"/>
    <w:semiHidden/>
    <w:rsid w:val="00AD4118"/>
    <w:pPr>
      <w:spacing w:line="274" w:lineRule="exac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D4118"/>
    <w:pPr>
      <w:spacing w:line="274" w:lineRule="exac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Tekst">
    <w:name w:val="_Tabel-Tekst"/>
    <w:basedOn w:val="Normal"/>
    <w:next w:val="FiguurTabel-Opmerking"/>
    <w:qFormat/>
    <w:rsid w:val="00981D2E"/>
    <w:pPr>
      <w:keepNext/>
      <w:spacing w:before="0" w:line="240" w:lineRule="auto"/>
      <w:jc w:val="left"/>
    </w:pPr>
    <w:rPr>
      <w:sz w:val="20"/>
      <w:szCs w:val="16"/>
    </w:rPr>
  </w:style>
  <w:style w:type="paragraph" w:customStyle="1" w:styleId="Bibliografie">
    <w:name w:val="_Bibliografie"/>
    <w:basedOn w:val="Normal"/>
    <w:qFormat/>
    <w:rsid w:val="00C40A0C"/>
    <w:pPr>
      <w:spacing w:before="120" w:line="240" w:lineRule="exact"/>
      <w:ind w:left="170" w:hanging="170"/>
    </w:pPr>
    <w:rPr>
      <w:szCs w:val="19"/>
    </w:rPr>
  </w:style>
  <w:style w:type="table" w:styleId="TableList3">
    <w:name w:val="Table List 3"/>
    <w:basedOn w:val="TableNormal"/>
    <w:semiHidden/>
    <w:rsid w:val="00AD4118"/>
    <w:pPr>
      <w:spacing w:line="274" w:lineRule="exac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PlainText">
    <w:name w:val="Plain Text"/>
    <w:basedOn w:val="Normal"/>
    <w:link w:val="PlainTextChar"/>
    <w:semiHidden/>
    <w:rsid w:val="004A08AE"/>
    <w:rPr>
      <w:rFonts w:ascii="Courier New" w:hAnsi="Courier New" w:cs="Courier New"/>
      <w:sz w:val="20"/>
      <w:szCs w:val="20"/>
    </w:rPr>
  </w:style>
  <w:style w:type="paragraph" w:styleId="Subtitle">
    <w:name w:val="Subtitle"/>
    <w:basedOn w:val="Heading2"/>
    <w:next w:val="Normal"/>
    <w:link w:val="SubtitleChar"/>
    <w:rsid w:val="008D5755"/>
    <w:pPr>
      <w:numPr>
        <w:ilvl w:val="0"/>
        <w:numId w:val="0"/>
      </w:numPr>
    </w:pPr>
  </w:style>
  <w:style w:type="paragraph" w:styleId="TableofFigures">
    <w:name w:val="table of figures"/>
    <w:basedOn w:val="Normal"/>
    <w:next w:val="Normal"/>
    <w:uiPriority w:val="99"/>
    <w:rsid w:val="00301DB0"/>
    <w:pPr>
      <w:tabs>
        <w:tab w:val="right" w:pos="9072"/>
      </w:tabs>
      <w:ind w:left="1134" w:hanging="1134"/>
    </w:pPr>
    <w:rPr>
      <w:rFonts w:ascii="Candara" w:hAnsi="Candara"/>
      <w:sz w:val="20"/>
    </w:rPr>
  </w:style>
  <w:style w:type="paragraph" w:customStyle="1" w:styleId="TITELPAGINA-Info-Datum">
    <w:name w:val="_TITELPAGINA-Info-Datum"/>
    <w:basedOn w:val="Normal"/>
    <w:qFormat/>
    <w:rsid w:val="00B61B7C"/>
    <w:pPr>
      <w:spacing w:before="0" w:after="240" w:line="240" w:lineRule="auto"/>
      <w:jc w:val="left"/>
    </w:pPr>
    <w:rPr>
      <w:rFonts w:ascii="Trebuchet MS" w:hAnsi="Trebuchet MS"/>
      <w:sz w:val="24"/>
      <w:szCs w:val="22"/>
    </w:rPr>
  </w:style>
  <w:style w:type="paragraph" w:customStyle="1" w:styleId="TITELPAGINA-Colofon">
    <w:name w:val="_TITELPAGINA-Colofon"/>
    <w:basedOn w:val="Normal"/>
    <w:semiHidden/>
    <w:rsid w:val="00B61B7C"/>
    <w:pPr>
      <w:suppressAutoHyphens/>
      <w:spacing w:before="0" w:after="200" w:line="240" w:lineRule="auto"/>
    </w:pPr>
    <w:rPr>
      <w:rFonts w:ascii="Trebuchet MS" w:hAnsi="Trebuchet MS"/>
      <w:sz w:val="18"/>
      <w:szCs w:val="20"/>
    </w:rPr>
  </w:style>
  <w:style w:type="paragraph" w:customStyle="1" w:styleId="TITELPAGINA-Auteursnamen">
    <w:name w:val="_TITELPAGINA-Auteursnamen"/>
    <w:basedOn w:val="Normal"/>
    <w:next w:val="TITELPAGINA-Promotor"/>
    <w:semiHidden/>
    <w:rsid w:val="00B61B7C"/>
    <w:pPr>
      <w:suppressAutoHyphens/>
      <w:spacing w:before="1600" w:line="240" w:lineRule="auto"/>
      <w:ind w:left="1701"/>
      <w:jc w:val="left"/>
    </w:pPr>
    <w:rPr>
      <w:rFonts w:ascii="Trebuchet MS" w:hAnsi="Trebuchet MS"/>
      <w:b/>
      <w:bCs/>
      <w:sz w:val="24"/>
      <w:szCs w:val="20"/>
    </w:rPr>
  </w:style>
  <w:style w:type="paragraph" w:customStyle="1" w:styleId="FiguurTabel-Opmerking">
    <w:name w:val="_Figuur/Tabel-Opmerking"/>
    <w:basedOn w:val="FiguurTabel-TekstBron"/>
    <w:next w:val="FiguurTabel-TekstBron"/>
    <w:rsid w:val="00730E06"/>
    <w:pPr>
      <w:keepNext/>
      <w:spacing w:after="0"/>
      <w:ind w:left="1021" w:hanging="1021"/>
    </w:pPr>
  </w:style>
  <w:style w:type="table" w:styleId="TableGrid1">
    <w:name w:val="Table Grid 1"/>
    <w:basedOn w:val="TableNormal"/>
    <w:semiHidden/>
    <w:rsid w:val="00372BDB"/>
    <w:pPr>
      <w:spacing w:line="274"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Indent03cm">
    <w:name w:val="_Normal-Indent 0.3cm"/>
    <w:basedOn w:val="Normal"/>
    <w:qFormat/>
    <w:rsid w:val="003065BD"/>
    <w:pPr>
      <w:ind w:left="170"/>
    </w:pPr>
    <w:rPr>
      <w:lang w:val="en-GB"/>
    </w:rPr>
  </w:style>
  <w:style w:type="paragraph" w:customStyle="1" w:styleId="Normal-Indent06cm">
    <w:name w:val="_Normal-Indent 0.6cm"/>
    <w:basedOn w:val="Normal"/>
    <w:qFormat/>
    <w:rsid w:val="003065BD"/>
    <w:pPr>
      <w:ind w:left="340"/>
    </w:pPr>
    <w:rPr>
      <w:lang w:val="en-GB"/>
    </w:rPr>
  </w:style>
  <w:style w:type="paragraph" w:customStyle="1" w:styleId="Normal-Indent09cm">
    <w:name w:val="_Normal-Indent 0.9cm"/>
    <w:basedOn w:val="Normal"/>
    <w:qFormat/>
    <w:rsid w:val="003065BD"/>
    <w:pPr>
      <w:ind w:left="510"/>
    </w:pPr>
    <w:rPr>
      <w:lang w:val="en-GB"/>
    </w:rPr>
  </w:style>
  <w:style w:type="character" w:customStyle="1" w:styleId="HeaderChar">
    <w:name w:val="Header Char"/>
    <w:basedOn w:val="DefaultParagraphFont"/>
    <w:link w:val="Header"/>
    <w:rsid w:val="00B104AD"/>
    <w:rPr>
      <w:rFonts w:ascii="Century Gothic" w:hAnsi="Century Gothic"/>
      <w:b/>
      <w:noProof/>
      <w:sz w:val="16"/>
      <w:szCs w:val="13"/>
      <w:shd w:val="solid" w:color="FFFFFF" w:fill="FFFFFF"/>
      <w:lang w:eastAsia="nl-NL"/>
    </w:rPr>
  </w:style>
  <w:style w:type="paragraph" w:customStyle="1" w:styleId="Footer0">
    <w:name w:val="_Footer"/>
    <w:basedOn w:val="Footer"/>
    <w:qFormat/>
    <w:rsid w:val="007E19B7"/>
    <w:pPr>
      <w:jc w:val="left"/>
    </w:pPr>
    <w:rPr>
      <w:sz w:val="18"/>
    </w:rPr>
  </w:style>
  <w:style w:type="paragraph" w:styleId="BalloonText">
    <w:name w:val="Balloon Text"/>
    <w:basedOn w:val="Normal"/>
    <w:link w:val="BalloonTextChar"/>
    <w:uiPriority w:val="99"/>
    <w:semiHidden/>
    <w:unhideWhenUsed/>
    <w:rsid w:val="009C3F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F53"/>
    <w:rPr>
      <w:rFonts w:ascii="Tahoma" w:hAnsi="Tahoma" w:cs="Tahoma"/>
      <w:sz w:val="16"/>
      <w:szCs w:val="16"/>
      <w:lang w:eastAsia="nl-NL"/>
    </w:rPr>
  </w:style>
  <w:style w:type="paragraph" w:customStyle="1" w:styleId="Tabel-RegelafstandEnkel">
    <w:name w:val="_Tabel-RegelafstandEnkel"/>
    <w:basedOn w:val="Normal"/>
    <w:link w:val="Tabel-RegelafstandEnkelChar"/>
    <w:rsid w:val="004A649D"/>
    <w:pPr>
      <w:keepNext/>
      <w:spacing w:before="120" w:after="120" w:line="240" w:lineRule="auto"/>
      <w:jc w:val="left"/>
    </w:pPr>
    <w:rPr>
      <w:sz w:val="18"/>
    </w:rPr>
  </w:style>
  <w:style w:type="character" w:customStyle="1" w:styleId="Tabel-RegelafstandEnkelChar">
    <w:name w:val="_Tabel-RegelafstandEnkel Char"/>
    <w:basedOn w:val="DefaultParagraphFont"/>
    <w:link w:val="Tabel-RegelafstandEnkel"/>
    <w:rsid w:val="004A649D"/>
  </w:style>
  <w:style w:type="character" w:customStyle="1" w:styleId="FooterChar">
    <w:name w:val="Footer Char"/>
    <w:basedOn w:val="DefaultParagraphFont"/>
    <w:link w:val="Footer"/>
    <w:uiPriority w:val="99"/>
    <w:rsid w:val="00C11EAD"/>
    <w:rPr>
      <w:rFonts w:asciiTheme="minorHAnsi" w:hAnsiTheme="minorHAnsi"/>
      <w:sz w:val="17"/>
      <w:szCs w:val="24"/>
      <w:lang w:eastAsia="nl-NL"/>
    </w:rPr>
  </w:style>
  <w:style w:type="character" w:styleId="PlaceholderText">
    <w:name w:val="Placeholder Text"/>
    <w:basedOn w:val="DefaultParagraphFont"/>
    <w:uiPriority w:val="99"/>
    <w:rsid w:val="00373242"/>
    <w:rPr>
      <w:color w:val="808080"/>
    </w:rPr>
  </w:style>
  <w:style w:type="paragraph" w:styleId="NoSpacing">
    <w:name w:val="No Spacing"/>
    <w:link w:val="NoSpacingChar"/>
    <w:uiPriority w:val="1"/>
    <w:qFormat/>
    <w:rsid w:val="00A841A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841A6"/>
    <w:rPr>
      <w:rFonts w:asciiTheme="minorHAnsi" w:eastAsiaTheme="minorEastAsia" w:hAnsiTheme="minorHAnsi" w:cstheme="minorBidi"/>
      <w:sz w:val="22"/>
      <w:szCs w:val="22"/>
      <w:lang w:val="en-US" w:eastAsia="en-US"/>
    </w:rPr>
  </w:style>
  <w:style w:type="table" w:customStyle="1" w:styleId="Standaard">
    <w:name w:val="Standaard"/>
    <w:basedOn w:val="TableNormal"/>
    <w:uiPriority w:val="60"/>
    <w:rsid w:val="004B30A8"/>
    <w:pPr>
      <w:keepNext/>
    </w:pPr>
    <w:rPr>
      <w:rFonts w:asciiTheme="minorHAnsi" w:hAnsiTheme="minorHAnsi"/>
      <w:color w:val="000000" w:themeColor="text1" w:themeShade="BF"/>
    </w:rPr>
    <w:tblPr>
      <w:tblStyleRowBandSize w:val="1"/>
      <w:tblStyleColBandSize w:val="1"/>
      <w:tblInd w:w="108" w:type="dxa"/>
      <w:tblBorders>
        <w:top w:val="single" w:sz="6" w:space="0" w:color="595959" w:themeColor="text1" w:themeTint="A6"/>
        <w:bottom w:val="single" w:sz="12" w:space="0" w:color="595959" w:themeColor="text1" w:themeTint="A6"/>
      </w:tblBorders>
    </w:tblPr>
    <w:tblStylePr w:type="firstRow">
      <w:pPr>
        <w:keepNext/>
        <w:wordWrap/>
        <w:spacing w:beforeLines="0" w:beforeAutospacing="0" w:afterLines="0" w:afterAutospacing="0" w:line="240" w:lineRule="auto"/>
        <w:contextualSpacing w:val="0"/>
      </w:pPr>
      <w:rPr>
        <w:rFonts w:asciiTheme="minorHAnsi" w:hAnsiTheme="minorHAnsi"/>
        <w:b/>
        <w:bCs/>
        <w:color w:val="auto"/>
        <w:sz w:val="20"/>
      </w:rPr>
      <w:tblPr/>
      <w:tcPr>
        <w:tcBorders>
          <w:top w:val="single" w:sz="12" w:space="0" w:color="595959" w:themeColor="text1" w:themeTint="A6"/>
          <w:left w:val="nil"/>
          <w:bottom w:val="single" w:sz="8" w:space="0" w:color="595959" w:themeColor="text1" w:themeTint="A6"/>
          <w:right w:val="nil"/>
          <w:insideH w:val="nil"/>
          <w:insideV w:val="nil"/>
        </w:tcBorders>
      </w:tcPr>
    </w:tblStylePr>
    <w:tblStylePr w:type="lastRow">
      <w:pPr>
        <w:wordWrap/>
        <w:spacing w:beforeLines="0" w:beforeAutospacing="0" w:afterLines="0" w:afterAutospacing="0" w:line="240" w:lineRule="auto"/>
      </w:pPr>
      <w:rPr>
        <w:rFonts w:asciiTheme="minorHAnsi" w:hAnsiTheme="minorHAnsi"/>
        <w:b w:val="0"/>
        <w:bCs/>
        <w:sz w:val="20"/>
      </w:rPr>
      <w:tblPr/>
      <w:tcPr>
        <w:tcBorders>
          <w:top w:val="single" w:sz="4" w:space="0" w:color="595959" w:themeColor="text1" w:themeTint="A6"/>
          <w:left w:val="nil"/>
          <w:bottom w:val="single" w:sz="12" w:space="0" w:color="595959" w:themeColor="text1" w:themeTint="A6"/>
          <w:right w:val="nil"/>
          <w:insideH w:val="nil"/>
          <w:insideV w:val="nil"/>
        </w:tcBorders>
      </w:tcPr>
    </w:tblStylePr>
    <w:tblStylePr w:type="firstCol">
      <w:rPr>
        <w:rFonts w:asciiTheme="minorHAnsi" w:hAnsiTheme="minorHAnsi"/>
        <w:b w:val="0"/>
        <w:bCs/>
        <w:sz w:val="20"/>
      </w:rPr>
    </w:tblStylePr>
    <w:tblStylePr w:type="lastCol">
      <w:rPr>
        <w:rFonts w:asciiTheme="minorHAnsi" w:hAnsiTheme="minorHAnsi"/>
        <w:b w:val="0"/>
        <w:bCs/>
        <w:sz w:val="20"/>
      </w:rPr>
    </w:tblStylePr>
    <w:tblStylePr w:type="band1Vert">
      <w:rPr>
        <w:rFonts w:asciiTheme="minorHAnsi" w:hAnsiTheme="minorHAnsi"/>
        <w:sz w:val="20"/>
      </w:rPr>
    </w:tblStylePr>
    <w:tblStylePr w:type="band2Vert">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character" w:customStyle="1" w:styleId="Researchpaper">
    <w:name w:val="Research paper"/>
    <w:basedOn w:val="DefaultParagraphFont"/>
    <w:uiPriority w:val="1"/>
    <w:rsid w:val="00265309"/>
    <w:rPr>
      <w:rFonts w:ascii="Candara" w:hAnsi="Candara"/>
      <w:b/>
      <w:smallCaps/>
      <w:sz w:val="28"/>
    </w:rPr>
  </w:style>
  <w:style w:type="paragraph" w:styleId="Caption">
    <w:name w:val="caption"/>
    <w:basedOn w:val="Normal"/>
    <w:next w:val="Figuur-RegelafstandEnkel"/>
    <w:autoRedefine/>
    <w:qFormat/>
    <w:rsid w:val="00FA284C"/>
    <w:pPr>
      <w:keepNext/>
      <w:spacing w:before="480" w:after="120"/>
      <w:ind w:left="993" w:hanging="993"/>
      <w:jc w:val="left"/>
    </w:pPr>
    <w:rPr>
      <w:b/>
      <w:sz w:val="20"/>
      <w:lang w:val="nl-NL"/>
    </w:rPr>
  </w:style>
  <w:style w:type="paragraph" w:customStyle="1" w:styleId="Figuur-RegelafstandEnkel">
    <w:name w:val="_Figuur-RegelafstandEnkel"/>
    <w:basedOn w:val="Normal"/>
    <w:next w:val="FiguurTabel-Opmerking"/>
    <w:link w:val="Figuur-RegelafstandEnkelChar"/>
    <w:rsid w:val="00B302E9"/>
    <w:pPr>
      <w:keepNext/>
      <w:spacing w:before="0" w:line="240" w:lineRule="auto"/>
      <w:jc w:val="center"/>
    </w:pPr>
    <w:rPr>
      <w:rFonts w:ascii="Garamond" w:hAnsi="Garamond"/>
      <w:sz w:val="17"/>
      <w:szCs w:val="22"/>
    </w:rPr>
  </w:style>
  <w:style w:type="character" w:customStyle="1" w:styleId="Figuur-RegelafstandEnkelChar">
    <w:name w:val="_Figuur-RegelafstandEnkel Char"/>
    <w:basedOn w:val="DefaultParagraphFont"/>
    <w:link w:val="Figuur-RegelafstandEnkel"/>
    <w:rsid w:val="00B302E9"/>
    <w:rPr>
      <w:rFonts w:ascii="Garamond" w:hAnsi="Garamond"/>
      <w:sz w:val="17"/>
      <w:szCs w:val="22"/>
      <w:lang w:eastAsia="nl-NL"/>
    </w:rPr>
  </w:style>
  <w:style w:type="table" w:customStyle="1" w:styleId="LightShading1">
    <w:name w:val="Light Shading1"/>
    <w:aliases w:val="Table1-HIVA"/>
    <w:basedOn w:val="TableNormal"/>
    <w:uiPriority w:val="99"/>
    <w:qFormat/>
    <w:rsid w:val="00F70EE3"/>
    <w:pPr>
      <w:ind w:left="57" w:right="57"/>
    </w:pPr>
    <w:rPr>
      <w:rFonts w:ascii="Garamond" w:hAnsi="Garamond"/>
      <w:color w:val="000000" w:themeColor="text1" w:themeShade="BF"/>
      <w:sz w:val="17"/>
      <w:szCs w:val="22"/>
    </w:rPr>
    <w:tblPr>
      <w:tblBorders>
        <w:top w:val="single" w:sz="4" w:space="0" w:color="808080"/>
        <w:left w:val="single" w:sz="12" w:space="0" w:color="808080"/>
        <w:bottom w:val="single" w:sz="4" w:space="0" w:color="808080"/>
        <w:right w:val="single" w:sz="12" w:space="0" w:color="808080"/>
        <w:insideV w:val="single" w:sz="4" w:space="0" w:color="808080"/>
      </w:tblBorders>
      <w:tblCellMar>
        <w:left w:w="0" w:type="dxa"/>
        <w:right w:w="0" w:type="dxa"/>
      </w:tblCellMar>
    </w:tblPr>
    <w:trPr>
      <w:cantSplit/>
    </w:trPr>
    <w:tcPr>
      <w:vAlign w:val="center"/>
    </w:tcPr>
    <w:tblStylePr w:type="firstRow">
      <w:pPr>
        <w:spacing w:before="0" w:after="0" w:line="240" w:lineRule="auto"/>
      </w:pPr>
      <w:rPr>
        <w:b/>
        <w:bCs/>
      </w:rPr>
      <w:tblPr/>
      <w:tcPr>
        <w:tcBorders>
          <w:top w:val="single" w:sz="4" w:space="0" w:color="808080"/>
          <w:left w:val="single" w:sz="12" w:space="0" w:color="808080"/>
          <w:bottom w:val="single" w:sz="12" w:space="0" w:color="808080"/>
          <w:right w:val="single" w:sz="12" w:space="0" w:color="808080"/>
          <w:insideH w:val="nil"/>
          <w:insideV w:val="single" w:sz="4" w:space="0" w:color="808080"/>
        </w:tcBorders>
      </w:tcPr>
    </w:tblStylePr>
    <w:tblStylePr w:type="lastRow">
      <w:pPr>
        <w:spacing w:before="0" w:after="0" w:line="240" w:lineRule="auto"/>
      </w:pPr>
      <w:rPr>
        <w:b w:val="0"/>
        <w:bCs/>
      </w:rPr>
      <w:tblPr/>
      <w:tcPr>
        <w:tcBorders>
          <w:top w:val="single" w:sz="12" w:space="0" w:color="808080"/>
          <w:left w:val="single" w:sz="12" w:space="0" w:color="808080"/>
          <w:bottom w:val="single" w:sz="4" w:space="0" w:color="808080"/>
          <w:right w:val="single" w:sz="12" w:space="0" w:color="808080"/>
          <w:insideH w:val="nil"/>
          <w:insideV w:val="single" w:sz="4" w:space="0" w:color="808080"/>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JLAGEN-TITELPAGINA">
    <w:name w:val="_BIJLAGEN-TITELPAGINA"/>
    <w:basedOn w:val="Normal"/>
    <w:next w:val="Normal"/>
    <w:semiHidden/>
    <w:rsid w:val="0065512B"/>
    <w:pPr>
      <w:suppressAutoHyphens/>
      <w:spacing w:before="3960" w:line="240" w:lineRule="auto"/>
      <w:jc w:val="left"/>
    </w:pPr>
    <w:rPr>
      <w:rFonts w:ascii="Candara" w:hAnsi="Candara"/>
      <w:b/>
      <w:bCs/>
      <w:smallCaps/>
      <w:color w:val="491469"/>
      <w:sz w:val="56"/>
      <w:szCs w:val="56"/>
    </w:rPr>
  </w:style>
  <w:style w:type="paragraph" w:customStyle="1" w:styleId="Heading2inleiding">
    <w:name w:val="Heading 2_inleiding"/>
    <w:basedOn w:val="Heading2"/>
    <w:next w:val="Normal"/>
    <w:qFormat/>
    <w:rsid w:val="0082139A"/>
    <w:pPr>
      <w:numPr>
        <w:ilvl w:val="0"/>
        <w:numId w:val="0"/>
      </w:numPr>
      <w:ind w:left="567" w:hanging="567"/>
    </w:pPr>
  </w:style>
  <w:style w:type="paragraph" w:customStyle="1" w:styleId="Heading3inleiding">
    <w:name w:val="Heading 3_inleiding"/>
    <w:basedOn w:val="Heading3"/>
    <w:next w:val="Normal"/>
    <w:qFormat/>
    <w:rsid w:val="000E7816"/>
    <w:pPr>
      <w:numPr>
        <w:ilvl w:val="0"/>
        <w:numId w:val="0"/>
      </w:numPr>
      <w:ind w:left="680" w:hanging="680"/>
    </w:pPr>
  </w:style>
  <w:style w:type="paragraph" w:customStyle="1" w:styleId="Heading4inleiding">
    <w:name w:val="Heading 4_inleiding"/>
    <w:basedOn w:val="Heading4"/>
    <w:next w:val="Normal"/>
    <w:qFormat/>
    <w:rsid w:val="00035BA6"/>
    <w:pPr>
      <w:numPr>
        <w:ilvl w:val="0"/>
        <w:numId w:val="0"/>
      </w:numPr>
      <w:ind w:left="851" w:hanging="851"/>
    </w:pPr>
  </w:style>
  <w:style w:type="character" w:customStyle="1" w:styleId="NormalIndentChar">
    <w:name w:val="Normal Indent Char"/>
    <w:basedOn w:val="DefaultParagraphFont"/>
    <w:link w:val="NormalIndent"/>
    <w:rsid w:val="00372BD5"/>
    <w:rPr>
      <w:rFonts w:asciiTheme="minorHAnsi" w:hAnsiTheme="minorHAnsi"/>
      <w:sz w:val="22"/>
      <w:szCs w:val="24"/>
      <w:lang w:eastAsia="nl-NL"/>
    </w:rPr>
  </w:style>
  <w:style w:type="paragraph" w:customStyle="1" w:styleId="COVER-Auteursnamen">
    <w:name w:val="_COVER-Auteursnamen"/>
    <w:basedOn w:val="Normal"/>
    <w:rsid w:val="007C5FAC"/>
    <w:pPr>
      <w:suppressAutoHyphens/>
      <w:spacing w:before="0" w:line="240" w:lineRule="auto"/>
      <w:ind w:left="1701"/>
      <w:jc w:val="left"/>
    </w:pPr>
    <w:rPr>
      <w:rFonts w:ascii="Trebuchet MS" w:hAnsi="Trebuchet MS"/>
      <w:sz w:val="28"/>
      <w:szCs w:val="22"/>
    </w:rPr>
  </w:style>
  <w:style w:type="paragraph" w:customStyle="1" w:styleId="COVER-Subtitel">
    <w:name w:val="_COVER-Subtitel"/>
    <w:basedOn w:val="Normal"/>
    <w:next w:val="COVER-Auteursnamen"/>
    <w:rsid w:val="007C5FAC"/>
    <w:pPr>
      <w:suppressAutoHyphens/>
      <w:spacing w:before="0" w:line="240" w:lineRule="auto"/>
      <w:jc w:val="left"/>
    </w:pPr>
    <w:rPr>
      <w:rFonts w:ascii="Trebuchet MS" w:hAnsi="Trebuchet MS"/>
      <w:b/>
      <w:color w:val="491469"/>
      <w:sz w:val="48"/>
      <w:szCs w:val="22"/>
    </w:rPr>
  </w:style>
  <w:style w:type="paragraph" w:customStyle="1" w:styleId="COVER-Titel">
    <w:name w:val="_COVER-Titel"/>
    <w:basedOn w:val="Normal"/>
    <w:next w:val="COVER-Subtitel"/>
    <w:rsid w:val="007C5FAC"/>
    <w:pPr>
      <w:suppressAutoHyphens/>
      <w:spacing w:before="0" w:line="240" w:lineRule="auto"/>
      <w:jc w:val="left"/>
    </w:pPr>
    <w:rPr>
      <w:rFonts w:ascii="Trebuchet MS" w:hAnsi="Trebuchet MS"/>
      <w:b/>
      <w:caps/>
      <w:sz w:val="56"/>
      <w:szCs w:val="22"/>
    </w:rPr>
  </w:style>
  <w:style w:type="paragraph" w:customStyle="1" w:styleId="Box">
    <w:name w:val="_Box"/>
    <w:basedOn w:val="Normal"/>
    <w:qFormat/>
    <w:rsid w:val="00103855"/>
    <w:pPr>
      <w:pBdr>
        <w:top w:val="single" w:sz="4" w:space="1" w:color="808080"/>
        <w:left w:val="single" w:sz="12" w:space="1" w:color="808080"/>
        <w:bottom w:val="single" w:sz="4" w:space="1" w:color="808080"/>
        <w:right w:val="single" w:sz="12" w:space="1" w:color="808080"/>
      </w:pBdr>
      <w:spacing w:before="0" w:line="220" w:lineRule="exact"/>
      <w:ind w:left="57" w:right="57"/>
    </w:pPr>
    <w:rPr>
      <w:szCs w:val="17"/>
    </w:rPr>
  </w:style>
  <w:style w:type="paragraph" w:customStyle="1" w:styleId="Box-Titel">
    <w:name w:val="_Box-Titel"/>
    <w:basedOn w:val="Normal"/>
    <w:next w:val="Box"/>
    <w:qFormat/>
    <w:rsid w:val="00103855"/>
    <w:pPr>
      <w:keepNext/>
      <w:keepLines/>
      <w:pBdr>
        <w:top w:val="single" w:sz="4" w:space="1" w:color="808080"/>
        <w:left w:val="single" w:sz="12" w:space="1" w:color="808080"/>
        <w:bottom w:val="single" w:sz="4" w:space="1" w:color="808080"/>
        <w:right w:val="single" w:sz="12" w:space="1" w:color="808080"/>
      </w:pBdr>
      <w:suppressAutoHyphens/>
      <w:spacing w:before="220" w:line="220" w:lineRule="exact"/>
      <w:ind w:left="57" w:right="57"/>
      <w:jc w:val="left"/>
    </w:pPr>
    <w:rPr>
      <w:rFonts w:ascii="Candara" w:hAnsi="Candara"/>
      <w:b/>
      <w:color w:val="808080"/>
      <w:szCs w:val="17"/>
    </w:rPr>
  </w:style>
  <w:style w:type="paragraph" w:customStyle="1" w:styleId="ShadingBox">
    <w:name w:val="_ShadingBox"/>
    <w:basedOn w:val="Normal"/>
    <w:qFormat/>
    <w:rsid w:val="00103855"/>
    <w:pPr>
      <w:shd w:val="clear" w:color="auto" w:fill="DDDDDD"/>
      <w:spacing w:before="0" w:line="220" w:lineRule="exact"/>
      <w:ind w:left="57" w:right="57"/>
    </w:pPr>
    <w:rPr>
      <w:szCs w:val="17"/>
    </w:rPr>
  </w:style>
  <w:style w:type="paragraph" w:customStyle="1" w:styleId="ShadingBox-Titel">
    <w:name w:val="_ShadingBox-Titel"/>
    <w:basedOn w:val="Normal"/>
    <w:next w:val="ShadingBox"/>
    <w:qFormat/>
    <w:rsid w:val="00103855"/>
    <w:pPr>
      <w:keepNext/>
      <w:keepLines/>
      <w:shd w:val="clear" w:color="auto" w:fill="DDDDDD"/>
      <w:suppressAutoHyphens/>
      <w:spacing w:before="220" w:line="220" w:lineRule="exact"/>
      <w:ind w:left="57" w:right="57"/>
      <w:jc w:val="left"/>
    </w:pPr>
    <w:rPr>
      <w:rFonts w:ascii="Candara" w:hAnsi="Candara"/>
      <w:b/>
      <w:color w:val="000000" w:themeColor="text1"/>
      <w:szCs w:val="17"/>
    </w:rPr>
  </w:style>
  <w:style w:type="paragraph" w:customStyle="1" w:styleId="Title2">
    <w:name w:val="Title2"/>
    <w:basedOn w:val="Title"/>
    <w:next w:val="Normal"/>
    <w:qFormat/>
    <w:rsid w:val="0030031A"/>
  </w:style>
  <w:style w:type="paragraph" w:styleId="TOCHeading">
    <w:name w:val="TOC Heading"/>
    <w:basedOn w:val="Heading1"/>
    <w:next w:val="Normal"/>
    <w:uiPriority w:val="39"/>
    <w:unhideWhenUsed/>
    <w:qFormat/>
    <w:rsid w:val="0008544A"/>
    <w:pPr>
      <w:keepLines/>
      <w:numPr>
        <w:numId w:val="0"/>
      </w:numPr>
      <w:suppressAutoHyphens w:val="0"/>
      <w:spacing w:before="240" w:after="0" w:line="300" w:lineRule="exact"/>
      <w:jc w:val="both"/>
      <w:outlineLvl w:val="9"/>
    </w:pPr>
    <w:rPr>
      <w:rFonts w:asciiTheme="majorHAnsi" w:eastAsiaTheme="majorEastAsia" w:hAnsiTheme="majorHAnsi" w:cstheme="majorBidi"/>
      <w:b w:val="0"/>
      <w:bCs w:val="0"/>
      <w:color w:val="365F91" w:themeColor="accent1" w:themeShade="BF"/>
      <w:sz w:val="32"/>
      <w:szCs w:val="32"/>
    </w:rPr>
  </w:style>
  <w:style w:type="table" w:customStyle="1" w:styleId="Standaard1">
    <w:name w:val="Standaard1"/>
    <w:basedOn w:val="TableNormal"/>
    <w:uiPriority w:val="60"/>
    <w:rsid w:val="0008544A"/>
    <w:pPr>
      <w:keepNext/>
    </w:pPr>
    <w:rPr>
      <w:rFonts w:asciiTheme="minorHAnsi" w:hAnsiTheme="minorHAnsi"/>
      <w:color w:val="000000" w:themeColor="text1" w:themeShade="BF"/>
    </w:rPr>
    <w:tblPr>
      <w:tblStyleRowBandSize w:val="1"/>
      <w:tblStyleColBandSize w:val="1"/>
      <w:tblInd w:w="108" w:type="dxa"/>
      <w:tblBorders>
        <w:top w:val="single" w:sz="6" w:space="0" w:color="595959" w:themeColor="text1" w:themeTint="A6"/>
        <w:bottom w:val="single" w:sz="12" w:space="0" w:color="595959" w:themeColor="text1" w:themeTint="A6"/>
      </w:tblBorders>
    </w:tblPr>
    <w:tblStylePr w:type="firstRow">
      <w:pPr>
        <w:keepNext/>
        <w:wordWrap/>
        <w:spacing w:beforeLines="0" w:beforeAutospacing="0" w:afterLines="0" w:afterAutospacing="0" w:line="240" w:lineRule="auto"/>
        <w:contextualSpacing w:val="0"/>
      </w:pPr>
      <w:rPr>
        <w:rFonts w:asciiTheme="minorHAnsi" w:hAnsiTheme="minorHAnsi"/>
        <w:b/>
        <w:bCs/>
        <w:color w:val="auto"/>
        <w:sz w:val="20"/>
      </w:rPr>
      <w:tblPr/>
      <w:tcPr>
        <w:tcBorders>
          <w:top w:val="single" w:sz="12" w:space="0" w:color="595959" w:themeColor="text1" w:themeTint="A6"/>
          <w:left w:val="nil"/>
          <w:bottom w:val="single" w:sz="8" w:space="0" w:color="595959" w:themeColor="text1" w:themeTint="A6"/>
          <w:right w:val="nil"/>
          <w:insideH w:val="nil"/>
          <w:insideV w:val="nil"/>
        </w:tcBorders>
      </w:tcPr>
    </w:tblStylePr>
    <w:tblStylePr w:type="lastRow">
      <w:pPr>
        <w:wordWrap/>
        <w:spacing w:beforeLines="0" w:beforeAutospacing="0" w:afterLines="0" w:afterAutospacing="0" w:line="240" w:lineRule="auto"/>
      </w:pPr>
      <w:rPr>
        <w:rFonts w:asciiTheme="minorHAnsi" w:hAnsiTheme="minorHAnsi"/>
        <w:b w:val="0"/>
        <w:bCs/>
        <w:sz w:val="20"/>
      </w:rPr>
      <w:tblPr/>
      <w:tcPr>
        <w:tcBorders>
          <w:top w:val="single" w:sz="4" w:space="0" w:color="595959" w:themeColor="text1" w:themeTint="A6"/>
          <w:left w:val="nil"/>
          <w:bottom w:val="single" w:sz="12" w:space="0" w:color="595959" w:themeColor="text1" w:themeTint="A6"/>
          <w:right w:val="nil"/>
          <w:insideH w:val="nil"/>
          <w:insideV w:val="nil"/>
        </w:tcBorders>
      </w:tcPr>
    </w:tblStylePr>
    <w:tblStylePr w:type="firstCol">
      <w:rPr>
        <w:rFonts w:asciiTheme="minorHAnsi" w:hAnsiTheme="minorHAnsi"/>
        <w:b w:val="0"/>
        <w:bCs/>
        <w:sz w:val="20"/>
      </w:rPr>
    </w:tblStylePr>
    <w:tblStylePr w:type="lastCol">
      <w:rPr>
        <w:rFonts w:asciiTheme="minorHAnsi" w:hAnsiTheme="minorHAnsi"/>
        <w:b w:val="0"/>
        <w:bCs/>
        <w:sz w:val="20"/>
      </w:rPr>
    </w:tblStylePr>
    <w:tblStylePr w:type="band1Vert">
      <w:rPr>
        <w:rFonts w:asciiTheme="minorHAnsi" w:hAnsiTheme="minorHAnsi"/>
        <w:sz w:val="20"/>
      </w:rPr>
    </w:tblStylePr>
    <w:tblStylePr w:type="band2Vert">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character" w:customStyle="1" w:styleId="Heading2Char">
    <w:name w:val="Heading 2 Char"/>
    <w:basedOn w:val="DefaultParagraphFont"/>
    <w:link w:val="Heading2"/>
    <w:uiPriority w:val="9"/>
    <w:rsid w:val="0008544A"/>
    <w:rPr>
      <w:rFonts w:ascii="Candara" w:hAnsi="Candara" w:cs="Arial"/>
      <w:b/>
      <w:bCs/>
      <w:iCs/>
      <w:sz w:val="32"/>
      <w:szCs w:val="28"/>
      <w:lang w:eastAsia="nl-NL"/>
    </w:rPr>
  </w:style>
  <w:style w:type="paragraph" w:customStyle="1" w:styleId="formula">
    <w:name w:val="formula"/>
    <w:basedOn w:val="Normal"/>
    <w:link w:val="formulaChar"/>
    <w:qFormat/>
    <w:rsid w:val="0008544A"/>
    <w:pPr>
      <w:spacing w:before="0" w:after="200" w:line="276" w:lineRule="auto"/>
      <w:jc w:val="center"/>
    </w:pPr>
    <w:rPr>
      <w:rFonts w:ascii="Cambria Math" w:eastAsiaTheme="minorHAnsi" w:hAnsi="Cambria Math" w:cstheme="minorBidi"/>
      <w:i/>
      <w:sz w:val="24"/>
      <w:lang w:val="en-US" w:eastAsia="en-US"/>
    </w:rPr>
  </w:style>
  <w:style w:type="character" w:customStyle="1" w:styleId="formulaChar">
    <w:name w:val="formula Char"/>
    <w:basedOn w:val="DefaultParagraphFont"/>
    <w:link w:val="formula"/>
    <w:rsid w:val="0008544A"/>
    <w:rPr>
      <w:rFonts w:ascii="Cambria Math" w:eastAsiaTheme="minorHAnsi" w:hAnsi="Cambria Math" w:cstheme="minorBidi"/>
      <w:i/>
      <w:sz w:val="24"/>
      <w:szCs w:val="24"/>
      <w:lang w:val="en-US" w:eastAsia="en-US"/>
    </w:rPr>
  </w:style>
  <w:style w:type="character" w:customStyle="1" w:styleId="FootnoteTextChar">
    <w:name w:val="Footnote Text Char"/>
    <w:basedOn w:val="DefaultParagraphFont"/>
    <w:link w:val="FootnoteText"/>
    <w:uiPriority w:val="99"/>
    <w:semiHidden/>
    <w:rsid w:val="0008544A"/>
    <w:rPr>
      <w:rFonts w:asciiTheme="minorHAnsi" w:hAnsiTheme="minorHAnsi"/>
      <w:sz w:val="18"/>
      <w:szCs w:val="18"/>
      <w:lang w:eastAsia="nl-NL"/>
    </w:rPr>
  </w:style>
  <w:style w:type="paragraph" w:styleId="CommentText">
    <w:name w:val="annotation text"/>
    <w:basedOn w:val="Normal"/>
    <w:link w:val="CommentTextChar"/>
    <w:uiPriority w:val="99"/>
    <w:rsid w:val="0008544A"/>
    <w:pPr>
      <w:spacing w:before="0" w:line="360" w:lineRule="auto"/>
    </w:pPr>
    <w:rPr>
      <w:rFonts w:ascii="Arial" w:hAnsi="Arial" w:cs="Arial"/>
      <w:sz w:val="20"/>
      <w:szCs w:val="20"/>
      <w:lang w:val="en-US" w:eastAsia="en-US"/>
    </w:rPr>
  </w:style>
  <w:style w:type="character" w:customStyle="1" w:styleId="CommentTextChar">
    <w:name w:val="Comment Text Char"/>
    <w:basedOn w:val="DefaultParagraphFont"/>
    <w:link w:val="CommentText"/>
    <w:uiPriority w:val="99"/>
    <w:rsid w:val="0008544A"/>
    <w:rPr>
      <w:rFonts w:ascii="Arial" w:hAnsi="Arial" w:cs="Arial"/>
      <w:lang w:val="en-US" w:eastAsia="en-US"/>
    </w:rPr>
  </w:style>
  <w:style w:type="paragraph" w:customStyle="1" w:styleId="figuretitle">
    <w:name w:val="figuretitle"/>
    <w:basedOn w:val="Normal"/>
    <w:link w:val="figuretitleChar"/>
    <w:qFormat/>
    <w:rsid w:val="0008544A"/>
    <w:pPr>
      <w:spacing w:before="0" w:after="200" w:line="276" w:lineRule="auto"/>
    </w:pPr>
    <w:rPr>
      <w:rFonts w:ascii="Calibri" w:eastAsiaTheme="minorHAnsi" w:hAnsi="Calibri" w:cstheme="minorBidi"/>
      <w:sz w:val="20"/>
      <w:szCs w:val="20"/>
      <w:lang w:val="en-US" w:eastAsia="en-US"/>
    </w:rPr>
  </w:style>
  <w:style w:type="character" w:customStyle="1" w:styleId="figuretitleChar">
    <w:name w:val="figuretitle Char"/>
    <w:basedOn w:val="DefaultParagraphFont"/>
    <w:link w:val="figuretitle"/>
    <w:rsid w:val="0008544A"/>
    <w:rPr>
      <w:rFonts w:ascii="Calibri" w:eastAsiaTheme="minorHAnsi" w:hAnsi="Calibri" w:cstheme="minorBidi"/>
      <w:lang w:val="en-US" w:eastAsia="en-US"/>
    </w:rPr>
  </w:style>
  <w:style w:type="paragraph" w:styleId="ListParagraph">
    <w:name w:val="List Paragraph"/>
    <w:basedOn w:val="Normal"/>
    <w:uiPriority w:val="34"/>
    <w:qFormat/>
    <w:rsid w:val="0008544A"/>
    <w:pPr>
      <w:ind w:left="720"/>
      <w:contextualSpacing/>
    </w:pPr>
  </w:style>
  <w:style w:type="character" w:customStyle="1" w:styleId="Heading5Char">
    <w:name w:val="Heading 5 Char"/>
    <w:basedOn w:val="DefaultParagraphFont"/>
    <w:link w:val="Heading5"/>
    <w:uiPriority w:val="9"/>
    <w:rsid w:val="0008544A"/>
    <w:rPr>
      <w:rFonts w:ascii="Candara" w:hAnsi="Candara"/>
      <w:bCs/>
      <w:i/>
      <w:iCs/>
      <w:sz w:val="22"/>
      <w:szCs w:val="26"/>
      <w:lang w:eastAsia="nl-NL"/>
    </w:rPr>
  </w:style>
  <w:style w:type="character" w:customStyle="1" w:styleId="Heading1Char">
    <w:name w:val="Heading 1 Char"/>
    <w:basedOn w:val="DefaultParagraphFont"/>
    <w:link w:val="Heading1"/>
    <w:uiPriority w:val="9"/>
    <w:rsid w:val="0008544A"/>
    <w:rPr>
      <w:rFonts w:ascii="Candara" w:hAnsi="Candara" w:cs="Arial"/>
      <w:b/>
      <w:bCs/>
      <w:color w:val="491469"/>
      <w:sz w:val="40"/>
      <w:szCs w:val="34"/>
      <w:lang w:eastAsia="nl-NL"/>
    </w:rPr>
  </w:style>
  <w:style w:type="character" w:customStyle="1" w:styleId="Heading3Char">
    <w:name w:val="Heading 3 Char"/>
    <w:basedOn w:val="DefaultParagraphFont"/>
    <w:link w:val="Heading3"/>
    <w:uiPriority w:val="9"/>
    <w:rsid w:val="0008544A"/>
    <w:rPr>
      <w:rFonts w:ascii="Candara" w:hAnsi="Candara" w:cs="Arial"/>
      <w:b/>
      <w:bCs/>
      <w:color w:val="808080" w:themeColor="background1" w:themeShade="80"/>
      <w:sz w:val="28"/>
      <w:szCs w:val="26"/>
      <w:lang w:eastAsia="nl-NL"/>
    </w:rPr>
  </w:style>
  <w:style w:type="character" w:customStyle="1" w:styleId="Heading4Char">
    <w:name w:val="Heading 4 Char"/>
    <w:basedOn w:val="DefaultParagraphFont"/>
    <w:link w:val="Heading4"/>
    <w:uiPriority w:val="9"/>
    <w:rsid w:val="0008544A"/>
    <w:rPr>
      <w:rFonts w:ascii="Candara" w:hAnsi="Candara"/>
      <w:b/>
      <w:bCs/>
      <w:color w:val="FFC000"/>
      <w:sz w:val="24"/>
      <w:szCs w:val="28"/>
      <w:lang w:eastAsia="nl-NL"/>
    </w:rPr>
  </w:style>
  <w:style w:type="character" w:customStyle="1" w:styleId="Heading6Char">
    <w:name w:val="Heading 6 Char"/>
    <w:basedOn w:val="DefaultParagraphFont"/>
    <w:link w:val="Heading6"/>
    <w:uiPriority w:val="9"/>
    <w:rsid w:val="0008544A"/>
    <w:rPr>
      <w:rFonts w:ascii="Candara" w:hAnsi="Candara" w:cs="Arial"/>
      <w:b/>
      <w:bCs/>
      <w:iCs/>
      <w:color w:val="491469"/>
      <w:sz w:val="40"/>
      <w:szCs w:val="28"/>
      <w:lang w:eastAsia="nl-NL"/>
    </w:rPr>
  </w:style>
  <w:style w:type="character" w:customStyle="1" w:styleId="Heading7Char">
    <w:name w:val="Heading 7 Char"/>
    <w:basedOn w:val="DefaultParagraphFont"/>
    <w:link w:val="Heading7"/>
    <w:uiPriority w:val="9"/>
    <w:rsid w:val="0008544A"/>
    <w:rPr>
      <w:rFonts w:ascii="Candara" w:hAnsi="Candara"/>
      <w:b/>
      <w:sz w:val="32"/>
      <w:szCs w:val="24"/>
      <w:lang w:eastAsia="nl-NL"/>
    </w:rPr>
  </w:style>
  <w:style w:type="character" w:customStyle="1" w:styleId="Heading8Char">
    <w:name w:val="Heading 8 Char"/>
    <w:basedOn w:val="DefaultParagraphFont"/>
    <w:link w:val="Heading8"/>
    <w:uiPriority w:val="9"/>
    <w:rsid w:val="0008544A"/>
    <w:rPr>
      <w:rFonts w:ascii="Candara" w:hAnsi="Candara" w:cs="Arial"/>
      <w:b/>
      <w:bCs/>
      <w:color w:val="808080" w:themeColor="background1" w:themeShade="80"/>
      <w:sz w:val="28"/>
      <w:szCs w:val="26"/>
      <w:lang w:eastAsia="nl-NL"/>
    </w:rPr>
  </w:style>
  <w:style w:type="character" w:customStyle="1" w:styleId="Heading9Char">
    <w:name w:val="Heading 9 Char"/>
    <w:basedOn w:val="DefaultParagraphFont"/>
    <w:link w:val="Heading9"/>
    <w:uiPriority w:val="9"/>
    <w:rsid w:val="0008544A"/>
    <w:rPr>
      <w:rFonts w:ascii="Candara" w:hAnsi="Candara"/>
      <w:b/>
      <w:bCs/>
      <w:color w:val="FFC000"/>
      <w:sz w:val="24"/>
      <w:szCs w:val="28"/>
      <w:lang w:eastAsia="nl-NL"/>
    </w:rPr>
  </w:style>
  <w:style w:type="character" w:customStyle="1" w:styleId="TitleChar">
    <w:name w:val="Title Char"/>
    <w:basedOn w:val="DefaultParagraphFont"/>
    <w:link w:val="Title"/>
    <w:uiPriority w:val="10"/>
    <w:rsid w:val="0008544A"/>
    <w:rPr>
      <w:rFonts w:ascii="Candara" w:hAnsi="Candara" w:cs="Arial"/>
      <w:b/>
      <w:bCs/>
      <w:color w:val="491469"/>
      <w:sz w:val="40"/>
      <w:szCs w:val="34"/>
      <w:lang w:eastAsia="nl-NL"/>
    </w:rPr>
  </w:style>
  <w:style w:type="character" w:customStyle="1" w:styleId="BodyTextChar">
    <w:name w:val="Body Text Char"/>
    <w:basedOn w:val="DefaultParagraphFont"/>
    <w:link w:val="BodyText"/>
    <w:semiHidden/>
    <w:rsid w:val="0008544A"/>
    <w:rPr>
      <w:rFonts w:asciiTheme="minorHAnsi" w:hAnsiTheme="minorHAnsi"/>
      <w:sz w:val="22"/>
      <w:szCs w:val="24"/>
      <w:lang w:eastAsia="nl-NL"/>
    </w:rPr>
  </w:style>
  <w:style w:type="character" w:customStyle="1" w:styleId="BodyText2Char">
    <w:name w:val="Body Text 2 Char"/>
    <w:basedOn w:val="DefaultParagraphFont"/>
    <w:link w:val="BodyText2"/>
    <w:semiHidden/>
    <w:rsid w:val="0008544A"/>
    <w:rPr>
      <w:rFonts w:asciiTheme="minorHAnsi" w:hAnsiTheme="minorHAnsi"/>
      <w:sz w:val="22"/>
      <w:szCs w:val="24"/>
      <w:lang w:eastAsia="nl-NL"/>
    </w:rPr>
  </w:style>
  <w:style w:type="character" w:customStyle="1" w:styleId="BodyText3Char">
    <w:name w:val="Body Text 3 Char"/>
    <w:basedOn w:val="DefaultParagraphFont"/>
    <w:link w:val="BodyText3"/>
    <w:semiHidden/>
    <w:rsid w:val="0008544A"/>
    <w:rPr>
      <w:rFonts w:asciiTheme="minorHAnsi" w:hAnsiTheme="minorHAnsi"/>
      <w:sz w:val="16"/>
      <w:szCs w:val="16"/>
      <w:lang w:eastAsia="nl-NL"/>
    </w:rPr>
  </w:style>
  <w:style w:type="character" w:customStyle="1" w:styleId="BodyTextFirstIndentChar">
    <w:name w:val="Body Text First Indent Char"/>
    <w:basedOn w:val="BodyTextChar"/>
    <w:link w:val="BodyTextFirstIndent"/>
    <w:semiHidden/>
    <w:rsid w:val="0008544A"/>
    <w:rPr>
      <w:rFonts w:asciiTheme="minorHAnsi" w:hAnsiTheme="minorHAnsi"/>
      <w:sz w:val="22"/>
      <w:szCs w:val="24"/>
      <w:lang w:eastAsia="nl-NL"/>
    </w:rPr>
  </w:style>
  <w:style w:type="character" w:customStyle="1" w:styleId="BodyTextIndentChar">
    <w:name w:val="Body Text Indent Char"/>
    <w:basedOn w:val="DefaultParagraphFont"/>
    <w:link w:val="BodyTextIndent"/>
    <w:semiHidden/>
    <w:rsid w:val="0008544A"/>
    <w:rPr>
      <w:rFonts w:asciiTheme="minorHAnsi" w:hAnsiTheme="minorHAnsi"/>
      <w:sz w:val="22"/>
      <w:szCs w:val="24"/>
      <w:lang w:eastAsia="nl-NL"/>
    </w:rPr>
  </w:style>
  <w:style w:type="character" w:customStyle="1" w:styleId="BodyTextFirstIndent2Char">
    <w:name w:val="Body Text First Indent 2 Char"/>
    <w:basedOn w:val="BodyTextIndentChar"/>
    <w:link w:val="BodyTextFirstIndent2"/>
    <w:semiHidden/>
    <w:rsid w:val="0008544A"/>
    <w:rPr>
      <w:rFonts w:asciiTheme="minorHAnsi" w:hAnsiTheme="minorHAnsi"/>
      <w:sz w:val="22"/>
      <w:szCs w:val="24"/>
      <w:lang w:eastAsia="nl-NL"/>
    </w:rPr>
  </w:style>
  <w:style w:type="character" w:customStyle="1" w:styleId="BodyTextIndent2Char">
    <w:name w:val="Body Text Indent 2 Char"/>
    <w:basedOn w:val="DefaultParagraphFont"/>
    <w:link w:val="BodyTextIndent2"/>
    <w:semiHidden/>
    <w:rsid w:val="0008544A"/>
    <w:rPr>
      <w:rFonts w:asciiTheme="minorHAnsi" w:hAnsiTheme="minorHAnsi"/>
      <w:sz w:val="22"/>
      <w:szCs w:val="24"/>
      <w:lang w:eastAsia="nl-NL"/>
    </w:rPr>
  </w:style>
  <w:style w:type="character" w:customStyle="1" w:styleId="BodyTextIndent3Char">
    <w:name w:val="Body Text Indent 3 Char"/>
    <w:basedOn w:val="DefaultParagraphFont"/>
    <w:link w:val="BodyTextIndent3"/>
    <w:semiHidden/>
    <w:rsid w:val="0008544A"/>
    <w:rPr>
      <w:rFonts w:asciiTheme="minorHAnsi" w:hAnsiTheme="minorHAnsi"/>
      <w:sz w:val="16"/>
      <w:szCs w:val="16"/>
      <w:lang w:eastAsia="nl-NL"/>
    </w:rPr>
  </w:style>
  <w:style w:type="character" w:customStyle="1" w:styleId="ClosingChar">
    <w:name w:val="Closing Char"/>
    <w:basedOn w:val="DefaultParagraphFont"/>
    <w:link w:val="Closing"/>
    <w:semiHidden/>
    <w:rsid w:val="0008544A"/>
    <w:rPr>
      <w:rFonts w:asciiTheme="minorHAnsi" w:hAnsiTheme="minorHAnsi"/>
      <w:sz w:val="22"/>
      <w:szCs w:val="24"/>
      <w:lang w:eastAsia="nl-NL"/>
    </w:rPr>
  </w:style>
  <w:style w:type="character" w:customStyle="1" w:styleId="DateChar">
    <w:name w:val="Date Char"/>
    <w:basedOn w:val="DefaultParagraphFont"/>
    <w:link w:val="Date"/>
    <w:semiHidden/>
    <w:rsid w:val="0008544A"/>
    <w:rPr>
      <w:rFonts w:asciiTheme="minorHAnsi" w:hAnsiTheme="minorHAnsi"/>
      <w:sz w:val="22"/>
      <w:szCs w:val="24"/>
      <w:lang w:eastAsia="nl-NL"/>
    </w:rPr>
  </w:style>
  <w:style w:type="character" w:customStyle="1" w:styleId="E-mailSignatureChar">
    <w:name w:val="E-mail Signature Char"/>
    <w:basedOn w:val="DefaultParagraphFont"/>
    <w:link w:val="E-mailSignature"/>
    <w:semiHidden/>
    <w:rsid w:val="0008544A"/>
    <w:rPr>
      <w:rFonts w:asciiTheme="minorHAnsi" w:hAnsiTheme="minorHAnsi"/>
      <w:sz w:val="22"/>
      <w:szCs w:val="24"/>
      <w:lang w:eastAsia="nl-NL"/>
    </w:rPr>
  </w:style>
  <w:style w:type="character" w:customStyle="1" w:styleId="HTMLAddressChar">
    <w:name w:val="HTML Address Char"/>
    <w:basedOn w:val="DefaultParagraphFont"/>
    <w:link w:val="HTMLAddress"/>
    <w:semiHidden/>
    <w:rsid w:val="0008544A"/>
    <w:rPr>
      <w:rFonts w:asciiTheme="minorHAnsi" w:hAnsiTheme="minorHAnsi"/>
      <w:i/>
      <w:iCs/>
      <w:sz w:val="22"/>
      <w:szCs w:val="24"/>
      <w:lang w:eastAsia="nl-NL"/>
    </w:rPr>
  </w:style>
  <w:style w:type="character" w:customStyle="1" w:styleId="HTMLPreformattedChar">
    <w:name w:val="HTML Preformatted Char"/>
    <w:basedOn w:val="DefaultParagraphFont"/>
    <w:link w:val="HTMLPreformatted"/>
    <w:semiHidden/>
    <w:rsid w:val="0008544A"/>
    <w:rPr>
      <w:rFonts w:ascii="Courier New" w:hAnsi="Courier New" w:cs="Courier New"/>
      <w:lang w:eastAsia="nl-NL"/>
    </w:rPr>
  </w:style>
  <w:style w:type="character" w:customStyle="1" w:styleId="MessageHeaderChar">
    <w:name w:val="Message Header Char"/>
    <w:basedOn w:val="DefaultParagraphFont"/>
    <w:link w:val="MessageHeader"/>
    <w:semiHidden/>
    <w:rsid w:val="0008544A"/>
    <w:rPr>
      <w:rFonts w:ascii="Arial" w:hAnsi="Arial" w:cs="Arial"/>
      <w:sz w:val="24"/>
      <w:szCs w:val="24"/>
      <w:shd w:val="pct20" w:color="auto" w:fill="auto"/>
      <w:lang w:eastAsia="nl-NL"/>
    </w:rPr>
  </w:style>
  <w:style w:type="character" w:customStyle="1" w:styleId="SalutationChar">
    <w:name w:val="Salutation Char"/>
    <w:basedOn w:val="DefaultParagraphFont"/>
    <w:link w:val="Salutation"/>
    <w:semiHidden/>
    <w:rsid w:val="0008544A"/>
    <w:rPr>
      <w:rFonts w:asciiTheme="minorHAnsi" w:hAnsiTheme="minorHAnsi"/>
      <w:sz w:val="22"/>
      <w:szCs w:val="24"/>
      <w:lang w:eastAsia="nl-NL"/>
    </w:rPr>
  </w:style>
  <w:style w:type="character" w:customStyle="1" w:styleId="SignatureChar">
    <w:name w:val="Signature Char"/>
    <w:basedOn w:val="DefaultParagraphFont"/>
    <w:link w:val="Signature"/>
    <w:semiHidden/>
    <w:rsid w:val="0008544A"/>
    <w:rPr>
      <w:rFonts w:asciiTheme="minorHAnsi" w:hAnsiTheme="minorHAnsi"/>
      <w:sz w:val="22"/>
      <w:szCs w:val="24"/>
      <w:lang w:eastAsia="nl-NL"/>
    </w:rPr>
  </w:style>
  <w:style w:type="character" w:customStyle="1" w:styleId="NoteHeadingChar">
    <w:name w:val="Note Heading Char"/>
    <w:basedOn w:val="DefaultParagraphFont"/>
    <w:link w:val="NoteHeading"/>
    <w:semiHidden/>
    <w:rsid w:val="0008544A"/>
    <w:rPr>
      <w:rFonts w:asciiTheme="minorHAnsi" w:hAnsiTheme="minorHAnsi"/>
      <w:sz w:val="22"/>
      <w:szCs w:val="24"/>
      <w:lang w:eastAsia="nl-NL"/>
    </w:rPr>
  </w:style>
  <w:style w:type="character" w:customStyle="1" w:styleId="PlainTextChar">
    <w:name w:val="Plain Text Char"/>
    <w:basedOn w:val="DefaultParagraphFont"/>
    <w:link w:val="PlainText"/>
    <w:semiHidden/>
    <w:rsid w:val="0008544A"/>
    <w:rPr>
      <w:rFonts w:ascii="Courier New" w:hAnsi="Courier New" w:cs="Courier New"/>
      <w:lang w:eastAsia="nl-NL"/>
    </w:rPr>
  </w:style>
  <w:style w:type="character" w:customStyle="1" w:styleId="SubtitleChar">
    <w:name w:val="Subtitle Char"/>
    <w:basedOn w:val="DefaultParagraphFont"/>
    <w:link w:val="Subtitle"/>
    <w:rsid w:val="0008544A"/>
    <w:rPr>
      <w:rFonts w:ascii="Candara" w:hAnsi="Candara" w:cs="Arial"/>
      <w:b/>
      <w:bCs/>
      <w:iCs/>
      <w:sz w:val="32"/>
      <w:szCs w:val="28"/>
      <w:lang w:eastAsia="nl-NL"/>
    </w:rPr>
  </w:style>
  <w:style w:type="character" w:customStyle="1" w:styleId="dropcap">
    <w:name w:val="dropcap"/>
    <w:basedOn w:val="DefaultParagraphFont"/>
    <w:rsid w:val="0008544A"/>
  </w:style>
  <w:style w:type="paragraph" w:customStyle="1" w:styleId="kaftOndertitel">
    <w:name w:val="kaft Ondertitel"/>
    <w:basedOn w:val="Normal"/>
    <w:rsid w:val="0008544A"/>
    <w:pPr>
      <w:spacing w:before="720" w:after="720" w:line="240" w:lineRule="atLeast"/>
      <w:jc w:val="right"/>
    </w:pPr>
    <w:rPr>
      <w:rFonts w:ascii="Arial" w:eastAsia="Calibri" w:hAnsi="Arial" w:cs="Tahoma"/>
      <w:noProof/>
      <w:color w:val="8C3658"/>
      <w:sz w:val="36"/>
      <w:szCs w:val="36"/>
      <w:u w:color="8C3658"/>
      <w:lang w:eastAsia="nl-BE"/>
    </w:rPr>
  </w:style>
  <w:style w:type="paragraph" w:customStyle="1" w:styleId="NormalIndent1">
    <w:name w:val="Normal Indent1"/>
    <w:basedOn w:val="Normal"/>
    <w:rsid w:val="0008544A"/>
    <w:pPr>
      <w:spacing w:before="0" w:line="240" w:lineRule="atLeast"/>
      <w:ind w:firstLine="397"/>
    </w:pPr>
    <w:rPr>
      <w:rFonts w:ascii="Arial" w:eastAsia="Calibri" w:hAnsi="Arial"/>
      <w:sz w:val="20"/>
      <w:szCs w:val="22"/>
      <w:lang w:eastAsia="en-US"/>
    </w:rPr>
  </w:style>
  <w:style w:type="paragraph" w:customStyle="1" w:styleId="Citaat1">
    <w:name w:val="Citaat1"/>
    <w:basedOn w:val="Normal"/>
    <w:qFormat/>
    <w:rsid w:val="0008544A"/>
    <w:pPr>
      <w:spacing w:before="120" w:after="120" w:line="240" w:lineRule="atLeast"/>
      <w:ind w:left="284" w:right="284"/>
    </w:pPr>
    <w:rPr>
      <w:rFonts w:ascii="Arial" w:eastAsia="Calibri" w:hAnsi="Arial"/>
      <w:i/>
      <w:sz w:val="20"/>
      <w:szCs w:val="22"/>
      <w:lang w:eastAsia="en-US"/>
    </w:rPr>
  </w:style>
  <w:style w:type="paragraph" w:customStyle="1" w:styleId="Tabeltitel">
    <w:name w:val="Tabeltitel"/>
    <w:basedOn w:val="Normal"/>
    <w:next w:val="Normal"/>
    <w:link w:val="TabeltitelChar"/>
    <w:rsid w:val="0008544A"/>
    <w:pPr>
      <w:keepNext/>
      <w:spacing w:after="120" w:line="240" w:lineRule="auto"/>
      <w:ind w:left="1134" w:hanging="1134"/>
      <w:jc w:val="left"/>
    </w:pPr>
    <w:rPr>
      <w:rFonts w:ascii="Arial" w:eastAsia="Calibri" w:hAnsi="Arial"/>
      <w:b/>
      <w:bCs/>
      <w:sz w:val="17"/>
      <w:szCs w:val="18"/>
      <w:lang w:eastAsia="en-US"/>
    </w:rPr>
  </w:style>
  <w:style w:type="character" w:customStyle="1" w:styleId="TabeltitelChar">
    <w:name w:val="Tabeltitel Char"/>
    <w:basedOn w:val="DefaultParagraphFont"/>
    <w:link w:val="Tabeltitel"/>
    <w:rsid w:val="0008544A"/>
    <w:rPr>
      <w:rFonts w:ascii="Arial" w:eastAsia="Calibri" w:hAnsi="Arial"/>
      <w:b/>
      <w:bCs/>
      <w:sz w:val="17"/>
      <w:szCs w:val="18"/>
      <w:lang w:eastAsia="en-US"/>
    </w:rPr>
  </w:style>
  <w:style w:type="paragraph" w:styleId="EndnoteText">
    <w:name w:val="endnote text"/>
    <w:basedOn w:val="Normal"/>
    <w:link w:val="EndnoteTextChar"/>
    <w:uiPriority w:val="99"/>
    <w:semiHidden/>
    <w:unhideWhenUsed/>
    <w:rsid w:val="0008544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08544A"/>
    <w:rPr>
      <w:rFonts w:asciiTheme="minorHAnsi" w:hAnsiTheme="minorHAnsi"/>
      <w:lang w:eastAsia="nl-NL"/>
    </w:rPr>
  </w:style>
  <w:style w:type="character" w:styleId="EndnoteReference">
    <w:name w:val="endnote reference"/>
    <w:basedOn w:val="DefaultParagraphFont"/>
    <w:uiPriority w:val="99"/>
    <w:semiHidden/>
    <w:unhideWhenUsed/>
    <w:rsid w:val="0008544A"/>
    <w:rPr>
      <w:vertAlign w:val="superscript"/>
    </w:rPr>
  </w:style>
  <w:style w:type="paragraph" w:customStyle="1" w:styleId="fbib">
    <w:name w:val="fbib"/>
    <w:basedOn w:val="Normal"/>
    <w:link w:val="fbibChar"/>
    <w:qFormat/>
    <w:rsid w:val="0008544A"/>
    <w:pPr>
      <w:spacing w:before="0" w:after="200" w:line="276" w:lineRule="auto"/>
    </w:pPr>
    <w:rPr>
      <w:rFonts w:cs="Arial"/>
      <w:i/>
      <w:sz w:val="20"/>
      <w:szCs w:val="28"/>
      <w:lang w:val="fr-FR" w:eastAsia="en-US"/>
    </w:rPr>
  </w:style>
  <w:style w:type="character" w:customStyle="1" w:styleId="fbibChar">
    <w:name w:val="fbib Char"/>
    <w:basedOn w:val="DefaultParagraphFont"/>
    <w:link w:val="fbib"/>
    <w:rsid w:val="0008544A"/>
    <w:rPr>
      <w:rFonts w:asciiTheme="minorHAnsi" w:hAnsiTheme="minorHAnsi" w:cs="Arial"/>
      <w:i/>
      <w:szCs w:val="28"/>
      <w:lang w:val="fr-FR" w:eastAsia="en-US"/>
    </w:rPr>
  </w:style>
  <w:style w:type="table" w:customStyle="1" w:styleId="TableGrid10">
    <w:name w:val="Table Grid1"/>
    <w:basedOn w:val="TableNormal"/>
    <w:next w:val="TableGrid"/>
    <w:uiPriority w:val="59"/>
    <w:rsid w:val="000854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8544A"/>
    <w:pPr>
      <w:suppressAutoHyphens/>
      <w:autoSpaceDN w:val="0"/>
      <w:spacing w:after="160" w:line="256" w:lineRule="auto"/>
      <w:textAlignment w:val="baseline"/>
    </w:pPr>
    <w:rPr>
      <w:rFonts w:ascii="Calibri" w:eastAsia="SimSun" w:hAnsi="Calibri" w:cs="F"/>
      <w:kern w:val="3"/>
      <w:sz w:val="22"/>
      <w:szCs w:val="22"/>
      <w:lang w:eastAsia="en-US"/>
    </w:rPr>
  </w:style>
  <w:style w:type="numbering" w:customStyle="1" w:styleId="WWNum3">
    <w:name w:val="WWNum3"/>
    <w:basedOn w:val="NoList"/>
    <w:rsid w:val="0008544A"/>
    <w:pPr>
      <w:numPr>
        <w:numId w:val="16"/>
      </w:numPr>
    </w:pPr>
  </w:style>
  <w:style w:type="table" w:styleId="MediumGrid1-Accent1">
    <w:name w:val="Medium Grid 1 Accent 1"/>
    <w:basedOn w:val="TableNormal"/>
    <w:uiPriority w:val="67"/>
    <w:rsid w:val="000854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dTable1Light-Accent11">
    <w:name w:val="Grid Table 1 Light - Accent 11"/>
    <w:basedOn w:val="TableNormal"/>
    <w:uiPriority w:val="46"/>
    <w:rsid w:val="0008544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08544A"/>
    <w:pPr>
      <w:autoSpaceDE w:val="0"/>
      <w:autoSpaceDN w:val="0"/>
      <w:adjustRightInd w:val="0"/>
    </w:pPr>
    <w:rPr>
      <w:rFonts w:ascii="Calibri" w:eastAsiaTheme="minorHAnsi" w:hAnsi="Calibri" w:cs="Calibri"/>
      <w:color w:val="000000"/>
      <w:sz w:val="24"/>
      <w:szCs w:val="24"/>
      <w:lang w:val="en-US" w:eastAsia="en-US"/>
    </w:rPr>
  </w:style>
  <w:style w:type="paragraph" w:customStyle="1" w:styleId="f1">
    <w:name w:val="f1"/>
    <w:basedOn w:val="Normal"/>
    <w:rsid w:val="0008544A"/>
    <w:pPr>
      <w:spacing w:before="100" w:beforeAutospacing="1" w:after="100" w:afterAutospacing="1" w:line="240" w:lineRule="auto"/>
      <w:jc w:val="left"/>
    </w:pPr>
    <w:rPr>
      <w:rFonts w:ascii="Times New Roman" w:hAnsi="Times New Roman"/>
      <w:sz w:val="24"/>
      <w:lang w:eastAsia="nl-BE"/>
    </w:rPr>
  </w:style>
  <w:style w:type="character" w:styleId="CommentReference">
    <w:name w:val="annotation reference"/>
    <w:basedOn w:val="DefaultParagraphFont"/>
    <w:uiPriority w:val="99"/>
    <w:semiHidden/>
    <w:unhideWhenUsed/>
    <w:rsid w:val="0008544A"/>
    <w:rPr>
      <w:sz w:val="16"/>
      <w:szCs w:val="16"/>
    </w:rPr>
  </w:style>
  <w:style w:type="table" w:styleId="GridTable1Light">
    <w:name w:val="Grid Table 1 Light"/>
    <w:basedOn w:val="TableNormal"/>
    <w:uiPriority w:val="46"/>
    <w:rsid w:val="0008544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yline">
    <w:name w:val="byline"/>
    <w:basedOn w:val="DefaultParagraphFont"/>
    <w:rsid w:val="0008544A"/>
  </w:style>
  <w:style w:type="character" w:customStyle="1" w:styleId="blend-in">
    <w:name w:val="blend-in"/>
    <w:basedOn w:val="DefaultParagraphFont"/>
    <w:rsid w:val="0008544A"/>
  </w:style>
  <w:style w:type="numbering" w:customStyle="1" w:styleId="Headings">
    <w:name w:val="Headings"/>
    <w:uiPriority w:val="99"/>
    <w:rsid w:val="0008544A"/>
    <w:pPr>
      <w:numPr>
        <w:numId w:val="17"/>
      </w:numPr>
    </w:pPr>
  </w:style>
  <w:style w:type="paragraph" w:customStyle="1" w:styleId="xl63">
    <w:name w:val="xl63"/>
    <w:basedOn w:val="Normal"/>
    <w:rsid w:val="0008544A"/>
    <w:pPr>
      <w:spacing w:before="100" w:beforeAutospacing="1" w:after="100" w:afterAutospacing="1" w:line="240" w:lineRule="auto"/>
      <w:jc w:val="center"/>
    </w:pPr>
    <w:rPr>
      <w:rFonts w:ascii="Times New Roman" w:hAnsi="Times New Roman"/>
      <w:sz w:val="24"/>
      <w:lang w:eastAsia="nl-BE"/>
    </w:rPr>
  </w:style>
  <w:style w:type="paragraph" w:customStyle="1" w:styleId="xl64">
    <w:name w:val="xl64"/>
    <w:basedOn w:val="Normal"/>
    <w:rsid w:val="0008544A"/>
    <w:pPr>
      <w:pBdr>
        <w:bottom w:val="single" w:sz="4" w:space="0" w:color="000000"/>
      </w:pBdr>
      <w:spacing w:before="100" w:beforeAutospacing="1" w:after="100" w:afterAutospacing="1" w:line="240" w:lineRule="auto"/>
      <w:jc w:val="left"/>
    </w:pPr>
    <w:rPr>
      <w:rFonts w:ascii="Times New Roman" w:hAnsi="Times New Roman"/>
      <w:sz w:val="24"/>
      <w:lang w:eastAsia="nl-BE"/>
    </w:rPr>
  </w:style>
  <w:style w:type="paragraph" w:customStyle="1" w:styleId="xl65">
    <w:name w:val="xl65"/>
    <w:basedOn w:val="Normal"/>
    <w:rsid w:val="0008544A"/>
    <w:pPr>
      <w:pBdr>
        <w:bottom w:val="single" w:sz="4" w:space="0" w:color="000000"/>
      </w:pBdr>
      <w:spacing w:before="100" w:beforeAutospacing="1" w:after="100" w:afterAutospacing="1" w:line="240" w:lineRule="auto"/>
      <w:jc w:val="center"/>
    </w:pPr>
    <w:rPr>
      <w:rFonts w:ascii="Times New Roman" w:hAnsi="Times New Roman"/>
      <w:sz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70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hiva-srv-02\sekretar\Secretariaat\Templates\Templates%202010\www.steunpuntwonen.be" TargetMode="External"/><Relationship Id="rId26" Type="http://schemas.openxmlformats.org/officeDocument/2006/relationships/image" Target="media/image7.png"/><Relationship Id="rId39" Type="http://schemas.openxmlformats.org/officeDocument/2006/relationships/hyperlink" Target="http://www.bouw-energie.be/nl/bereken/epc" TargetMode="Externa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header" Target="header6.xml"/><Relationship Id="rId47" Type="http://schemas.openxmlformats.org/officeDocument/2006/relationships/hyperlink" Target="https://www.wonenvlaanderen.be/termen" TargetMode="External"/><Relationship Id="rId50"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1.emf"/><Relationship Id="rId38" Type="http://schemas.openxmlformats.org/officeDocument/2006/relationships/image" Target="media/image16.jpeg"/><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chart" Target="charts/chart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4.emf"/><Relationship Id="rId49" Type="http://schemas.openxmlformats.org/officeDocument/2006/relationships/hyperlink" Target="https://www.wonenvlaanderen.be/termen" TargetMode="External"/><Relationship Id="rId10" Type="http://schemas.openxmlformats.org/officeDocument/2006/relationships/footer" Target="footer1.xml"/><Relationship Id="rId19" Type="http://schemas.openxmlformats.org/officeDocument/2006/relationships/hyperlink" Target="file:///\\hiva-srv-02\sekretar\Secretariaat\Templates\Templates%202010\www.steunpuntwonen.be" TargetMode="External"/><Relationship Id="rId31" Type="http://schemas.openxmlformats.org/officeDocument/2006/relationships/chart" Target="charts/chart3.xml"/><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chart" Target="charts/chart2.xml"/><Relationship Id="rId35" Type="http://schemas.openxmlformats.org/officeDocument/2006/relationships/image" Target="media/image13.emf"/><Relationship Id="rId43" Type="http://schemas.openxmlformats.org/officeDocument/2006/relationships/footer" Target="footer7.xml"/><Relationship Id="rId48" Type="http://schemas.openxmlformats.org/officeDocument/2006/relationships/hyperlink" Target="https://www.wonenvlaanderen.be/termen" TargetMode="External"/><Relationship Id="rId8" Type="http://schemas.openxmlformats.org/officeDocument/2006/relationships/endnotes" Target="endnotes.xml"/><Relationship Id="rId51"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2.vlaanderen.be/economie/energiesparen/epb/doc/veelgemaaktefout_brutovloerop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089016\Documents\Custom%20Office%20Templates\SP_Wonen_pap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conGFS.econ.kuleuven.ac.be\groups\CES_EH\huurschatter\Update_data_februari_2016\sociale%20huurmarktwaarden\frank-huurprijzen%202012-2014.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conPFS.econ.kuleuven.ac.be\P\n08038\AAAA%20vanaf%2020100122\onderzoek%20onafgewerkt\2016%20adhoc%20huurschatter\illustratie%20waarom%20verdeling%20breder%20is%20van%20transacities%20dan%20hun%20onderliggende%20theoretische%20waar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conGFS.econ.kuleuven.ac.be\groups\CES_EH\huurschatter\Update_data_februari_2016\sociale%20huurmarktwaarden\frank-huurprijzen%202012-2014.xlsb"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'[frank-huurprijzen 2012-2014.xlsb]resultaat'!$D$1</c:f>
              <c:strCache>
                <c:ptCount val="1"/>
                <c:pt idx="0">
                  <c:v>aantallen</c:v>
                </c:pt>
              </c:strCache>
            </c:strRef>
          </c:tx>
          <c:spPr>
            <a:solidFill>
              <a:schemeClr val="accent2"/>
            </a:solidFill>
            <a:ln>
              <a:noFill/>
            </a:ln>
            <a:effectLst/>
          </c:spPr>
          <c:invertIfNegative val="0"/>
          <c:cat>
            <c:numRef>
              <c:f>'[frank-huurprijzen 2012-2014.xlsb]resultaat'!$C$2:$C$124</c:f>
              <c:numCache>
                <c:formatCode>_ "€"\ * #,##0_ ;_ "€"\ * \-#,##0_ ;_ "€"\ * "-"??_ ;_ @_ </c:formatCode>
                <c:ptCount val="123"/>
                <c:pt idx="0">
                  <c:v>130</c:v>
                </c:pt>
                <c:pt idx="1">
                  <c:v>140</c:v>
                </c:pt>
                <c:pt idx="2">
                  <c:v>160</c:v>
                </c:pt>
                <c:pt idx="3">
                  <c:v>180</c:v>
                </c:pt>
                <c:pt idx="4">
                  <c:v>190</c:v>
                </c:pt>
                <c:pt idx="5">
                  <c:v>200</c:v>
                </c:pt>
                <c:pt idx="6">
                  <c:v>210</c:v>
                </c:pt>
                <c:pt idx="7">
                  <c:v>220</c:v>
                </c:pt>
                <c:pt idx="8">
                  <c:v>230</c:v>
                </c:pt>
                <c:pt idx="9">
                  <c:v>240</c:v>
                </c:pt>
                <c:pt idx="10">
                  <c:v>250</c:v>
                </c:pt>
                <c:pt idx="11">
                  <c:v>260</c:v>
                </c:pt>
                <c:pt idx="12">
                  <c:v>270</c:v>
                </c:pt>
                <c:pt idx="13">
                  <c:v>280</c:v>
                </c:pt>
                <c:pt idx="14">
                  <c:v>290</c:v>
                </c:pt>
                <c:pt idx="15">
                  <c:v>300</c:v>
                </c:pt>
                <c:pt idx="16">
                  <c:v>310</c:v>
                </c:pt>
                <c:pt idx="17">
                  <c:v>320</c:v>
                </c:pt>
                <c:pt idx="18">
                  <c:v>330</c:v>
                </c:pt>
                <c:pt idx="19">
                  <c:v>340</c:v>
                </c:pt>
                <c:pt idx="20">
                  <c:v>350</c:v>
                </c:pt>
                <c:pt idx="21">
                  <c:v>360</c:v>
                </c:pt>
                <c:pt idx="22">
                  <c:v>370</c:v>
                </c:pt>
                <c:pt idx="23">
                  <c:v>380</c:v>
                </c:pt>
                <c:pt idx="24">
                  <c:v>390</c:v>
                </c:pt>
                <c:pt idx="25">
                  <c:v>400</c:v>
                </c:pt>
                <c:pt idx="26">
                  <c:v>410</c:v>
                </c:pt>
                <c:pt idx="27">
                  <c:v>420</c:v>
                </c:pt>
                <c:pt idx="28">
                  <c:v>430</c:v>
                </c:pt>
                <c:pt idx="29">
                  <c:v>440</c:v>
                </c:pt>
                <c:pt idx="30">
                  <c:v>450</c:v>
                </c:pt>
                <c:pt idx="31">
                  <c:v>460</c:v>
                </c:pt>
                <c:pt idx="32">
                  <c:v>470</c:v>
                </c:pt>
                <c:pt idx="33">
                  <c:v>480</c:v>
                </c:pt>
                <c:pt idx="34">
                  <c:v>490</c:v>
                </c:pt>
                <c:pt idx="35">
                  <c:v>500</c:v>
                </c:pt>
                <c:pt idx="36">
                  <c:v>510</c:v>
                </c:pt>
                <c:pt idx="37">
                  <c:v>520</c:v>
                </c:pt>
                <c:pt idx="38">
                  <c:v>530</c:v>
                </c:pt>
                <c:pt idx="39">
                  <c:v>540</c:v>
                </c:pt>
                <c:pt idx="40">
                  <c:v>550</c:v>
                </c:pt>
                <c:pt idx="41">
                  <c:v>560</c:v>
                </c:pt>
                <c:pt idx="42">
                  <c:v>570</c:v>
                </c:pt>
                <c:pt idx="43">
                  <c:v>580</c:v>
                </c:pt>
                <c:pt idx="44">
                  <c:v>590</c:v>
                </c:pt>
                <c:pt idx="45">
                  <c:v>600</c:v>
                </c:pt>
                <c:pt idx="46">
                  <c:v>610</c:v>
                </c:pt>
                <c:pt idx="47">
                  <c:v>620</c:v>
                </c:pt>
                <c:pt idx="48">
                  <c:v>630</c:v>
                </c:pt>
                <c:pt idx="49">
                  <c:v>640</c:v>
                </c:pt>
                <c:pt idx="50">
                  <c:v>650</c:v>
                </c:pt>
                <c:pt idx="51">
                  <c:v>660</c:v>
                </c:pt>
                <c:pt idx="52">
                  <c:v>670</c:v>
                </c:pt>
                <c:pt idx="53">
                  <c:v>680</c:v>
                </c:pt>
                <c:pt idx="54">
                  <c:v>690</c:v>
                </c:pt>
                <c:pt idx="55">
                  <c:v>700</c:v>
                </c:pt>
                <c:pt idx="56">
                  <c:v>710</c:v>
                </c:pt>
                <c:pt idx="57">
                  <c:v>720</c:v>
                </c:pt>
                <c:pt idx="58">
                  <c:v>730</c:v>
                </c:pt>
                <c:pt idx="59">
                  <c:v>740</c:v>
                </c:pt>
                <c:pt idx="60">
                  <c:v>750</c:v>
                </c:pt>
                <c:pt idx="61">
                  <c:v>760</c:v>
                </c:pt>
                <c:pt idx="62">
                  <c:v>770</c:v>
                </c:pt>
                <c:pt idx="63">
                  <c:v>780</c:v>
                </c:pt>
                <c:pt idx="64">
                  <c:v>790</c:v>
                </c:pt>
                <c:pt idx="65">
                  <c:v>800</c:v>
                </c:pt>
                <c:pt idx="66">
                  <c:v>810</c:v>
                </c:pt>
                <c:pt idx="67">
                  <c:v>820</c:v>
                </c:pt>
                <c:pt idx="68">
                  <c:v>830</c:v>
                </c:pt>
                <c:pt idx="69">
                  <c:v>840</c:v>
                </c:pt>
                <c:pt idx="70">
                  <c:v>850</c:v>
                </c:pt>
                <c:pt idx="71">
                  <c:v>860</c:v>
                </c:pt>
                <c:pt idx="72">
                  <c:v>870</c:v>
                </c:pt>
                <c:pt idx="73">
                  <c:v>880</c:v>
                </c:pt>
                <c:pt idx="74">
                  <c:v>890</c:v>
                </c:pt>
                <c:pt idx="75">
                  <c:v>900</c:v>
                </c:pt>
                <c:pt idx="76">
                  <c:v>910</c:v>
                </c:pt>
                <c:pt idx="77">
                  <c:v>920</c:v>
                </c:pt>
                <c:pt idx="78">
                  <c:v>930</c:v>
                </c:pt>
                <c:pt idx="79">
                  <c:v>940</c:v>
                </c:pt>
                <c:pt idx="80">
                  <c:v>950</c:v>
                </c:pt>
                <c:pt idx="81">
                  <c:v>960</c:v>
                </c:pt>
                <c:pt idx="82">
                  <c:v>970</c:v>
                </c:pt>
                <c:pt idx="83">
                  <c:v>980</c:v>
                </c:pt>
                <c:pt idx="84">
                  <c:v>990</c:v>
                </c:pt>
                <c:pt idx="85">
                  <c:v>1000</c:v>
                </c:pt>
                <c:pt idx="86">
                  <c:v>1010</c:v>
                </c:pt>
                <c:pt idx="87">
                  <c:v>1020</c:v>
                </c:pt>
                <c:pt idx="88">
                  <c:v>1030</c:v>
                </c:pt>
                <c:pt idx="89">
                  <c:v>1040</c:v>
                </c:pt>
                <c:pt idx="90">
                  <c:v>1050</c:v>
                </c:pt>
                <c:pt idx="91">
                  <c:v>1060</c:v>
                </c:pt>
                <c:pt idx="92">
                  <c:v>1070</c:v>
                </c:pt>
                <c:pt idx="93">
                  <c:v>1080</c:v>
                </c:pt>
                <c:pt idx="94">
                  <c:v>1090</c:v>
                </c:pt>
                <c:pt idx="95">
                  <c:v>1100</c:v>
                </c:pt>
                <c:pt idx="96">
                  <c:v>1110</c:v>
                </c:pt>
                <c:pt idx="97">
                  <c:v>1120</c:v>
                </c:pt>
                <c:pt idx="98">
                  <c:v>1130</c:v>
                </c:pt>
                <c:pt idx="99">
                  <c:v>1140</c:v>
                </c:pt>
                <c:pt idx="100">
                  <c:v>1150</c:v>
                </c:pt>
                <c:pt idx="101">
                  <c:v>1160</c:v>
                </c:pt>
                <c:pt idx="102">
                  <c:v>1170</c:v>
                </c:pt>
                <c:pt idx="103">
                  <c:v>1180</c:v>
                </c:pt>
                <c:pt idx="104">
                  <c:v>1190</c:v>
                </c:pt>
                <c:pt idx="105">
                  <c:v>1200</c:v>
                </c:pt>
                <c:pt idx="106">
                  <c:v>1210</c:v>
                </c:pt>
                <c:pt idx="107">
                  <c:v>1220</c:v>
                </c:pt>
                <c:pt idx="108">
                  <c:v>1230</c:v>
                </c:pt>
                <c:pt idx="109">
                  <c:v>1240</c:v>
                </c:pt>
                <c:pt idx="110">
                  <c:v>1260</c:v>
                </c:pt>
                <c:pt idx="111">
                  <c:v>1270</c:v>
                </c:pt>
                <c:pt idx="112">
                  <c:v>1280</c:v>
                </c:pt>
                <c:pt idx="113">
                  <c:v>1300</c:v>
                </c:pt>
                <c:pt idx="114">
                  <c:v>1310</c:v>
                </c:pt>
                <c:pt idx="115">
                  <c:v>1340</c:v>
                </c:pt>
                <c:pt idx="116">
                  <c:v>1360</c:v>
                </c:pt>
                <c:pt idx="117">
                  <c:v>1370</c:v>
                </c:pt>
                <c:pt idx="118">
                  <c:v>1390</c:v>
                </c:pt>
                <c:pt idx="119">
                  <c:v>1400</c:v>
                </c:pt>
                <c:pt idx="120">
                  <c:v>1450</c:v>
                </c:pt>
                <c:pt idx="121">
                  <c:v>1460</c:v>
                </c:pt>
                <c:pt idx="122">
                  <c:v>1530</c:v>
                </c:pt>
              </c:numCache>
            </c:numRef>
          </c:cat>
          <c:val>
            <c:numRef>
              <c:f>'[frank-huurprijzen 2012-2014.xlsb]resultaat'!$D$2:$D$124</c:f>
              <c:numCache>
                <c:formatCode>General</c:formatCode>
                <c:ptCount val="123"/>
                <c:pt idx="0">
                  <c:v>14</c:v>
                </c:pt>
                <c:pt idx="1">
                  <c:v>1</c:v>
                </c:pt>
                <c:pt idx="2">
                  <c:v>4</c:v>
                </c:pt>
                <c:pt idx="3">
                  <c:v>2</c:v>
                </c:pt>
                <c:pt idx="4">
                  <c:v>24</c:v>
                </c:pt>
                <c:pt idx="5">
                  <c:v>10</c:v>
                </c:pt>
                <c:pt idx="6">
                  <c:v>11</c:v>
                </c:pt>
                <c:pt idx="7">
                  <c:v>60</c:v>
                </c:pt>
                <c:pt idx="8">
                  <c:v>81</c:v>
                </c:pt>
                <c:pt idx="9">
                  <c:v>64</c:v>
                </c:pt>
                <c:pt idx="10">
                  <c:v>126</c:v>
                </c:pt>
                <c:pt idx="11">
                  <c:v>109</c:v>
                </c:pt>
                <c:pt idx="12">
                  <c:v>1133</c:v>
                </c:pt>
                <c:pt idx="13">
                  <c:v>359</c:v>
                </c:pt>
                <c:pt idx="14">
                  <c:v>302</c:v>
                </c:pt>
                <c:pt idx="15">
                  <c:v>837</c:v>
                </c:pt>
                <c:pt idx="16">
                  <c:v>543</c:v>
                </c:pt>
                <c:pt idx="17">
                  <c:v>1462</c:v>
                </c:pt>
                <c:pt idx="18">
                  <c:v>690</c:v>
                </c:pt>
                <c:pt idx="19">
                  <c:v>658</c:v>
                </c:pt>
                <c:pt idx="20">
                  <c:v>1542</c:v>
                </c:pt>
                <c:pt idx="21">
                  <c:v>860</c:v>
                </c:pt>
                <c:pt idx="22">
                  <c:v>1450</c:v>
                </c:pt>
                <c:pt idx="23">
                  <c:v>3529</c:v>
                </c:pt>
                <c:pt idx="24">
                  <c:v>1433</c:v>
                </c:pt>
                <c:pt idx="25">
                  <c:v>1459</c:v>
                </c:pt>
                <c:pt idx="26">
                  <c:v>3484</c:v>
                </c:pt>
                <c:pt idx="27">
                  <c:v>2006</c:v>
                </c:pt>
                <c:pt idx="28">
                  <c:v>5594</c:v>
                </c:pt>
                <c:pt idx="29">
                  <c:v>2777</c:v>
                </c:pt>
                <c:pt idx="30">
                  <c:v>2068</c:v>
                </c:pt>
                <c:pt idx="31">
                  <c:v>4947</c:v>
                </c:pt>
                <c:pt idx="32">
                  <c:v>2781</c:v>
                </c:pt>
                <c:pt idx="33">
                  <c:v>2854</c:v>
                </c:pt>
                <c:pt idx="34">
                  <c:v>7738</c:v>
                </c:pt>
                <c:pt idx="35">
                  <c:v>2867</c:v>
                </c:pt>
                <c:pt idx="36">
                  <c:v>2506</c:v>
                </c:pt>
                <c:pt idx="37">
                  <c:v>5391</c:v>
                </c:pt>
                <c:pt idx="38">
                  <c:v>3431</c:v>
                </c:pt>
                <c:pt idx="39">
                  <c:v>6848</c:v>
                </c:pt>
                <c:pt idx="40">
                  <c:v>2940</c:v>
                </c:pt>
                <c:pt idx="41">
                  <c:v>2832</c:v>
                </c:pt>
                <c:pt idx="42">
                  <c:v>4723</c:v>
                </c:pt>
                <c:pt idx="43">
                  <c:v>2833</c:v>
                </c:pt>
                <c:pt idx="44">
                  <c:v>3078</c:v>
                </c:pt>
                <c:pt idx="45">
                  <c:v>6402</c:v>
                </c:pt>
                <c:pt idx="46">
                  <c:v>2977</c:v>
                </c:pt>
                <c:pt idx="47">
                  <c:v>2668</c:v>
                </c:pt>
                <c:pt idx="48">
                  <c:v>3454</c:v>
                </c:pt>
                <c:pt idx="49">
                  <c:v>2018</c:v>
                </c:pt>
                <c:pt idx="50">
                  <c:v>5375</c:v>
                </c:pt>
                <c:pt idx="51">
                  <c:v>1918</c:v>
                </c:pt>
                <c:pt idx="52">
                  <c:v>2182</c:v>
                </c:pt>
                <c:pt idx="53">
                  <c:v>2312</c:v>
                </c:pt>
                <c:pt idx="54">
                  <c:v>1514</c:v>
                </c:pt>
                <c:pt idx="55">
                  <c:v>2180</c:v>
                </c:pt>
                <c:pt idx="56">
                  <c:v>2925</c:v>
                </c:pt>
                <c:pt idx="57">
                  <c:v>1213</c:v>
                </c:pt>
                <c:pt idx="58">
                  <c:v>946</c:v>
                </c:pt>
                <c:pt idx="59">
                  <c:v>1257</c:v>
                </c:pt>
                <c:pt idx="60">
                  <c:v>1025</c:v>
                </c:pt>
                <c:pt idx="61">
                  <c:v>1852</c:v>
                </c:pt>
                <c:pt idx="62">
                  <c:v>554</c:v>
                </c:pt>
                <c:pt idx="63">
                  <c:v>726</c:v>
                </c:pt>
                <c:pt idx="64">
                  <c:v>746</c:v>
                </c:pt>
                <c:pt idx="65">
                  <c:v>602</c:v>
                </c:pt>
                <c:pt idx="66">
                  <c:v>265</c:v>
                </c:pt>
                <c:pt idx="67">
                  <c:v>1055</c:v>
                </c:pt>
                <c:pt idx="68">
                  <c:v>312</c:v>
                </c:pt>
                <c:pt idx="69">
                  <c:v>550</c:v>
                </c:pt>
                <c:pt idx="70">
                  <c:v>337</c:v>
                </c:pt>
                <c:pt idx="71">
                  <c:v>290</c:v>
                </c:pt>
                <c:pt idx="72">
                  <c:v>358</c:v>
                </c:pt>
                <c:pt idx="73">
                  <c:v>295</c:v>
                </c:pt>
                <c:pt idx="74">
                  <c:v>199</c:v>
                </c:pt>
                <c:pt idx="75">
                  <c:v>282</c:v>
                </c:pt>
                <c:pt idx="76">
                  <c:v>182</c:v>
                </c:pt>
                <c:pt idx="77">
                  <c:v>190</c:v>
                </c:pt>
                <c:pt idx="78">
                  <c:v>238</c:v>
                </c:pt>
                <c:pt idx="79">
                  <c:v>150</c:v>
                </c:pt>
                <c:pt idx="80">
                  <c:v>84</c:v>
                </c:pt>
                <c:pt idx="81">
                  <c:v>109</c:v>
                </c:pt>
                <c:pt idx="82">
                  <c:v>92</c:v>
                </c:pt>
                <c:pt idx="83">
                  <c:v>248</c:v>
                </c:pt>
                <c:pt idx="84">
                  <c:v>86</c:v>
                </c:pt>
                <c:pt idx="85">
                  <c:v>74</c:v>
                </c:pt>
                <c:pt idx="86">
                  <c:v>53</c:v>
                </c:pt>
                <c:pt idx="87">
                  <c:v>136</c:v>
                </c:pt>
                <c:pt idx="88">
                  <c:v>32</c:v>
                </c:pt>
                <c:pt idx="89">
                  <c:v>57</c:v>
                </c:pt>
                <c:pt idx="90">
                  <c:v>7</c:v>
                </c:pt>
                <c:pt idx="91">
                  <c:v>17</c:v>
                </c:pt>
                <c:pt idx="92">
                  <c:v>11</c:v>
                </c:pt>
                <c:pt idx="93">
                  <c:v>3</c:v>
                </c:pt>
                <c:pt idx="94">
                  <c:v>37</c:v>
                </c:pt>
                <c:pt idx="95">
                  <c:v>9</c:v>
                </c:pt>
                <c:pt idx="96">
                  <c:v>4</c:v>
                </c:pt>
                <c:pt idx="97">
                  <c:v>127</c:v>
                </c:pt>
                <c:pt idx="98">
                  <c:v>6</c:v>
                </c:pt>
                <c:pt idx="99">
                  <c:v>11</c:v>
                </c:pt>
                <c:pt idx="100">
                  <c:v>33</c:v>
                </c:pt>
                <c:pt idx="101">
                  <c:v>4</c:v>
                </c:pt>
                <c:pt idx="102">
                  <c:v>3</c:v>
                </c:pt>
                <c:pt idx="103">
                  <c:v>5</c:v>
                </c:pt>
                <c:pt idx="104">
                  <c:v>3</c:v>
                </c:pt>
                <c:pt idx="105">
                  <c:v>13</c:v>
                </c:pt>
                <c:pt idx="106">
                  <c:v>6</c:v>
                </c:pt>
                <c:pt idx="107">
                  <c:v>1</c:v>
                </c:pt>
                <c:pt idx="108">
                  <c:v>8</c:v>
                </c:pt>
                <c:pt idx="109">
                  <c:v>4</c:v>
                </c:pt>
                <c:pt idx="110">
                  <c:v>2</c:v>
                </c:pt>
                <c:pt idx="111">
                  <c:v>1</c:v>
                </c:pt>
                <c:pt idx="112">
                  <c:v>2</c:v>
                </c:pt>
                <c:pt idx="113">
                  <c:v>33</c:v>
                </c:pt>
                <c:pt idx="114">
                  <c:v>4</c:v>
                </c:pt>
                <c:pt idx="115">
                  <c:v>1</c:v>
                </c:pt>
                <c:pt idx="116">
                  <c:v>4</c:v>
                </c:pt>
                <c:pt idx="117">
                  <c:v>1</c:v>
                </c:pt>
                <c:pt idx="118">
                  <c:v>1</c:v>
                </c:pt>
                <c:pt idx="119">
                  <c:v>2</c:v>
                </c:pt>
                <c:pt idx="120">
                  <c:v>1</c:v>
                </c:pt>
                <c:pt idx="121">
                  <c:v>1</c:v>
                </c:pt>
                <c:pt idx="122">
                  <c:v>2</c:v>
                </c:pt>
              </c:numCache>
            </c:numRef>
          </c:val>
          <c:extLst>
            <c:ext xmlns:c16="http://schemas.microsoft.com/office/drawing/2014/chart" uri="{C3380CC4-5D6E-409C-BE32-E72D297353CC}">
              <c16:uniqueId val="{00000000-ADAE-4CED-8E40-1FAF1D564E31}"/>
            </c:ext>
          </c:extLst>
        </c:ser>
        <c:dLbls>
          <c:showLegendKey val="0"/>
          <c:showVal val="0"/>
          <c:showCatName val="0"/>
          <c:showSerName val="0"/>
          <c:showPercent val="0"/>
          <c:showBubbleSize val="0"/>
        </c:dLbls>
        <c:gapWidth val="219"/>
        <c:overlap val="-27"/>
        <c:axId val="391364968"/>
        <c:axId val="391365752"/>
      </c:barChart>
      <c:lineChart>
        <c:grouping val="standard"/>
        <c:varyColors val="0"/>
        <c:ser>
          <c:idx val="0"/>
          <c:order val="1"/>
          <c:tx>
            <c:v>cumulatieve verdeling</c:v>
          </c:tx>
          <c:spPr>
            <a:ln w="28575" cap="rnd">
              <a:solidFill>
                <a:schemeClr val="accent1"/>
              </a:solidFill>
              <a:round/>
            </a:ln>
            <a:effectLst/>
          </c:spPr>
          <c:marker>
            <c:symbol val="none"/>
          </c:marker>
          <c:val>
            <c:numRef>
              <c:f>'[frank-huurprijzen 2012-2014.xlsb]resultaat'!$E$2:$E$124</c:f>
              <c:numCache>
                <c:formatCode>0%</c:formatCode>
                <c:ptCount val="123"/>
                <c:pt idx="0">
                  <c:v>1.004678933318024E-4</c:v>
                </c:pt>
                <c:pt idx="1">
                  <c:v>1.0764417142693114E-4</c:v>
                </c:pt>
                <c:pt idx="2">
                  <c:v>1.363492838074461E-4</c:v>
                </c:pt>
                <c:pt idx="3">
                  <c:v>1.507018399977036E-4</c:v>
                </c:pt>
                <c:pt idx="4">
                  <c:v>3.2293251428079341E-4</c:v>
                </c:pt>
                <c:pt idx="5">
                  <c:v>3.9469529523208084E-4</c:v>
                </c:pt>
                <c:pt idx="6">
                  <c:v>4.7363435427849701E-4</c:v>
                </c:pt>
                <c:pt idx="7">
                  <c:v>9.0421103998622151E-4</c:v>
                </c:pt>
                <c:pt idx="8">
                  <c:v>1.4854895656916498E-3</c:v>
                </c:pt>
                <c:pt idx="9">
                  <c:v>1.9447713637798891E-3</c:v>
                </c:pt>
                <c:pt idx="10">
                  <c:v>2.8489824037661107E-3</c:v>
                </c:pt>
                <c:pt idx="11">
                  <c:v>3.6311967161351435E-3</c:v>
                </c:pt>
                <c:pt idx="12">
                  <c:v>1.1761919797916008E-2</c:v>
                </c:pt>
                <c:pt idx="13">
                  <c:v>1.4338203634067227E-2</c:v>
                </c:pt>
                <c:pt idx="14">
                  <c:v>1.6505439618796108E-2</c:v>
                </c:pt>
                <c:pt idx="15">
                  <c:v>2.2511984384418864E-2</c:v>
                </c:pt>
                <c:pt idx="16">
                  <c:v>2.6408703390073771E-2</c:v>
                </c:pt>
                <c:pt idx="17">
                  <c:v>3.6900421965151996E-2</c:v>
                </c:pt>
                <c:pt idx="18">
                  <c:v>4.1852053850790827E-2</c:v>
                </c:pt>
                <c:pt idx="19">
                  <c:v>4.6574044837385538E-2</c:v>
                </c:pt>
                <c:pt idx="20">
                  <c:v>5.7639865660074056E-2</c:v>
                </c:pt>
                <c:pt idx="21">
                  <c:v>6.3811464821884781E-2</c:v>
                </c:pt>
                <c:pt idx="22">
                  <c:v>7.421706805982145E-2</c:v>
                </c:pt>
                <c:pt idx="23">
                  <c:v>9.9542153457530785E-2</c:v>
                </c:pt>
                <c:pt idx="24">
                  <c:v>0.10982575996785028</c:v>
                </c:pt>
                <c:pt idx="25">
                  <c:v>0.12029594970864312</c:v>
                </c:pt>
                <c:pt idx="26">
                  <c:v>0.14529810259207165</c:v>
                </c:pt>
                <c:pt idx="27">
                  <c:v>0.15969371645089991</c:v>
                </c:pt>
                <c:pt idx="28">
                  <c:v>0.19983781611505008</c:v>
                </c:pt>
                <c:pt idx="29">
                  <c:v>0.21976634038522261</c:v>
                </c:pt>
                <c:pt idx="30">
                  <c:v>0.23460688348594885</c:v>
                </c:pt>
                <c:pt idx="31">
                  <c:v>0.27010793122255072</c:v>
                </c:pt>
                <c:pt idx="32">
                  <c:v>0.29006516060510379</c:v>
                </c:pt>
                <c:pt idx="33">
                  <c:v>0.31054625828860122</c:v>
                </c:pt>
                <c:pt idx="34">
                  <c:v>0.36607629818870741</c:v>
                </c:pt>
                <c:pt idx="35">
                  <c:v>0.38665068748744152</c:v>
                </c:pt>
                <c:pt idx="36">
                  <c:v>0.40463444039383412</c:v>
                </c:pt>
                <c:pt idx="37">
                  <c:v>0.44332175560467318</c:v>
                </c:pt>
                <c:pt idx="38">
                  <c:v>0.46794356574905993</c:v>
                </c:pt>
                <c:pt idx="39">
                  <c:v>0.51708671814450158</c:v>
                </c:pt>
                <c:pt idx="40">
                  <c:v>0.53818497574418001</c:v>
                </c:pt>
                <c:pt idx="41">
                  <c:v>0.55850819530958462</c:v>
                </c:pt>
                <c:pt idx="42">
                  <c:v>0.59240175675287765</c:v>
                </c:pt>
                <c:pt idx="43">
                  <c:v>0.61273215259637737</c:v>
                </c:pt>
                <c:pt idx="44">
                  <c:v>0.63482073657318372</c:v>
                </c:pt>
                <c:pt idx="45">
                  <c:v>0.68076326893819794</c:v>
                </c:pt>
                <c:pt idx="46">
                  <c:v>0.70212704882739618</c:v>
                </c:pt>
                <c:pt idx="47">
                  <c:v>0.7212733587851996</c:v>
                </c:pt>
                <c:pt idx="48">
                  <c:v>0.74606022332577437</c:v>
                </c:pt>
                <c:pt idx="49">
                  <c:v>0.76054195252174417</c:v>
                </c:pt>
                <c:pt idx="50">
                  <c:v>0.79911444728306114</c:v>
                </c:pt>
                <c:pt idx="51">
                  <c:v>0.81287854866951803</c:v>
                </c:pt>
                <c:pt idx="52">
                  <c:v>0.82853718747308891</c:v>
                </c:pt>
                <c:pt idx="53">
                  <c:v>0.84512874242902658</c:v>
                </c:pt>
                <c:pt idx="54">
                  <c:v>0.85599362746505148</c:v>
                </c:pt>
                <c:pt idx="55">
                  <c:v>0.87163791371243216</c:v>
                </c:pt>
                <c:pt idx="56">
                  <c:v>0.89262852714068375</c:v>
                </c:pt>
                <c:pt idx="57">
                  <c:v>0.90133335247007496</c:v>
                </c:pt>
                <c:pt idx="58">
                  <c:v>0.90812211154806666</c:v>
                </c:pt>
                <c:pt idx="59">
                  <c:v>0.91714269311364349</c:v>
                </c:pt>
                <c:pt idx="60">
                  <c:v>0.92449837816115055</c:v>
                </c:pt>
                <c:pt idx="61">
                  <c:v>0.93778884519332895</c:v>
                </c:pt>
                <c:pt idx="62">
                  <c:v>0.94176450325803029</c:v>
                </c:pt>
                <c:pt idx="63">
                  <c:v>0.94697448115509375</c:v>
                </c:pt>
                <c:pt idx="64">
                  <c:v>0.95232798461405976</c:v>
                </c:pt>
                <c:pt idx="65">
                  <c:v>0.95664810402732725</c:v>
                </c:pt>
                <c:pt idx="66">
                  <c:v>0.95854981772253633</c:v>
                </c:pt>
                <c:pt idx="67">
                  <c:v>0.96612079111289717</c:v>
                </c:pt>
                <c:pt idx="68">
                  <c:v>0.9683597898785774</c:v>
                </c:pt>
                <c:pt idx="69">
                  <c:v>0.97230674283089813</c:v>
                </c:pt>
                <c:pt idx="70">
                  <c:v>0.97472514854895653</c:v>
                </c:pt>
                <c:pt idx="71">
                  <c:v>0.9768062691965439</c:v>
                </c:pt>
                <c:pt idx="72">
                  <c:v>0.97937537675459996</c:v>
                </c:pt>
                <c:pt idx="73">
                  <c:v>0.98149237879266293</c:v>
                </c:pt>
                <c:pt idx="74">
                  <c:v>0.98292045813359363</c:v>
                </c:pt>
                <c:pt idx="75">
                  <c:v>0.98494416855641986</c:v>
                </c:pt>
                <c:pt idx="76">
                  <c:v>0.98625025116973331</c:v>
                </c:pt>
                <c:pt idx="77">
                  <c:v>0.98761374400780777</c:v>
                </c:pt>
                <c:pt idx="78">
                  <c:v>0.98932169819444848</c:v>
                </c:pt>
                <c:pt idx="79">
                  <c:v>0.99039813990871772</c:v>
                </c:pt>
                <c:pt idx="80">
                  <c:v>0.99100094726870858</c:v>
                </c:pt>
                <c:pt idx="81">
                  <c:v>0.9917831615810776</c:v>
                </c:pt>
                <c:pt idx="82">
                  <c:v>0.99244337916582948</c:v>
                </c:pt>
                <c:pt idx="83">
                  <c:v>0.99422309613342141</c:v>
                </c:pt>
                <c:pt idx="84">
                  <c:v>0.99484025604960247</c:v>
                </c:pt>
                <c:pt idx="85">
                  <c:v>0.99537130062864199</c:v>
                </c:pt>
                <c:pt idx="86">
                  <c:v>0.99575164336768374</c:v>
                </c:pt>
                <c:pt idx="87">
                  <c:v>0.99672761718862124</c:v>
                </c:pt>
                <c:pt idx="88">
                  <c:v>0.99695725808766544</c:v>
                </c:pt>
                <c:pt idx="89">
                  <c:v>0.99736630593908771</c:v>
                </c:pt>
                <c:pt idx="90">
                  <c:v>0.99741653988575363</c:v>
                </c:pt>
                <c:pt idx="91">
                  <c:v>0.99753853661337089</c:v>
                </c:pt>
                <c:pt idx="92">
                  <c:v>0.99761747567241721</c:v>
                </c:pt>
                <c:pt idx="93">
                  <c:v>0.99763900450670262</c:v>
                </c:pt>
                <c:pt idx="94">
                  <c:v>0.99790452679622244</c:v>
                </c:pt>
                <c:pt idx="95">
                  <c:v>0.99796911329907856</c:v>
                </c:pt>
                <c:pt idx="96">
                  <c:v>0.99799781841145907</c:v>
                </c:pt>
                <c:pt idx="97">
                  <c:v>0.99890920572954045</c:v>
                </c:pt>
                <c:pt idx="98">
                  <c:v>0.99895226339811116</c:v>
                </c:pt>
                <c:pt idx="99">
                  <c:v>0.9990312024571576</c:v>
                </c:pt>
                <c:pt idx="100">
                  <c:v>0.9992680196342969</c:v>
                </c:pt>
                <c:pt idx="101">
                  <c:v>0.99929672474667741</c:v>
                </c:pt>
                <c:pt idx="102">
                  <c:v>0.99931825358096282</c:v>
                </c:pt>
                <c:pt idx="103">
                  <c:v>0.99935413497143843</c:v>
                </c:pt>
                <c:pt idx="104">
                  <c:v>0.99937566380572385</c:v>
                </c:pt>
                <c:pt idx="105">
                  <c:v>0.99946895542096048</c:v>
                </c:pt>
                <c:pt idx="106">
                  <c:v>0.99951201308953119</c:v>
                </c:pt>
                <c:pt idx="107">
                  <c:v>0.9995191893676264</c:v>
                </c:pt>
                <c:pt idx="108">
                  <c:v>0.99957659959238743</c:v>
                </c:pt>
                <c:pt idx="109">
                  <c:v>0.99960530470476794</c:v>
                </c:pt>
                <c:pt idx="110">
                  <c:v>0.99961965726095814</c:v>
                </c:pt>
                <c:pt idx="111">
                  <c:v>0.99962683353905335</c:v>
                </c:pt>
                <c:pt idx="112">
                  <c:v>0.99964118609524355</c:v>
                </c:pt>
                <c:pt idx="113">
                  <c:v>0.99987800327238285</c:v>
                </c:pt>
                <c:pt idx="114">
                  <c:v>0.99990670838476337</c:v>
                </c:pt>
                <c:pt idx="115">
                  <c:v>0.99991388466285847</c:v>
                </c:pt>
                <c:pt idx="116">
                  <c:v>0.99994258977523898</c:v>
                </c:pt>
                <c:pt idx="117">
                  <c:v>0.99994976605333408</c:v>
                </c:pt>
                <c:pt idx="118">
                  <c:v>0.99995694233142918</c:v>
                </c:pt>
                <c:pt idx="119">
                  <c:v>0.99997129488761949</c:v>
                </c:pt>
                <c:pt idx="120">
                  <c:v>0.99997847116571459</c:v>
                </c:pt>
                <c:pt idx="121">
                  <c:v>0.99998564744380969</c:v>
                </c:pt>
                <c:pt idx="122">
                  <c:v>1</c:v>
                </c:pt>
              </c:numCache>
            </c:numRef>
          </c:val>
          <c:smooth val="0"/>
          <c:extLst>
            <c:ext xmlns:c16="http://schemas.microsoft.com/office/drawing/2014/chart" uri="{C3380CC4-5D6E-409C-BE32-E72D297353CC}">
              <c16:uniqueId val="{00000001-ADAE-4CED-8E40-1FAF1D564E31}"/>
            </c:ext>
          </c:extLst>
        </c:ser>
        <c:dLbls>
          <c:showLegendKey val="0"/>
          <c:showVal val="0"/>
          <c:showCatName val="0"/>
          <c:showSerName val="0"/>
          <c:showPercent val="0"/>
          <c:showBubbleSize val="0"/>
        </c:dLbls>
        <c:marker val="1"/>
        <c:smooth val="0"/>
        <c:axId val="404527608"/>
        <c:axId val="391366144"/>
      </c:lineChart>
      <c:catAx>
        <c:axId val="391364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basishuurprijs</a:t>
                </a:r>
                <a:r>
                  <a:rPr lang="nl-BE" sz="1000" b="0" i="0" u="none" strike="noStrike" kern="1200" baseline="0">
                    <a:solidFill>
                      <a:sysClr val="windowText" lastClr="000000">
                        <a:lumMod val="65000"/>
                        <a:lumOff val="35000"/>
                      </a:sysClr>
                    </a:solidFill>
                    <a:latin typeface="+mn-lt"/>
                    <a:ea typeface="+mn-ea"/>
                    <a:cs typeface="+mn-cs"/>
                  </a:rPr>
                  <a:t>/</a:t>
                </a:r>
                <a:r>
                  <a:rPr lang="nl-BE"/>
                  <a:t>sociale</a:t>
                </a:r>
                <a:r>
                  <a:rPr lang="nl-BE" baseline="0"/>
                  <a:t> huurmarktwaarde</a:t>
                </a:r>
                <a:endParaRPr lang="nl-BE"/>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_ &quot;€&quot;\ * #,##0_ ;_ &quot;€&quot;\ * \-#,##0_ ;_ &quot;€&quot;\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1365752"/>
        <c:crosses val="autoZero"/>
        <c:auto val="1"/>
        <c:lblAlgn val="ctr"/>
        <c:lblOffset val="100"/>
        <c:noMultiLvlLbl val="0"/>
      </c:catAx>
      <c:valAx>
        <c:axId val="39136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aantallen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1364968"/>
        <c:crosses val="autoZero"/>
        <c:crossBetween val="between"/>
      </c:valAx>
      <c:valAx>
        <c:axId val="39136614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04527608"/>
        <c:crosses val="max"/>
        <c:crossBetween val="between"/>
      </c:valAx>
      <c:catAx>
        <c:axId val="404527608"/>
        <c:scaling>
          <c:orientation val="minMax"/>
        </c:scaling>
        <c:delete val="1"/>
        <c:axPos val="b"/>
        <c:majorTickMark val="out"/>
        <c:minorTickMark val="none"/>
        <c:tickLblPos val="nextTo"/>
        <c:crossAx val="3913661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Sheet1!$I$18</c:f>
              <c:strCache>
                <c:ptCount val="1"/>
                <c:pt idx="0">
                  <c:v>verdeling werkelijk huurprijs</c:v>
                </c:pt>
              </c:strCache>
            </c:strRef>
          </c:tx>
          <c:spPr>
            <a:solidFill>
              <a:schemeClr val="accent1"/>
            </a:solidFill>
            <a:ln>
              <a:noFill/>
            </a:ln>
            <a:effectLst/>
          </c:spPr>
          <c:invertIfNegative val="0"/>
          <c:cat>
            <c:numRef>
              <c:f>Sheet1!$J$17:$W$17</c:f>
              <c:numCache>
                <c:formatCode>_ "€"\ * #.##0_ ;_ "€"\ * \-#.##0_ ;_ "€"\ * "-"??_ ;_ @_ </c:formatCode>
                <c:ptCount val="14"/>
                <c:pt idx="0">
                  <c:v>300</c:v>
                </c:pt>
                <c:pt idx="1">
                  <c:v>350</c:v>
                </c:pt>
                <c:pt idx="2">
                  <c:v>400</c:v>
                </c:pt>
                <c:pt idx="3">
                  <c:v>450</c:v>
                </c:pt>
                <c:pt idx="4">
                  <c:v>500</c:v>
                </c:pt>
                <c:pt idx="5">
                  <c:v>550</c:v>
                </c:pt>
                <c:pt idx="6">
                  <c:v>600</c:v>
                </c:pt>
                <c:pt idx="7">
                  <c:v>650</c:v>
                </c:pt>
                <c:pt idx="8">
                  <c:v>700</c:v>
                </c:pt>
                <c:pt idx="9">
                  <c:v>750</c:v>
                </c:pt>
                <c:pt idx="10">
                  <c:v>800</c:v>
                </c:pt>
                <c:pt idx="11">
                  <c:v>850</c:v>
                </c:pt>
                <c:pt idx="12">
                  <c:v>900</c:v>
                </c:pt>
                <c:pt idx="13">
                  <c:v>950</c:v>
                </c:pt>
              </c:numCache>
            </c:numRef>
          </c:cat>
          <c:val>
            <c:numRef>
              <c:f>Sheet1!$J$18:$W$18</c:f>
              <c:numCache>
                <c:formatCode>0%</c:formatCode>
                <c:ptCount val="14"/>
                <c:pt idx="0">
                  <c:v>2E-3</c:v>
                </c:pt>
                <c:pt idx="1">
                  <c:v>1.1000000000000001E-2</c:v>
                </c:pt>
                <c:pt idx="2">
                  <c:v>3.2000000000000001E-2</c:v>
                </c:pt>
                <c:pt idx="3">
                  <c:v>6.6000000000000003E-2</c:v>
                </c:pt>
                <c:pt idx="4">
                  <c:v>0.10100000000000002</c:v>
                </c:pt>
                <c:pt idx="5">
                  <c:v>0.13400000000000001</c:v>
                </c:pt>
                <c:pt idx="6">
                  <c:v>0.15400000000000003</c:v>
                </c:pt>
                <c:pt idx="7">
                  <c:v>0.15400000000000003</c:v>
                </c:pt>
                <c:pt idx="8">
                  <c:v>0.13400000000000001</c:v>
                </c:pt>
                <c:pt idx="9">
                  <c:v>0.10100000000000002</c:v>
                </c:pt>
                <c:pt idx="10">
                  <c:v>6.6000000000000003E-2</c:v>
                </c:pt>
                <c:pt idx="11">
                  <c:v>3.2000000000000001E-2</c:v>
                </c:pt>
                <c:pt idx="12">
                  <c:v>1.1000000000000001E-2</c:v>
                </c:pt>
                <c:pt idx="13">
                  <c:v>2E-3</c:v>
                </c:pt>
              </c:numCache>
            </c:numRef>
          </c:val>
          <c:extLst>
            <c:ext xmlns:c16="http://schemas.microsoft.com/office/drawing/2014/chart" uri="{C3380CC4-5D6E-409C-BE32-E72D297353CC}">
              <c16:uniqueId val="{00000000-2305-4F5B-A298-413966CBDFCC}"/>
            </c:ext>
          </c:extLst>
        </c:ser>
        <c:ser>
          <c:idx val="3"/>
          <c:order val="1"/>
          <c:tx>
            <c:strRef>
              <c:f>Sheet1!$I$21</c:f>
              <c:strCache>
                <c:ptCount val="1"/>
                <c:pt idx="0">
                  <c:v>verdeling niet-gekende objectieve huurprijs</c:v>
                </c:pt>
              </c:strCache>
            </c:strRef>
          </c:tx>
          <c:spPr>
            <a:solidFill>
              <a:schemeClr val="accent4"/>
            </a:solidFill>
            <a:ln>
              <a:noFill/>
            </a:ln>
            <a:effectLst/>
          </c:spPr>
          <c:invertIfNegative val="0"/>
          <c:cat>
            <c:numRef>
              <c:f>Sheet1!$J$17:$W$17</c:f>
              <c:numCache>
                <c:formatCode>_ "€"\ * #.##0_ ;_ "€"\ * \-#.##0_ ;_ "€"\ * "-"??_ ;_ @_ </c:formatCode>
                <c:ptCount val="14"/>
                <c:pt idx="0">
                  <c:v>300</c:v>
                </c:pt>
                <c:pt idx="1">
                  <c:v>350</c:v>
                </c:pt>
                <c:pt idx="2">
                  <c:v>400</c:v>
                </c:pt>
                <c:pt idx="3">
                  <c:v>450</c:v>
                </c:pt>
                <c:pt idx="4">
                  <c:v>500</c:v>
                </c:pt>
                <c:pt idx="5">
                  <c:v>550</c:v>
                </c:pt>
                <c:pt idx="6">
                  <c:v>600</c:v>
                </c:pt>
                <c:pt idx="7">
                  <c:v>650</c:v>
                </c:pt>
                <c:pt idx="8">
                  <c:v>700</c:v>
                </c:pt>
                <c:pt idx="9">
                  <c:v>750</c:v>
                </c:pt>
                <c:pt idx="10">
                  <c:v>800</c:v>
                </c:pt>
                <c:pt idx="11">
                  <c:v>850</c:v>
                </c:pt>
                <c:pt idx="12">
                  <c:v>900</c:v>
                </c:pt>
                <c:pt idx="13">
                  <c:v>950</c:v>
                </c:pt>
              </c:numCache>
            </c:numRef>
          </c:cat>
          <c:val>
            <c:numRef>
              <c:f>Sheet1!$J$21:$W$21</c:f>
              <c:numCache>
                <c:formatCode>0%</c:formatCode>
                <c:ptCount val="14"/>
                <c:pt idx="0">
                  <c:v>0</c:v>
                </c:pt>
                <c:pt idx="1">
                  <c:v>0</c:v>
                </c:pt>
                <c:pt idx="2">
                  <c:v>0.02</c:v>
                </c:pt>
                <c:pt idx="3">
                  <c:v>7.0000000000000007E-2</c:v>
                </c:pt>
                <c:pt idx="4">
                  <c:v>0.1</c:v>
                </c:pt>
                <c:pt idx="5">
                  <c:v>0.14000000000000001</c:v>
                </c:pt>
                <c:pt idx="6">
                  <c:v>0.17</c:v>
                </c:pt>
                <c:pt idx="7">
                  <c:v>0.17</c:v>
                </c:pt>
                <c:pt idx="8">
                  <c:v>0.14000000000000001</c:v>
                </c:pt>
                <c:pt idx="9">
                  <c:v>0.1</c:v>
                </c:pt>
                <c:pt idx="10">
                  <c:v>7.0000000000000007E-2</c:v>
                </c:pt>
                <c:pt idx="11">
                  <c:v>0.02</c:v>
                </c:pt>
                <c:pt idx="12">
                  <c:v>0</c:v>
                </c:pt>
                <c:pt idx="13">
                  <c:v>0</c:v>
                </c:pt>
              </c:numCache>
            </c:numRef>
          </c:val>
          <c:extLst>
            <c:ext xmlns:c16="http://schemas.microsoft.com/office/drawing/2014/chart" uri="{C3380CC4-5D6E-409C-BE32-E72D297353CC}">
              <c16:uniqueId val="{00000001-2305-4F5B-A298-413966CBDFCC}"/>
            </c:ext>
          </c:extLst>
        </c:ser>
        <c:ser>
          <c:idx val="1"/>
          <c:order val="2"/>
          <c:tx>
            <c:v>hedonische schatting</c:v>
          </c:tx>
          <c:spPr>
            <a:solidFill>
              <a:schemeClr val="accent2"/>
            </a:solidFill>
            <a:ln>
              <a:noFill/>
            </a:ln>
            <a:effectLst/>
          </c:spPr>
          <c:invertIfNegative val="0"/>
          <c:val>
            <c:numRef>
              <c:f>Sheet1!$J$24:$W$24</c:f>
              <c:numCache>
                <c:formatCode>0%</c:formatCode>
                <c:ptCount val="14"/>
                <c:pt idx="0">
                  <c:v>0</c:v>
                </c:pt>
                <c:pt idx="1">
                  <c:v>0</c:v>
                </c:pt>
                <c:pt idx="2">
                  <c:v>0.01</c:v>
                </c:pt>
                <c:pt idx="3">
                  <c:v>6.0000000000000005E-2</c:v>
                </c:pt>
                <c:pt idx="4">
                  <c:v>0.1</c:v>
                </c:pt>
                <c:pt idx="5">
                  <c:v>0.15000000000000002</c:v>
                </c:pt>
                <c:pt idx="6">
                  <c:v>0.18000000000000002</c:v>
                </c:pt>
                <c:pt idx="7">
                  <c:v>0.18000000000000002</c:v>
                </c:pt>
                <c:pt idx="8">
                  <c:v>0.15000000000000002</c:v>
                </c:pt>
                <c:pt idx="9">
                  <c:v>0.1</c:v>
                </c:pt>
                <c:pt idx="10">
                  <c:v>6.0000000000000005E-2</c:v>
                </c:pt>
                <c:pt idx="11">
                  <c:v>0.01</c:v>
                </c:pt>
                <c:pt idx="12">
                  <c:v>0</c:v>
                </c:pt>
                <c:pt idx="13">
                  <c:v>0</c:v>
                </c:pt>
              </c:numCache>
            </c:numRef>
          </c:val>
          <c:extLst>
            <c:ext xmlns:c16="http://schemas.microsoft.com/office/drawing/2014/chart" uri="{C3380CC4-5D6E-409C-BE32-E72D297353CC}">
              <c16:uniqueId val="{00000002-2305-4F5B-A298-413966CBDFCC}"/>
            </c:ext>
          </c:extLst>
        </c:ser>
        <c:dLbls>
          <c:showLegendKey val="0"/>
          <c:showVal val="0"/>
          <c:showCatName val="0"/>
          <c:showSerName val="0"/>
          <c:showPercent val="0"/>
          <c:showBubbleSize val="0"/>
        </c:dLbls>
        <c:gapWidth val="219"/>
        <c:overlap val="-27"/>
        <c:axId val="404528000"/>
        <c:axId val="404526432"/>
      </c:barChart>
      <c:catAx>
        <c:axId val="404528000"/>
        <c:scaling>
          <c:orientation val="minMax"/>
        </c:scaling>
        <c:delete val="0"/>
        <c:axPos val="b"/>
        <c:numFmt formatCode="_ &quot;€&quot;\ * #.##0_ ;_ &quot;€&quot;\ * \-#.##0_ ;_ &quot;€&quot;\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404526432"/>
        <c:crosses val="autoZero"/>
        <c:auto val="1"/>
        <c:lblAlgn val="ctr"/>
        <c:lblOffset val="100"/>
        <c:noMultiLvlLbl val="0"/>
      </c:catAx>
      <c:valAx>
        <c:axId val="40452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crossAx val="404528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'[frank-huurprijzen 2012-2014.xlsb]resultaat'!$B$1</c:f>
              <c:strCache>
                <c:ptCount val="1"/>
                <c:pt idx="0">
                  <c:v>huurmarktwaarde</c:v>
                </c:pt>
              </c:strCache>
            </c:strRef>
          </c:tx>
          <c:spPr>
            <a:ln w="28575" cap="rnd">
              <a:solidFill>
                <a:schemeClr val="accent2"/>
              </a:solidFill>
              <a:round/>
            </a:ln>
            <a:effectLst/>
          </c:spPr>
          <c:marker>
            <c:symbol val="none"/>
          </c:marker>
          <c:cat>
            <c:numRef>
              <c:f>'[frank-huurprijzen 2012-2014.xlsb]resultaat'!$A$2:$A$124</c:f>
              <c:numCache>
                <c:formatCode>_ "€"\ * #,##0_ ;_ "€"\ * \-#,##0_ ;_ "€"\ * "-"??_ ;_ @_ </c:formatCode>
                <c:ptCount val="123"/>
                <c:pt idx="0">
                  <c:v>130</c:v>
                </c:pt>
                <c:pt idx="1">
                  <c:v>140</c:v>
                </c:pt>
                <c:pt idx="2">
                  <c:v>160</c:v>
                </c:pt>
                <c:pt idx="3">
                  <c:v>180</c:v>
                </c:pt>
                <c:pt idx="4">
                  <c:v>190</c:v>
                </c:pt>
                <c:pt idx="5">
                  <c:v>200</c:v>
                </c:pt>
                <c:pt idx="6">
                  <c:v>210</c:v>
                </c:pt>
                <c:pt idx="7">
                  <c:v>220</c:v>
                </c:pt>
                <c:pt idx="8">
                  <c:v>230</c:v>
                </c:pt>
                <c:pt idx="9">
                  <c:v>240</c:v>
                </c:pt>
                <c:pt idx="10">
                  <c:v>250</c:v>
                </c:pt>
                <c:pt idx="11">
                  <c:v>260</c:v>
                </c:pt>
                <c:pt idx="12">
                  <c:v>270</c:v>
                </c:pt>
                <c:pt idx="13">
                  <c:v>280</c:v>
                </c:pt>
                <c:pt idx="14">
                  <c:v>290</c:v>
                </c:pt>
                <c:pt idx="15">
                  <c:v>300</c:v>
                </c:pt>
                <c:pt idx="16">
                  <c:v>310</c:v>
                </c:pt>
                <c:pt idx="17">
                  <c:v>320</c:v>
                </c:pt>
                <c:pt idx="18">
                  <c:v>330</c:v>
                </c:pt>
                <c:pt idx="19">
                  <c:v>340</c:v>
                </c:pt>
                <c:pt idx="20">
                  <c:v>350</c:v>
                </c:pt>
                <c:pt idx="21">
                  <c:v>360</c:v>
                </c:pt>
                <c:pt idx="22">
                  <c:v>370</c:v>
                </c:pt>
                <c:pt idx="23">
                  <c:v>380</c:v>
                </c:pt>
                <c:pt idx="24">
                  <c:v>390</c:v>
                </c:pt>
                <c:pt idx="25">
                  <c:v>400</c:v>
                </c:pt>
                <c:pt idx="26">
                  <c:v>410</c:v>
                </c:pt>
                <c:pt idx="27">
                  <c:v>420</c:v>
                </c:pt>
                <c:pt idx="28">
                  <c:v>430</c:v>
                </c:pt>
                <c:pt idx="29">
                  <c:v>440</c:v>
                </c:pt>
                <c:pt idx="30">
                  <c:v>450</c:v>
                </c:pt>
                <c:pt idx="31">
                  <c:v>460</c:v>
                </c:pt>
                <c:pt idx="32">
                  <c:v>470</c:v>
                </c:pt>
                <c:pt idx="33">
                  <c:v>480</c:v>
                </c:pt>
                <c:pt idx="34">
                  <c:v>490</c:v>
                </c:pt>
                <c:pt idx="35">
                  <c:v>500</c:v>
                </c:pt>
                <c:pt idx="36">
                  <c:v>510</c:v>
                </c:pt>
                <c:pt idx="37">
                  <c:v>520</c:v>
                </c:pt>
                <c:pt idx="38">
                  <c:v>530</c:v>
                </c:pt>
                <c:pt idx="39">
                  <c:v>540</c:v>
                </c:pt>
                <c:pt idx="40">
                  <c:v>550</c:v>
                </c:pt>
                <c:pt idx="41">
                  <c:v>560</c:v>
                </c:pt>
                <c:pt idx="42">
                  <c:v>570</c:v>
                </c:pt>
                <c:pt idx="43">
                  <c:v>580</c:v>
                </c:pt>
                <c:pt idx="44">
                  <c:v>590</c:v>
                </c:pt>
                <c:pt idx="45">
                  <c:v>600</c:v>
                </c:pt>
                <c:pt idx="46">
                  <c:v>610</c:v>
                </c:pt>
                <c:pt idx="47">
                  <c:v>620</c:v>
                </c:pt>
                <c:pt idx="48">
                  <c:v>630</c:v>
                </c:pt>
                <c:pt idx="49">
                  <c:v>640</c:v>
                </c:pt>
                <c:pt idx="50">
                  <c:v>650</c:v>
                </c:pt>
                <c:pt idx="51">
                  <c:v>660</c:v>
                </c:pt>
                <c:pt idx="52">
                  <c:v>670</c:v>
                </c:pt>
                <c:pt idx="53">
                  <c:v>680</c:v>
                </c:pt>
                <c:pt idx="54">
                  <c:v>690</c:v>
                </c:pt>
                <c:pt idx="55">
                  <c:v>700</c:v>
                </c:pt>
                <c:pt idx="56">
                  <c:v>710</c:v>
                </c:pt>
                <c:pt idx="57">
                  <c:v>720</c:v>
                </c:pt>
                <c:pt idx="58">
                  <c:v>730</c:v>
                </c:pt>
                <c:pt idx="59">
                  <c:v>740</c:v>
                </c:pt>
                <c:pt idx="60">
                  <c:v>750</c:v>
                </c:pt>
                <c:pt idx="61">
                  <c:v>760</c:v>
                </c:pt>
                <c:pt idx="62">
                  <c:v>770</c:v>
                </c:pt>
                <c:pt idx="63">
                  <c:v>780</c:v>
                </c:pt>
                <c:pt idx="64">
                  <c:v>790</c:v>
                </c:pt>
                <c:pt idx="65">
                  <c:v>800</c:v>
                </c:pt>
                <c:pt idx="66">
                  <c:v>810</c:v>
                </c:pt>
                <c:pt idx="67">
                  <c:v>820</c:v>
                </c:pt>
                <c:pt idx="68">
                  <c:v>830</c:v>
                </c:pt>
                <c:pt idx="69">
                  <c:v>840</c:v>
                </c:pt>
                <c:pt idx="70">
                  <c:v>850</c:v>
                </c:pt>
                <c:pt idx="71">
                  <c:v>860</c:v>
                </c:pt>
                <c:pt idx="72">
                  <c:v>870</c:v>
                </c:pt>
                <c:pt idx="73">
                  <c:v>880</c:v>
                </c:pt>
                <c:pt idx="74">
                  <c:v>890</c:v>
                </c:pt>
                <c:pt idx="75">
                  <c:v>900</c:v>
                </c:pt>
                <c:pt idx="76">
                  <c:v>910</c:v>
                </c:pt>
                <c:pt idx="77">
                  <c:v>920</c:v>
                </c:pt>
                <c:pt idx="78">
                  <c:v>930</c:v>
                </c:pt>
                <c:pt idx="79">
                  <c:v>940</c:v>
                </c:pt>
                <c:pt idx="80">
                  <c:v>950</c:v>
                </c:pt>
                <c:pt idx="81">
                  <c:v>960</c:v>
                </c:pt>
                <c:pt idx="82">
                  <c:v>970</c:v>
                </c:pt>
                <c:pt idx="83">
                  <c:v>980</c:v>
                </c:pt>
                <c:pt idx="84">
                  <c:v>990</c:v>
                </c:pt>
                <c:pt idx="85">
                  <c:v>1000</c:v>
                </c:pt>
                <c:pt idx="86">
                  <c:v>1010</c:v>
                </c:pt>
                <c:pt idx="87">
                  <c:v>1020</c:v>
                </c:pt>
                <c:pt idx="88">
                  <c:v>1030</c:v>
                </c:pt>
                <c:pt idx="89">
                  <c:v>1040</c:v>
                </c:pt>
                <c:pt idx="90">
                  <c:v>1050</c:v>
                </c:pt>
                <c:pt idx="91">
                  <c:v>1060</c:v>
                </c:pt>
                <c:pt idx="92">
                  <c:v>1070</c:v>
                </c:pt>
                <c:pt idx="93">
                  <c:v>1080</c:v>
                </c:pt>
                <c:pt idx="94">
                  <c:v>1090</c:v>
                </c:pt>
                <c:pt idx="95">
                  <c:v>1100</c:v>
                </c:pt>
                <c:pt idx="96">
                  <c:v>1110</c:v>
                </c:pt>
                <c:pt idx="97">
                  <c:v>1120</c:v>
                </c:pt>
                <c:pt idx="98">
                  <c:v>1130</c:v>
                </c:pt>
                <c:pt idx="99">
                  <c:v>1140</c:v>
                </c:pt>
                <c:pt idx="100">
                  <c:v>1150</c:v>
                </c:pt>
                <c:pt idx="101">
                  <c:v>1160</c:v>
                </c:pt>
                <c:pt idx="102">
                  <c:v>1170</c:v>
                </c:pt>
                <c:pt idx="103">
                  <c:v>1180</c:v>
                </c:pt>
                <c:pt idx="104">
                  <c:v>1190</c:v>
                </c:pt>
                <c:pt idx="105">
                  <c:v>1200</c:v>
                </c:pt>
                <c:pt idx="106">
                  <c:v>1210</c:v>
                </c:pt>
                <c:pt idx="107">
                  <c:v>1220</c:v>
                </c:pt>
                <c:pt idx="108">
                  <c:v>1230</c:v>
                </c:pt>
                <c:pt idx="109">
                  <c:v>1240</c:v>
                </c:pt>
                <c:pt idx="110">
                  <c:v>1260</c:v>
                </c:pt>
                <c:pt idx="111">
                  <c:v>1270</c:v>
                </c:pt>
                <c:pt idx="112">
                  <c:v>1280</c:v>
                </c:pt>
                <c:pt idx="113">
                  <c:v>1300</c:v>
                </c:pt>
                <c:pt idx="114">
                  <c:v>1310</c:v>
                </c:pt>
                <c:pt idx="115">
                  <c:v>1340</c:v>
                </c:pt>
                <c:pt idx="116">
                  <c:v>1360</c:v>
                </c:pt>
                <c:pt idx="117">
                  <c:v>1370</c:v>
                </c:pt>
                <c:pt idx="118">
                  <c:v>1390</c:v>
                </c:pt>
                <c:pt idx="119">
                  <c:v>1400</c:v>
                </c:pt>
                <c:pt idx="120">
                  <c:v>1450</c:v>
                </c:pt>
                <c:pt idx="121">
                  <c:v>1460</c:v>
                </c:pt>
                <c:pt idx="122">
                  <c:v>1530</c:v>
                </c:pt>
              </c:numCache>
            </c:numRef>
          </c:cat>
          <c:val>
            <c:numRef>
              <c:f>'[frank-huurprijzen 2012-2014.xlsb]resultaat'!$B$2:$B$124</c:f>
              <c:numCache>
                <c:formatCode>_ "€"\ * #,##0_ ;_ "€"\ * \-#,##0_ ;_ "€"\ * "-"??_ ;_ @_ </c:formatCode>
                <c:ptCount val="123"/>
                <c:pt idx="0">
                  <c:v>126.28571428571429</c:v>
                </c:pt>
                <c:pt idx="1">
                  <c:v>116</c:v>
                </c:pt>
                <c:pt idx="2">
                  <c:v>154.75</c:v>
                </c:pt>
                <c:pt idx="3">
                  <c:v>149</c:v>
                </c:pt>
                <c:pt idx="4">
                  <c:v>164.1275</c:v>
                </c:pt>
                <c:pt idx="5">
                  <c:v>145.65600000000001</c:v>
                </c:pt>
                <c:pt idx="6">
                  <c:v>134.79636363636362</c:v>
                </c:pt>
                <c:pt idx="7">
                  <c:v>156.86033333333333</c:v>
                </c:pt>
                <c:pt idx="8">
                  <c:v>158.71246913580248</c:v>
                </c:pt>
                <c:pt idx="9">
                  <c:v>134.62968749999999</c:v>
                </c:pt>
                <c:pt idx="10">
                  <c:v>142.46412698412698</c:v>
                </c:pt>
                <c:pt idx="11">
                  <c:v>155.83293577981652</c:v>
                </c:pt>
                <c:pt idx="12">
                  <c:v>147.96392762577238</c:v>
                </c:pt>
                <c:pt idx="13">
                  <c:v>146.66077994428969</c:v>
                </c:pt>
                <c:pt idx="14">
                  <c:v>160.55903973509936</c:v>
                </c:pt>
                <c:pt idx="15">
                  <c:v>161.41266427718037</c:v>
                </c:pt>
                <c:pt idx="16">
                  <c:v>172.88060773480666</c:v>
                </c:pt>
                <c:pt idx="17">
                  <c:v>171.85807797537637</c:v>
                </c:pt>
                <c:pt idx="18">
                  <c:v>177.78197101449283</c:v>
                </c:pt>
                <c:pt idx="19">
                  <c:v>176.36518237082061</c:v>
                </c:pt>
                <c:pt idx="20">
                  <c:v>186.38725032425427</c:v>
                </c:pt>
                <c:pt idx="21">
                  <c:v>194.65594186046519</c:v>
                </c:pt>
                <c:pt idx="22">
                  <c:v>200.26369655172434</c:v>
                </c:pt>
                <c:pt idx="23">
                  <c:v>201.22980731085286</c:v>
                </c:pt>
                <c:pt idx="24">
                  <c:v>215.28128401953947</c:v>
                </c:pt>
                <c:pt idx="25">
                  <c:v>218.07834818368718</c:v>
                </c:pt>
                <c:pt idx="26">
                  <c:v>218.77380309988513</c:v>
                </c:pt>
                <c:pt idx="27">
                  <c:v>224.6848155533398</c:v>
                </c:pt>
                <c:pt idx="28">
                  <c:v>233.32729889166859</c:v>
                </c:pt>
                <c:pt idx="29">
                  <c:v>241.60685271876099</c:v>
                </c:pt>
                <c:pt idx="30">
                  <c:v>249.73351547388785</c:v>
                </c:pt>
                <c:pt idx="31">
                  <c:v>241.35715180917791</c:v>
                </c:pt>
                <c:pt idx="32">
                  <c:v>250.67270765911545</c:v>
                </c:pt>
                <c:pt idx="33">
                  <c:v>263.16779257182947</c:v>
                </c:pt>
                <c:pt idx="34">
                  <c:v>273.25680279141869</c:v>
                </c:pt>
                <c:pt idx="35">
                  <c:v>273.0771014998254</c:v>
                </c:pt>
                <c:pt idx="36">
                  <c:v>280.1499800478847</c:v>
                </c:pt>
                <c:pt idx="37">
                  <c:v>282.97441105546301</c:v>
                </c:pt>
                <c:pt idx="38">
                  <c:v>286.26917808219275</c:v>
                </c:pt>
                <c:pt idx="39">
                  <c:v>298.38198160046721</c:v>
                </c:pt>
                <c:pt idx="40">
                  <c:v>296.56481632653009</c:v>
                </c:pt>
                <c:pt idx="41">
                  <c:v>294.0180826271191</c:v>
                </c:pt>
                <c:pt idx="42">
                  <c:v>308.00012703789963</c:v>
                </c:pt>
                <c:pt idx="43">
                  <c:v>316.15908577479718</c:v>
                </c:pt>
                <c:pt idx="44">
                  <c:v>309.99750162443138</c:v>
                </c:pt>
                <c:pt idx="45">
                  <c:v>316.21198063105345</c:v>
                </c:pt>
                <c:pt idx="46">
                  <c:v>321.4943970440043</c:v>
                </c:pt>
                <c:pt idx="47">
                  <c:v>325.44028110944549</c:v>
                </c:pt>
                <c:pt idx="48">
                  <c:v>328.61803416328905</c:v>
                </c:pt>
                <c:pt idx="49">
                  <c:v>342.17430624380643</c:v>
                </c:pt>
                <c:pt idx="50">
                  <c:v>349.73874976744111</c:v>
                </c:pt>
                <c:pt idx="51">
                  <c:v>351.81506256517179</c:v>
                </c:pt>
                <c:pt idx="52">
                  <c:v>344.98472960586628</c:v>
                </c:pt>
                <c:pt idx="53">
                  <c:v>342.33601643598638</c:v>
                </c:pt>
                <c:pt idx="54">
                  <c:v>349.68114266842741</c:v>
                </c:pt>
                <c:pt idx="55">
                  <c:v>359.62800000000044</c:v>
                </c:pt>
                <c:pt idx="56">
                  <c:v>360.01620512820551</c:v>
                </c:pt>
                <c:pt idx="57">
                  <c:v>354.72172300082411</c:v>
                </c:pt>
                <c:pt idx="58">
                  <c:v>346.15869978858291</c:v>
                </c:pt>
                <c:pt idx="59">
                  <c:v>357.3079474940331</c:v>
                </c:pt>
                <c:pt idx="60">
                  <c:v>346.22053658536572</c:v>
                </c:pt>
                <c:pt idx="61">
                  <c:v>369.33010799136036</c:v>
                </c:pt>
                <c:pt idx="62">
                  <c:v>340.95303249097475</c:v>
                </c:pt>
                <c:pt idx="63">
                  <c:v>350.74548209366424</c:v>
                </c:pt>
                <c:pt idx="64">
                  <c:v>354.69213136729218</c:v>
                </c:pt>
                <c:pt idx="65">
                  <c:v>356.91408637873724</c:v>
                </c:pt>
                <c:pt idx="66">
                  <c:v>342.38826415094366</c:v>
                </c:pt>
                <c:pt idx="67">
                  <c:v>382.11727962085297</c:v>
                </c:pt>
                <c:pt idx="68">
                  <c:v>326.90743589743579</c:v>
                </c:pt>
                <c:pt idx="69">
                  <c:v>379.92916363636363</c:v>
                </c:pt>
                <c:pt idx="70">
                  <c:v>338.98204747774486</c:v>
                </c:pt>
                <c:pt idx="71">
                  <c:v>337.82324137931028</c:v>
                </c:pt>
                <c:pt idx="72">
                  <c:v>379.98337988826819</c:v>
                </c:pt>
                <c:pt idx="73">
                  <c:v>365.67552542372869</c:v>
                </c:pt>
                <c:pt idx="74">
                  <c:v>357.05839195979888</c:v>
                </c:pt>
                <c:pt idx="75">
                  <c:v>331.94436170212731</c:v>
                </c:pt>
                <c:pt idx="76">
                  <c:v>322.27835164835153</c:v>
                </c:pt>
                <c:pt idx="77">
                  <c:v>338.89252631578938</c:v>
                </c:pt>
                <c:pt idx="78">
                  <c:v>351.58058823529399</c:v>
                </c:pt>
                <c:pt idx="79">
                  <c:v>364.3221999999999</c:v>
                </c:pt>
                <c:pt idx="80">
                  <c:v>350.62952380952379</c:v>
                </c:pt>
                <c:pt idx="81">
                  <c:v>360.39348623853215</c:v>
                </c:pt>
                <c:pt idx="82">
                  <c:v>319.28967391304343</c:v>
                </c:pt>
                <c:pt idx="83">
                  <c:v>374.32209677419365</c:v>
                </c:pt>
                <c:pt idx="84">
                  <c:v>303.1332558139535</c:v>
                </c:pt>
                <c:pt idx="85">
                  <c:v>365.58378378378376</c:v>
                </c:pt>
                <c:pt idx="86">
                  <c:v>442.24811320754708</c:v>
                </c:pt>
                <c:pt idx="87">
                  <c:v>376.30397058823519</c:v>
                </c:pt>
                <c:pt idx="88">
                  <c:v>340.36312500000003</c:v>
                </c:pt>
                <c:pt idx="89">
                  <c:v>411.59385964912298</c:v>
                </c:pt>
                <c:pt idx="90">
                  <c:v>356.69857142857148</c:v>
                </c:pt>
                <c:pt idx="91">
                  <c:v>385.77764705882356</c:v>
                </c:pt>
                <c:pt idx="92">
                  <c:v>287.95636363636362</c:v>
                </c:pt>
                <c:pt idx="93">
                  <c:v>266.17666666666668</c:v>
                </c:pt>
                <c:pt idx="94">
                  <c:v>442.33297297297298</c:v>
                </c:pt>
                <c:pt idx="95">
                  <c:v>279.41555555555556</c:v>
                </c:pt>
                <c:pt idx="96">
                  <c:v>341.08000000000004</c:v>
                </c:pt>
                <c:pt idx="97">
                  <c:v>350.34779527559044</c:v>
                </c:pt>
                <c:pt idx="98">
                  <c:v>320.01833333333332</c:v>
                </c:pt>
                <c:pt idx="99">
                  <c:v>337.0090909090909</c:v>
                </c:pt>
                <c:pt idx="100">
                  <c:v>361.83878787878785</c:v>
                </c:pt>
                <c:pt idx="101">
                  <c:v>395.21249999999998</c:v>
                </c:pt>
                <c:pt idx="102">
                  <c:v>288.43333333333334</c:v>
                </c:pt>
                <c:pt idx="103">
                  <c:v>364.76400000000001</c:v>
                </c:pt>
                <c:pt idx="104">
                  <c:v>265.43</c:v>
                </c:pt>
                <c:pt idx="105">
                  <c:v>446.57538461538468</c:v>
                </c:pt>
                <c:pt idx="106">
                  <c:v>283.92333333333335</c:v>
                </c:pt>
                <c:pt idx="107">
                  <c:v>374.13</c:v>
                </c:pt>
                <c:pt idx="108">
                  <c:v>309.54500000000002</c:v>
                </c:pt>
                <c:pt idx="109">
                  <c:v>324.1275</c:v>
                </c:pt>
                <c:pt idx="110">
                  <c:v>251.47</c:v>
                </c:pt>
                <c:pt idx="111">
                  <c:v>1010.06</c:v>
                </c:pt>
                <c:pt idx="112">
                  <c:v>316.245</c:v>
                </c:pt>
                <c:pt idx="113">
                  <c:v>378.26424242424247</c:v>
                </c:pt>
                <c:pt idx="114">
                  <c:v>461.90499999999997</c:v>
                </c:pt>
                <c:pt idx="115">
                  <c:v>662.94</c:v>
                </c:pt>
                <c:pt idx="116">
                  <c:v>277.46250000000003</c:v>
                </c:pt>
                <c:pt idx="117">
                  <c:v>427.53</c:v>
                </c:pt>
                <c:pt idx="118">
                  <c:v>430.6</c:v>
                </c:pt>
                <c:pt idx="119">
                  <c:v>234.14</c:v>
                </c:pt>
                <c:pt idx="120">
                  <c:v>466.57</c:v>
                </c:pt>
                <c:pt idx="121">
                  <c:v>474.81</c:v>
                </c:pt>
                <c:pt idx="122">
                  <c:v>316.14999999999998</c:v>
                </c:pt>
              </c:numCache>
            </c:numRef>
          </c:val>
          <c:smooth val="0"/>
          <c:extLst>
            <c:ext xmlns:c16="http://schemas.microsoft.com/office/drawing/2014/chart" uri="{C3380CC4-5D6E-409C-BE32-E72D297353CC}">
              <c16:uniqueId val="{00000000-22E8-4087-986C-51711382B818}"/>
            </c:ext>
          </c:extLst>
        </c:ser>
        <c:ser>
          <c:idx val="2"/>
          <c:order val="1"/>
          <c:tx>
            <c:strRef>
              <c:f>'[frank-huurprijzen 2012-2014.xlsb]resultaat'!$C$1</c:f>
              <c:strCache>
                <c:ptCount val="1"/>
                <c:pt idx="0">
                  <c:v>reële huurprijs</c:v>
                </c:pt>
              </c:strCache>
            </c:strRef>
          </c:tx>
          <c:spPr>
            <a:ln w="28575" cap="rnd">
              <a:solidFill>
                <a:schemeClr val="accent3"/>
              </a:solidFill>
              <a:round/>
            </a:ln>
            <a:effectLst/>
          </c:spPr>
          <c:marker>
            <c:symbol val="none"/>
          </c:marker>
          <c:cat>
            <c:numRef>
              <c:f>'[frank-huurprijzen 2012-2014.xlsb]resultaat'!$A$2:$A$124</c:f>
              <c:numCache>
                <c:formatCode>_ "€"\ * #,##0_ ;_ "€"\ * \-#,##0_ ;_ "€"\ * "-"??_ ;_ @_ </c:formatCode>
                <c:ptCount val="123"/>
                <c:pt idx="0">
                  <c:v>130</c:v>
                </c:pt>
                <c:pt idx="1">
                  <c:v>140</c:v>
                </c:pt>
                <c:pt idx="2">
                  <c:v>160</c:v>
                </c:pt>
                <c:pt idx="3">
                  <c:v>180</c:v>
                </c:pt>
                <c:pt idx="4">
                  <c:v>190</c:v>
                </c:pt>
                <c:pt idx="5">
                  <c:v>200</c:v>
                </c:pt>
                <c:pt idx="6">
                  <c:v>210</c:v>
                </c:pt>
                <c:pt idx="7">
                  <c:v>220</c:v>
                </c:pt>
                <c:pt idx="8">
                  <c:v>230</c:v>
                </c:pt>
                <c:pt idx="9">
                  <c:v>240</c:v>
                </c:pt>
                <c:pt idx="10">
                  <c:v>250</c:v>
                </c:pt>
                <c:pt idx="11">
                  <c:v>260</c:v>
                </c:pt>
                <c:pt idx="12">
                  <c:v>270</c:v>
                </c:pt>
                <c:pt idx="13">
                  <c:v>280</c:v>
                </c:pt>
                <c:pt idx="14">
                  <c:v>290</c:v>
                </c:pt>
                <c:pt idx="15">
                  <c:v>300</c:v>
                </c:pt>
                <c:pt idx="16">
                  <c:v>310</c:v>
                </c:pt>
                <c:pt idx="17">
                  <c:v>320</c:v>
                </c:pt>
                <c:pt idx="18">
                  <c:v>330</c:v>
                </c:pt>
                <c:pt idx="19">
                  <c:v>340</c:v>
                </c:pt>
                <c:pt idx="20">
                  <c:v>350</c:v>
                </c:pt>
                <c:pt idx="21">
                  <c:v>360</c:v>
                </c:pt>
                <c:pt idx="22">
                  <c:v>370</c:v>
                </c:pt>
                <c:pt idx="23">
                  <c:v>380</c:v>
                </c:pt>
                <c:pt idx="24">
                  <c:v>390</c:v>
                </c:pt>
                <c:pt idx="25">
                  <c:v>400</c:v>
                </c:pt>
                <c:pt idx="26">
                  <c:v>410</c:v>
                </c:pt>
                <c:pt idx="27">
                  <c:v>420</c:v>
                </c:pt>
                <c:pt idx="28">
                  <c:v>430</c:v>
                </c:pt>
                <c:pt idx="29">
                  <c:v>440</c:v>
                </c:pt>
                <c:pt idx="30">
                  <c:v>450</c:v>
                </c:pt>
                <c:pt idx="31">
                  <c:v>460</c:v>
                </c:pt>
                <c:pt idx="32">
                  <c:v>470</c:v>
                </c:pt>
                <c:pt idx="33">
                  <c:v>480</c:v>
                </c:pt>
                <c:pt idx="34">
                  <c:v>490</c:v>
                </c:pt>
                <c:pt idx="35">
                  <c:v>500</c:v>
                </c:pt>
                <c:pt idx="36">
                  <c:v>510</c:v>
                </c:pt>
                <c:pt idx="37">
                  <c:v>520</c:v>
                </c:pt>
                <c:pt idx="38">
                  <c:v>530</c:v>
                </c:pt>
                <c:pt idx="39">
                  <c:v>540</c:v>
                </c:pt>
                <c:pt idx="40">
                  <c:v>550</c:v>
                </c:pt>
                <c:pt idx="41">
                  <c:v>560</c:v>
                </c:pt>
                <c:pt idx="42">
                  <c:v>570</c:v>
                </c:pt>
                <c:pt idx="43">
                  <c:v>580</c:v>
                </c:pt>
                <c:pt idx="44">
                  <c:v>590</c:v>
                </c:pt>
                <c:pt idx="45">
                  <c:v>600</c:v>
                </c:pt>
                <c:pt idx="46">
                  <c:v>610</c:v>
                </c:pt>
                <c:pt idx="47">
                  <c:v>620</c:v>
                </c:pt>
                <c:pt idx="48">
                  <c:v>630</c:v>
                </c:pt>
                <c:pt idx="49">
                  <c:v>640</c:v>
                </c:pt>
                <c:pt idx="50">
                  <c:v>650</c:v>
                </c:pt>
                <c:pt idx="51">
                  <c:v>660</c:v>
                </c:pt>
                <c:pt idx="52">
                  <c:v>670</c:v>
                </c:pt>
                <c:pt idx="53">
                  <c:v>680</c:v>
                </c:pt>
                <c:pt idx="54">
                  <c:v>690</c:v>
                </c:pt>
                <c:pt idx="55">
                  <c:v>700</c:v>
                </c:pt>
                <c:pt idx="56">
                  <c:v>710</c:v>
                </c:pt>
                <c:pt idx="57">
                  <c:v>720</c:v>
                </c:pt>
                <c:pt idx="58">
                  <c:v>730</c:v>
                </c:pt>
                <c:pt idx="59">
                  <c:v>740</c:v>
                </c:pt>
                <c:pt idx="60">
                  <c:v>750</c:v>
                </c:pt>
                <c:pt idx="61">
                  <c:v>760</c:v>
                </c:pt>
                <c:pt idx="62">
                  <c:v>770</c:v>
                </c:pt>
                <c:pt idx="63">
                  <c:v>780</c:v>
                </c:pt>
                <c:pt idx="64">
                  <c:v>790</c:v>
                </c:pt>
                <c:pt idx="65">
                  <c:v>800</c:v>
                </c:pt>
                <c:pt idx="66">
                  <c:v>810</c:v>
                </c:pt>
                <c:pt idx="67">
                  <c:v>820</c:v>
                </c:pt>
                <c:pt idx="68">
                  <c:v>830</c:v>
                </c:pt>
                <c:pt idx="69">
                  <c:v>840</c:v>
                </c:pt>
                <c:pt idx="70">
                  <c:v>850</c:v>
                </c:pt>
                <c:pt idx="71">
                  <c:v>860</c:v>
                </c:pt>
                <c:pt idx="72">
                  <c:v>870</c:v>
                </c:pt>
                <c:pt idx="73">
                  <c:v>880</c:v>
                </c:pt>
                <c:pt idx="74">
                  <c:v>890</c:v>
                </c:pt>
                <c:pt idx="75">
                  <c:v>900</c:v>
                </c:pt>
                <c:pt idx="76">
                  <c:v>910</c:v>
                </c:pt>
                <c:pt idx="77">
                  <c:v>920</c:v>
                </c:pt>
                <c:pt idx="78">
                  <c:v>930</c:v>
                </c:pt>
                <c:pt idx="79">
                  <c:v>940</c:v>
                </c:pt>
                <c:pt idx="80">
                  <c:v>950</c:v>
                </c:pt>
                <c:pt idx="81">
                  <c:v>960</c:v>
                </c:pt>
                <c:pt idx="82">
                  <c:v>970</c:v>
                </c:pt>
                <c:pt idx="83">
                  <c:v>980</c:v>
                </c:pt>
                <c:pt idx="84">
                  <c:v>990</c:v>
                </c:pt>
                <c:pt idx="85">
                  <c:v>1000</c:v>
                </c:pt>
                <c:pt idx="86">
                  <c:v>1010</c:v>
                </c:pt>
                <c:pt idx="87">
                  <c:v>1020</c:v>
                </c:pt>
                <c:pt idx="88">
                  <c:v>1030</c:v>
                </c:pt>
                <c:pt idx="89">
                  <c:v>1040</c:v>
                </c:pt>
                <c:pt idx="90">
                  <c:v>1050</c:v>
                </c:pt>
                <c:pt idx="91">
                  <c:v>1060</c:v>
                </c:pt>
                <c:pt idx="92">
                  <c:v>1070</c:v>
                </c:pt>
                <c:pt idx="93">
                  <c:v>1080</c:v>
                </c:pt>
                <c:pt idx="94">
                  <c:v>1090</c:v>
                </c:pt>
                <c:pt idx="95">
                  <c:v>1100</c:v>
                </c:pt>
                <c:pt idx="96">
                  <c:v>1110</c:v>
                </c:pt>
                <c:pt idx="97">
                  <c:v>1120</c:v>
                </c:pt>
                <c:pt idx="98">
                  <c:v>1130</c:v>
                </c:pt>
                <c:pt idx="99">
                  <c:v>1140</c:v>
                </c:pt>
                <c:pt idx="100">
                  <c:v>1150</c:v>
                </c:pt>
                <c:pt idx="101">
                  <c:v>1160</c:v>
                </c:pt>
                <c:pt idx="102">
                  <c:v>1170</c:v>
                </c:pt>
                <c:pt idx="103">
                  <c:v>1180</c:v>
                </c:pt>
                <c:pt idx="104">
                  <c:v>1190</c:v>
                </c:pt>
                <c:pt idx="105">
                  <c:v>1200</c:v>
                </c:pt>
                <c:pt idx="106">
                  <c:v>1210</c:v>
                </c:pt>
                <c:pt idx="107">
                  <c:v>1220</c:v>
                </c:pt>
                <c:pt idx="108">
                  <c:v>1230</c:v>
                </c:pt>
                <c:pt idx="109">
                  <c:v>1240</c:v>
                </c:pt>
                <c:pt idx="110">
                  <c:v>1260</c:v>
                </c:pt>
                <c:pt idx="111">
                  <c:v>1270</c:v>
                </c:pt>
                <c:pt idx="112">
                  <c:v>1280</c:v>
                </c:pt>
                <c:pt idx="113">
                  <c:v>1300</c:v>
                </c:pt>
                <c:pt idx="114">
                  <c:v>1310</c:v>
                </c:pt>
                <c:pt idx="115">
                  <c:v>1340</c:v>
                </c:pt>
                <c:pt idx="116">
                  <c:v>1360</c:v>
                </c:pt>
                <c:pt idx="117">
                  <c:v>1370</c:v>
                </c:pt>
                <c:pt idx="118">
                  <c:v>1390</c:v>
                </c:pt>
                <c:pt idx="119">
                  <c:v>1400</c:v>
                </c:pt>
                <c:pt idx="120">
                  <c:v>1450</c:v>
                </c:pt>
                <c:pt idx="121">
                  <c:v>1460</c:v>
                </c:pt>
                <c:pt idx="122">
                  <c:v>1530</c:v>
                </c:pt>
              </c:numCache>
            </c:numRef>
          </c:cat>
          <c:val>
            <c:numRef>
              <c:f>'[frank-huurprijzen 2012-2014.xlsb]resultaat'!$C$2:$C$124</c:f>
              <c:numCache>
                <c:formatCode>_ "€"\ * #,##0_ ;_ "€"\ * \-#,##0_ ;_ "€"\ * "-"??_ ;_ @_ </c:formatCode>
                <c:ptCount val="123"/>
                <c:pt idx="0">
                  <c:v>130</c:v>
                </c:pt>
                <c:pt idx="1">
                  <c:v>140</c:v>
                </c:pt>
                <c:pt idx="2">
                  <c:v>160</c:v>
                </c:pt>
                <c:pt idx="3">
                  <c:v>180</c:v>
                </c:pt>
                <c:pt idx="4">
                  <c:v>190</c:v>
                </c:pt>
                <c:pt idx="5">
                  <c:v>200</c:v>
                </c:pt>
                <c:pt idx="6">
                  <c:v>210</c:v>
                </c:pt>
                <c:pt idx="7">
                  <c:v>220</c:v>
                </c:pt>
                <c:pt idx="8">
                  <c:v>230</c:v>
                </c:pt>
                <c:pt idx="9">
                  <c:v>240</c:v>
                </c:pt>
                <c:pt idx="10">
                  <c:v>250</c:v>
                </c:pt>
                <c:pt idx="11">
                  <c:v>260</c:v>
                </c:pt>
                <c:pt idx="12">
                  <c:v>270</c:v>
                </c:pt>
                <c:pt idx="13">
                  <c:v>280</c:v>
                </c:pt>
                <c:pt idx="14">
                  <c:v>290</c:v>
                </c:pt>
                <c:pt idx="15">
                  <c:v>300</c:v>
                </c:pt>
                <c:pt idx="16">
                  <c:v>310</c:v>
                </c:pt>
                <c:pt idx="17">
                  <c:v>320</c:v>
                </c:pt>
                <c:pt idx="18">
                  <c:v>330</c:v>
                </c:pt>
                <c:pt idx="19">
                  <c:v>340</c:v>
                </c:pt>
                <c:pt idx="20">
                  <c:v>350</c:v>
                </c:pt>
                <c:pt idx="21">
                  <c:v>360</c:v>
                </c:pt>
                <c:pt idx="22">
                  <c:v>370</c:v>
                </c:pt>
                <c:pt idx="23">
                  <c:v>380</c:v>
                </c:pt>
                <c:pt idx="24">
                  <c:v>390</c:v>
                </c:pt>
                <c:pt idx="25">
                  <c:v>400</c:v>
                </c:pt>
                <c:pt idx="26">
                  <c:v>410</c:v>
                </c:pt>
                <c:pt idx="27">
                  <c:v>420</c:v>
                </c:pt>
                <c:pt idx="28">
                  <c:v>430</c:v>
                </c:pt>
                <c:pt idx="29">
                  <c:v>440</c:v>
                </c:pt>
                <c:pt idx="30">
                  <c:v>450</c:v>
                </c:pt>
                <c:pt idx="31">
                  <c:v>460</c:v>
                </c:pt>
                <c:pt idx="32">
                  <c:v>470</c:v>
                </c:pt>
                <c:pt idx="33">
                  <c:v>480</c:v>
                </c:pt>
                <c:pt idx="34">
                  <c:v>490</c:v>
                </c:pt>
                <c:pt idx="35">
                  <c:v>500</c:v>
                </c:pt>
                <c:pt idx="36">
                  <c:v>510</c:v>
                </c:pt>
                <c:pt idx="37">
                  <c:v>520</c:v>
                </c:pt>
                <c:pt idx="38">
                  <c:v>530</c:v>
                </c:pt>
                <c:pt idx="39">
                  <c:v>540</c:v>
                </c:pt>
                <c:pt idx="40">
                  <c:v>550</c:v>
                </c:pt>
                <c:pt idx="41">
                  <c:v>560</c:v>
                </c:pt>
                <c:pt idx="42">
                  <c:v>570</c:v>
                </c:pt>
                <c:pt idx="43">
                  <c:v>580</c:v>
                </c:pt>
                <c:pt idx="44">
                  <c:v>590</c:v>
                </c:pt>
                <c:pt idx="45">
                  <c:v>600</c:v>
                </c:pt>
                <c:pt idx="46">
                  <c:v>610</c:v>
                </c:pt>
                <c:pt idx="47">
                  <c:v>620</c:v>
                </c:pt>
                <c:pt idx="48">
                  <c:v>630</c:v>
                </c:pt>
                <c:pt idx="49">
                  <c:v>640</c:v>
                </c:pt>
                <c:pt idx="50">
                  <c:v>650</c:v>
                </c:pt>
                <c:pt idx="51">
                  <c:v>660</c:v>
                </c:pt>
                <c:pt idx="52">
                  <c:v>670</c:v>
                </c:pt>
                <c:pt idx="53">
                  <c:v>680</c:v>
                </c:pt>
                <c:pt idx="54">
                  <c:v>690</c:v>
                </c:pt>
                <c:pt idx="55">
                  <c:v>700</c:v>
                </c:pt>
                <c:pt idx="56">
                  <c:v>710</c:v>
                </c:pt>
                <c:pt idx="57">
                  <c:v>720</c:v>
                </c:pt>
                <c:pt idx="58">
                  <c:v>730</c:v>
                </c:pt>
                <c:pt idx="59">
                  <c:v>740</c:v>
                </c:pt>
                <c:pt idx="60">
                  <c:v>750</c:v>
                </c:pt>
                <c:pt idx="61">
                  <c:v>760</c:v>
                </c:pt>
                <c:pt idx="62">
                  <c:v>770</c:v>
                </c:pt>
                <c:pt idx="63">
                  <c:v>780</c:v>
                </c:pt>
                <c:pt idx="64">
                  <c:v>790</c:v>
                </c:pt>
                <c:pt idx="65">
                  <c:v>800</c:v>
                </c:pt>
                <c:pt idx="66">
                  <c:v>810</c:v>
                </c:pt>
                <c:pt idx="67">
                  <c:v>820</c:v>
                </c:pt>
                <c:pt idx="68">
                  <c:v>830</c:v>
                </c:pt>
                <c:pt idx="69">
                  <c:v>840</c:v>
                </c:pt>
                <c:pt idx="70">
                  <c:v>850</c:v>
                </c:pt>
                <c:pt idx="71">
                  <c:v>860</c:v>
                </c:pt>
                <c:pt idx="72">
                  <c:v>870</c:v>
                </c:pt>
                <c:pt idx="73">
                  <c:v>880</c:v>
                </c:pt>
                <c:pt idx="74">
                  <c:v>890</c:v>
                </c:pt>
                <c:pt idx="75">
                  <c:v>900</c:v>
                </c:pt>
                <c:pt idx="76">
                  <c:v>910</c:v>
                </c:pt>
                <c:pt idx="77">
                  <c:v>920</c:v>
                </c:pt>
                <c:pt idx="78">
                  <c:v>930</c:v>
                </c:pt>
                <c:pt idx="79">
                  <c:v>940</c:v>
                </c:pt>
                <c:pt idx="80">
                  <c:v>950</c:v>
                </c:pt>
                <c:pt idx="81">
                  <c:v>960</c:v>
                </c:pt>
                <c:pt idx="82">
                  <c:v>970</c:v>
                </c:pt>
                <c:pt idx="83">
                  <c:v>980</c:v>
                </c:pt>
                <c:pt idx="84">
                  <c:v>990</c:v>
                </c:pt>
                <c:pt idx="85">
                  <c:v>1000</c:v>
                </c:pt>
                <c:pt idx="86">
                  <c:v>1010</c:v>
                </c:pt>
                <c:pt idx="87">
                  <c:v>1020</c:v>
                </c:pt>
                <c:pt idx="88">
                  <c:v>1030</c:v>
                </c:pt>
                <c:pt idx="89">
                  <c:v>1040</c:v>
                </c:pt>
                <c:pt idx="90">
                  <c:v>1050</c:v>
                </c:pt>
                <c:pt idx="91">
                  <c:v>1060</c:v>
                </c:pt>
                <c:pt idx="92">
                  <c:v>1070</c:v>
                </c:pt>
                <c:pt idx="93">
                  <c:v>1080</c:v>
                </c:pt>
                <c:pt idx="94">
                  <c:v>1090</c:v>
                </c:pt>
                <c:pt idx="95">
                  <c:v>1100</c:v>
                </c:pt>
                <c:pt idx="96">
                  <c:v>1110</c:v>
                </c:pt>
                <c:pt idx="97">
                  <c:v>1120</c:v>
                </c:pt>
                <c:pt idx="98">
                  <c:v>1130</c:v>
                </c:pt>
                <c:pt idx="99">
                  <c:v>1140</c:v>
                </c:pt>
                <c:pt idx="100">
                  <c:v>1150</c:v>
                </c:pt>
                <c:pt idx="101">
                  <c:v>1160</c:v>
                </c:pt>
                <c:pt idx="102">
                  <c:v>1170</c:v>
                </c:pt>
                <c:pt idx="103">
                  <c:v>1180</c:v>
                </c:pt>
                <c:pt idx="104">
                  <c:v>1190</c:v>
                </c:pt>
                <c:pt idx="105">
                  <c:v>1200</c:v>
                </c:pt>
                <c:pt idx="106">
                  <c:v>1210</c:v>
                </c:pt>
                <c:pt idx="107">
                  <c:v>1220</c:v>
                </c:pt>
                <c:pt idx="108">
                  <c:v>1230</c:v>
                </c:pt>
                <c:pt idx="109">
                  <c:v>1240</c:v>
                </c:pt>
                <c:pt idx="110">
                  <c:v>1260</c:v>
                </c:pt>
                <c:pt idx="111">
                  <c:v>1270</c:v>
                </c:pt>
                <c:pt idx="112">
                  <c:v>1280</c:v>
                </c:pt>
                <c:pt idx="113">
                  <c:v>1300</c:v>
                </c:pt>
                <c:pt idx="114">
                  <c:v>1310</c:v>
                </c:pt>
                <c:pt idx="115">
                  <c:v>1340</c:v>
                </c:pt>
                <c:pt idx="116">
                  <c:v>1360</c:v>
                </c:pt>
                <c:pt idx="117">
                  <c:v>1370</c:v>
                </c:pt>
                <c:pt idx="118">
                  <c:v>1390</c:v>
                </c:pt>
                <c:pt idx="119">
                  <c:v>1400</c:v>
                </c:pt>
                <c:pt idx="120">
                  <c:v>1450</c:v>
                </c:pt>
                <c:pt idx="121">
                  <c:v>1460</c:v>
                </c:pt>
                <c:pt idx="122">
                  <c:v>1530</c:v>
                </c:pt>
              </c:numCache>
            </c:numRef>
          </c:val>
          <c:smooth val="0"/>
          <c:extLst>
            <c:ext xmlns:c16="http://schemas.microsoft.com/office/drawing/2014/chart" uri="{C3380CC4-5D6E-409C-BE32-E72D297353CC}">
              <c16:uniqueId val="{00000001-22E8-4087-986C-51711382B818}"/>
            </c:ext>
          </c:extLst>
        </c:ser>
        <c:dLbls>
          <c:showLegendKey val="0"/>
          <c:showVal val="0"/>
          <c:showCatName val="0"/>
          <c:showSerName val="0"/>
          <c:showPercent val="0"/>
          <c:showBubbleSize val="0"/>
        </c:dLbls>
        <c:smooth val="0"/>
        <c:axId val="567775288"/>
        <c:axId val="567772544"/>
      </c:lineChart>
      <c:catAx>
        <c:axId val="567775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basishuurprijs/huurmarktwaarde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_ &quot;€&quot;\ * #,##0_ ;_ &quot;€&quot;\ * \-#,##0_ ;_ &quot;€&quot;\ * &quot;-&quot;??_ ;_ @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67772544"/>
        <c:crosses val="autoZero"/>
        <c:auto val="1"/>
        <c:lblAlgn val="ctr"/>
        <c:lblOffset val="100"/>
        <c:noMultiLvlLbl val="0"/>
      </c:catAx>
      <c:valAx>
        <c:axId val="56777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huurprijs in</a:t>
                </a:r>
                <a:r>
                  <a:rPr lang="nl-BE" baseline="0"/>
                  <a:t> euro's</a:t>
                </a:r>
                <a:endParaRPr lang="nl-BE"/>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_ &quot;€&quot;\ * #,##0_ ;_ &quot;€&quot;\ * \-#,##0_ ;_ &quot;€&quot;\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67775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Auteur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3DCED7-8B36-4972-B0FE-0E948E2A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SP_Wonen_paper</Template>
  <TotalTime>29</TotalTime>
  <Pages>56</Pages>
  <Words>13549</Words>
  <Characters>85135</Characters>
  <Application>Microsoft Office Word</Application>
  <DocSecurity>0</DocSecurity>
  <Lines>709</Lines>
  <Paragraphs>196</Paragraphs>
  <ScaleCrop>false</ScaleCrop>
  <HeadingPairs>
    <vt:vector size="2" baseType="variant">
      <vt:variant>
        <vt:lpstr>Title</vt:lpstr>
      </vt:variant>
      <vt:variant>
        <vt:i4>1</vt:i4>
      </vt:variant>
    </vt:vector>
  </HeadingPairs>
  <TitlesOfParts>
    <vt:vector size="1" baseType="lpstr">
      <vt:lpstr>Template HIVA - nieuwe huisstijl</vt:lpstr>
    </vt:vector>
  </TitlesOfParts>
  <Company>1</Company>
  <LinksUpToDate>false</LinksUpToDate>
  <CharactersWithSpaces>98488</CharactersWithSpaces>
  <SharedDoc>false</SharedDoc>
  <HLinks>
    <vt:vector size="60" baseType="variant">
      <vt:variant>
        <vt:i4>1507383</vt:i4>
      </vt:variant>
      <vt:variant>
        <vt:i4>91</vt:i4>
      </vt:variant>
      <vt:variant>
        <vt:i4>0</vt:i4>
      </vt:variant>
      <vt:variant>
        <vt:i4>5</vt:i4>
      </vt:variant>
      <vt:variant>
        <vt:lpwstr/>
      </vt:variant>
      <vt:variant>
        <vt:lpwstr>_Toc235432353</vt:lpwstr>
      </vt:variant>
      <vt:variant>
        <vt:i4>1507383</vt:i4>
      </vt:variant>
      <vt:variant>
        <vt:i4>85</vt:i4>
      </vt:variant>
      <vt:variant>
        <vt:i4>0</vt:i4>
      </vt:variant>
      <vt:variant>
        <vt:i4>5</vt:i4>
      </vt:variant>
      <vt:variant>
        <vt:lpwstr/>
      </vt:variant>
      <vt:variant>
        <vt:lpwstr>_Toc235432352</vt:lpwstr>
      </vt:variant>
      <vt:variant>
        <vt:i4>1507383</vt:i4>
      </vt:variant>
      <vt:variant>
        <vt:i4>79</vt:i4>
      </vt:variant>
      <vt:variant>
        <vt:i4>0</vt:i4>
      </vt:variant>
      <vt:variant>
        <vt:i4>5</vt:i4>
      </vt:variant>
      <vt:variant>
        <vt:lpwstr/>
      </vt:variant>
      <vt:variant>
        <vt:lpwstr>_Toc235432351</vt:lpwstr>
      </vt:variant>
      <vt:variant>
        <vt:i4>1507383</vt:i4>
      </vt:variant>
      <vt:variant>
        <vt:i4>73</vt:i4>
      </vt:variant>
      <vt:variant>
        <vt:i4>0</vt:i4>
      </vt:variant>
      <vt:variant>
        <vt:i4>5</vt:i4>
      </vt:variant>
      <vt:variant>
        <vt:lpwstr/>
      </vt:variant>
      <vt:variant>
        <vt:lpwstr>_Toc235432350</vt:lpwstr>
      </vt:variant>
      <vt:variant>
        <vt:i4>1441847</vt:i4>
      </vt:variant>
      <vt:variant>
        <vt:i4>67</vt:i4>
      </vt:variant>
      <vt:variant>
        <vt:i4>0</vt:i4>
      </vt:variant>
      <vt:variant>
        <vt:i4>5</vt:i4>
      </vt:variant>
      <vt:variant>
        <vt:lpwstr/>
      </vt:variant>
      <vt:variant>
        <vt:lpwstr>_Toc235432349</vt:lpwstr>
      </vt:variant>
      <vt:variant>
        <vt:i4>1441847</vt:i4>
      </vt:variant>
      <vt:variant>
        <vt:i4>61</vt:i4>
      </vt:variant>
      <vt:variant>
        <vt:i4>0</vt:i4>
      </vt:variant>
      <vt:variant>
        <vt:i4>5</vt:i4>
      </vt:variant>
      <vt:variant>
        <vt:lpwstr/>
      </vt:variant>
      <vt:variant>
        <vt:lpwstr>_Toc235432348</vt:lpwstr>
      </vt:variant>
      <vt:variant>
        <vt:i4>1441847</vt:i4>
      </vt:variant>
      <vt:variant>
        <vt:i4>55</vt:i4>
      </vt:variant>
      <vt:variant>
        <vt:i4>0</vt:i4>
      </vt:variant>
      <vt:variant>
        <vt:i4>5</vt:i4>
      </vt:variant>
      <vt:variant>
        <vt:lpwstr/>
      </vt:variant>
      <vt:variant>
        <vt:lpwstr>_Toc235432347</vt:lpwstr>
      </vt:variant>
      <vt:variant>
        <vt:i4>1441847</vt:i4>
      </vt:variant>
      <vt:variant>
        <vt:i4>49</vt:i4>
      </vt:variant>
      <vt:variant>
        <vt:i4>0</vt:i4>
      </vt:variant>
      <vt:variant>
        <vt:i4>5</vt:i4>
      </vt:variant>
      <vt:variant>
        <vt:lpwstr/>
      </vt:variant>
      <vt:variant>
        <vt:lpwstr>_Toc235432346</vt:lpwstr>
      </vt:variant>
      <vt:variant>
        <vt:i4>1441847</vt:i4>
      </vt:variant>
      <vt:variant>
        <vt:i4>43</vt:i4>
      </vt:variant>
      <vt:variant>
        <vt:i4>0</vt:i4>
      </vt:variant>
      <vt:variant>
        <vt:i4>5</vt:i4>
      </vt:variant>
      <vt:variant>
        <vt:lpwstr/>
      </vt:variant>
      <vt:variant>
        <vt:lpwstr>_Toc235432345</vt:lpwstr>
      </vt:variant>
      <vt:variant>
        <vt:i4>1441847</vt:i4>
      </vt:variant>
      <vt:variant>
        <vt:i4>37</vt:i4>
      </vt:variant>
      <vt:variant>
        <vt:i4>0</vt:i4>
      </vt:variant>
      <vt:variant>
        <vt:i4>5</vt:i4>
      </vt:variant>
      <vt:variant>
        <vt:lpwstr/>
      </vt:variant>
      <vt:variant>
        <vt:lpwstr>_Toc235432344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HIVA - nieuwe huisstijl</dc:title>
  <dc:creator>Ann Peetermans</dc:creator>
  <cp:lastModifiedBy>frank Vastmans</cp:lastModifiedBy>
  <cp:revision>4</cp:revision>
  <cp:lastPrinted>2012-03-23T08:52:00Z</cp:lastPrinted>
  <dcterms:created xsi:type="dcterms:W3CDTF">2016-10-13T09:22:00Z</dcterms:created>
  <dcterms:modified xsi:type="dcterms:W3CDTF">2017-04-20T15:25:00Z</dcterms:modified>
</cp:coreProperties>
</file>