
<file path=[Content_Types].xml><?xml version="1.0" encoding="utf-8"?>
<Types xmlns="http://schemas.openxmlformats.org/package/2006/content-types">
  <Default Extension="emf" ContentType="image/x-emf"/>
  <Default Extension="rels" ContentType="application/vnd.openxmlformats-package.relationships+xml"/>
  <Default Extension="docx" ContentType="application/vnd.openxmlformats-officedocument.wordprocessingml.document"/>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3F11" w14:textId="379DD0ED" w:rsidR="00051CA8" w:rsidRPr="005364F7" w:rsidRDefault="009650C8" w:rsidP="005364F7">
      <w:pPr>
        <w:pStyle w:val="Titel"/>
        <w:jc w:val="both"/>
        <w:rPr>
          <w:rFonts w:ascii="Arial" w:hAnsi="Arial" w:cs="Arial"/>
          <w:b/>
          <w:sz w:val="48"/>
          <w:szCs w:val="48"/>
          <w:lang w:val="nl-BE"/>
        </w:rPr>
      </w:pPr>
      <w:r w:rsidRPr="005364F7">
        <w:rPr>
          <w:rFonts w:ascii="Arial" w:hAnsi="Arial" w:cs="Arial"/>
          <w:b/>
          <w:sz w:val="48"/>
          <w:szCs w:val="48"/>
          <w:lang w:val="nl-BE"/>
        </w:rPr>
        <w:t>T</w:t>
      </w:r>
      <w:r w:rsidR="00051CA8" w:rsidRPr="005364F7">
        <w:rPr>
          <w:rFonts w:ascii="Arial" w:hAnsi="Arial" w:cs="Arial"/>
          <w:b/>
          <w:sz w:val="48"/>
          <w:szCs w:val="48"/>
          <w:lang w:val="nl-BE"/>
        </w:rPr>
        <w:t xml:space="preserve">oelichting bij het </w:t>
      </w:r>
      <w:r w:rsidR="00B1207E" w:rsidRPr="005364F7">
        <w:rPr>
          <w:rFonts w:ascii="Arial" w:hAnsi="Arial" w:cs="Arial"/>
          <w:b/>
          <w:sz w:val="48"/>
          <w:szCs w:val="48"/>
          <w:lang w:val="nl-BE"/>
        </w:rPr>
        <w:t>herwerken van het M</w:t>
      </w:r>
      <w:r w:rsidR="00D5046C" w:rsidRPr="005364F7">
        <w:rPr>
          <w:rFonts w:ascii="Arial" w:hAnsi="Arial" w:cs="Arial"/>
          <w:b/>
          <w:sz w:val="48"/>
          <w:szCs w:val="48"/>
          <w:lang w:val="nl-BE"/>
        </w:rPr>
        <w:t>onitoring Methodiek Plan (MMP)</w:t>
      </w:r>
    </w:p>
    <w:p w14:paraId="3D5B6689" w14:textId="01AB3B6A" w:rsidR="00051CA8" w:rsidRPr="005364F7" w:rsidRDefault="00051CA8" w:rsidP="005364F7">
      <w:pPr>
        <w:autoSpaceDE w:val="0"/>
        <w:autoSpaceDN w:val="0"/>
        <w:adjustRightInd w:val="0"/>
        <w:spacing w:after="0" w:line="240" w:lineRule="auto"/>
        <w:jc w:val="both"/>
        <w:rPr>
          <w:rFonts w:ascii="Arial" w:hAnsi="Arial" w:cs="Arial"/>
          <w:color w:val="1C1A15"/>
          <w:lang w:val="nl-BE"/>
        </w:rPr>
      </w:pPr>
    </w:p>
    <w:p w14:paraId="78806340" w14:textId="3AFE72D6" w:rsidR="00096EDD" w:rsidRPr="00096EDD" w:rsidRDefault="00096EDD" w:rsidP="005364F7">
      <w:pPr>
        <w:autoSpaceDE w:val="0"/>
        <w:autoSpaceDN w:val="0"/>
        <w:adjustRightInd w:val="0"/>
        <w:spacing w:after="0" w:line="240" w:lineRule="auto"/>
        <w:jc w:val="both"/>
        <w:rPr>
          <w:rFonts w:ascii="Arial" w:hAnsi="Arial" w:cs="Arial"/>
          <w:i/>
          <w:color w:val="1C1A15"/>
          <w:lang w:val="nl-BE"/>
        </w:rPr>
      </w:pPr>
      <w:r w:rsidRPr="00096EDD">
        <w:rPr>
          <w:rFonts w:ascii="Arial" w:hAnsi="Arial" w:cs="Arial"/>
          <w:i/>
          <w:color w:val="1C1A15"/>
          <w:lang w:val="nl-BE"/>
        </w:rPr>
        <w:t>Datum laatste aanpassing: 23/10/2019</w:t>
      </w:r>
    </w:p>
    <w:p w14:paraId="0FB3091D" w14:textId="77777777" w:rsidR="00096EDD" w:rsidRDefault="00096EDD" w:rsidP="005364F7">
      <w:pPr>
        <w:autoSpaceDE w:val="0"/>
        <w:autoSpaceDN w:val="0"/>
        <w:adjustRightInd w:val="0"/>
        <w:spacing w:after="0" w:line="240" w:lineRule="auto"/>
        <w:jc w:val="both"/>
        <w:rPr>
          <w:rFonts w:ascii="Arial" w:hAnsi="Arial" w:cs="Arial"/>
          <w:color w:val="1C1A15"/>
          <w:lang w:val="nl-BE"/>
        </w:rPr>
      </w:pPr>
    </w:p>
    <w:p w14:paraId="6FF57D44" w14:textId="3C44E161" w:rsidR="003D2408" w:rsidRPr="005364F7" w:rsidRDefault="003D2408" w:rsidP="005364F7">
      <w:pPr>
        <w:autoSpaceDE w:val="0"/>
        <w:autoSpaceDN w:val="0"/>
        <w:adjustRightInd w:val="0"/>
        <w:spacing w:after="0" w:line="240" w:lineRule="auto"/>
        <w:jc w:val="both"/>
        <w:rPr>
          <w:rFonts w:ascii="Arial" w:hAnsi="Arial" w:cs="Arial"/>
          <w:color w:val="FF0000"/>
          <w:lang w:val="nl-BE"/>
        </w:rPr>
      </w:pPr>
      <w:r w:rsidRPr="005364F7">
        <w:rPr>
          <w:rFonts w:ascii="Arial" w:hAnsi="Arial" w:cs="Arial"/>
          <w:color w:val="1C1A15"/>
          <w:lang w:val="nl-BE"/>
        </w:rPr>
        <w:t xml:space="preserve">Zoals vermeld in de </w:t>
      </w:r>
      <w:hyperlink r:id="rId11" w:history="1">
        <w:r w:rsidRPr="00096EDD">
          <w:rPr>
            <w:rStyle w:val="Hyperlink"/>
            <w:rFonts w:ascii="Arial" w:hAnsi="Arial" w:cs="Arial"/>
            <w:lang w:val="nl-BE"/>
          </w:rPr>
          <w:t xml:space="preserve">ETS nieuwsbrief van 1 augustus 2019 </w:t>
        </w:r>
        <w:r w:rsidR="00096EDD" w:rsidRPr="00096EDD">
          <w:rPr>
            <w:rStyle w:val="Hyperlink"/>
            <w:rFonts w:ascii="Arial" w:hAnsi="Arial" w:cs="Arial"/>
            <w:lang w:val="nl-BE"/>
          </w:rPr>
          <w:t>(nr. 25)</w:t>
        </w:r>
      </w:hyperlink>
      <w:r w:rsidR="00096EDD">
        <w:rPr>
          <w:rFonts w:ascii="Arial" w:hAnsi="Arial" w:cs="Arial"/>
          <w:color w:val="1C1A15"/>
          <w:lang w:val="nl-BE"/>
        </w:rPr>
        <w:t xml:space="preserve"> </w:t>
      </w:r>
      <w:r w:rsidRPr="005364F7">
        <w:rPr>
          <w:rFonts w:ascii="Arial" w:hAnsi="Arial" w:cs="Arial"/>
          <w:color w:val="1C1A15"/>
          <w:lang w:val="nl-BE"/>
        </w:rPr>
        <w:t xml:space="preserve">moet elke </w:t>
      </w:r>
      <w:r w:rsidR="00916F21" w:rsidRPr="005364F7">
        <w:rPr>
          <w:rFonts w:ascii="Arial" w:hAnsi="Arial" w:cs="Arial"/>
          <w:color w:val="1C1A15"/>
          <w:lang w:val="nl-BE"/>
        </w:rPr>
        <w:t xml:space="preserve">exploitant van een </w:t>
      </w:r>
      <w:r w:rsidRPr="005364F7">
        <w:rPr>
          <w:rFonts w:ascii="Arial" w:hAnsi="Arial" w:cs="Arial"/>
          <w:color w:val="1C1A15"/>
          <w:lang w:val="nl-BE"/>
        </w:rPr>
        <w:t xml:space="preserve">BKG-installatie die een toewijzing heeft aangevraagd voor 2021-2025, tegen uiterlijk 31/12/2019 een herwerkte versie van het MMP opstellen en indienen. </w:t>
      </w:r>
    </w:p>
    <w:p w14:paraId="37D37CAF" w14:textId="77777777" w:rsidR="003D2408" w:rsidRPr="005364F7" w:rsidRDefault="003D2408"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 </w:t>
      </w:r>
    </w:p>
    <w:p w14:paraId="6A325B9D" w14:textId="2D2BDEDB" w:rsidR="00383E1D" w:rsidRPr="005364F7" w:rsidRDefault="003D2408"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Aangezien na het verschijnen van deze ETS nieuwsbrief een aantal exploitanten nog vragen heeft gesteld over de herwerking van het MMP, heeft het VBBV samen met Departement </w:t>
      </w:r>
      <w:r w:rsidR="00096EDD">
        <w:rPr>
          <w:rFonts w:ascii="Arial" w:hAnsi="Arial" w:cs="Arial"/>
          <w:color w:val="1C1A15"/>
          <w:lang w:val="nl-BE"/>
        </w:rPr>
        <w:t xml:space="preserve">Omgeving </w:t>
      </w:r>
      <w:r w:rsidRPr="005364F7">
        <w:rPr>
          <w:rFonts w:ascii="Arial" w:hAnsi="Arial" w:cs="Arial"/>
          <w:color w:val="1C1A15"/>
          <w:lang w:val="nl-BE"/>
        </w:rPr>
        <w:t xml:space="preserve">deze toelichting opgesteld waarin meer verduidelijking wordt gegeven over het doel en de </w:t>
      </w:r>
      <w:r w:rsidRPr="005364F7">
        <w:rPr>
          <w:rFonts w:ascii="Arial" w:hAnsi="Arial" w:cs="Arial"/>
          <w:color w:val="1C1A15"/>
          <w:lang w:val="nl-BE"/>
        </w:rPr>
        <w:t>verwachtingen voor het herwerkte MMP. Tevens word</w:t>
      </w:r>
      <w:r w:rsidR="00694991" w:rsidRPr="005364F7">
        <w:rPr>
          <w:rFonts w:ascii="Arial" w:hAnsi="Arial" w:cs="Arial"/>
          <w:color w:val="1C1A15"/>
          <w:lang w:val="nl-BE"/>
        </w:rPr>
        <w:t>en</w:t>
      </w:r>
      <w:r w:rsidRPr="005364F7">
        <w:rPr>
          <w:rFonts w:ascii="Arial" w:hAnsi="Arial" w:cs="Arial"/>
          <w:color w:val="1C1A15"/>
          <w:lang w:val="nl-BE"/>
        </w:rPr>
        <w:t xml:space="preserve"> </w:t>
      </w:r>
      <w:r w:rsidR="00694991" w:rsidRPr="005364F7">
        <w:rPr>
          <w:rFonts w:ascii="Arial" w:hAnsi="Arial" w:cs="Arial"/>
          <w:color w:val="1C1A15"/>
          <w:lang w:val="nl-BE"/>
        </w:rPr>
        <w:t xml:space="preserve">er </w:t>
      </w:r>
      <w:r w:rsidRPr="005364F7">
        <w:rPr>
          <w:rFonts w:ascii="Arial" w:hAnsi="Arial" w:cs="Arial"/>
          <w:color w:val="1C1A15"/>
          <w:lang w:val="nl-BE"/>
        </w:rPr>
        <w:t>concret</w:t>
      </w:r>
      <w:r w:rsidR="00694991" w:rsidRPr="005364F7">
        <w:rPr>
          <w:rFonts w:ascii="Arial" w:hAnsi="Arial" w:cs="Arial"/>
          <w:color w:val="1C1A15"/>
          <w:lang w:val="nl-BE"/>
        </w:rPr>
        <w:t>e</w:t>
      </w:r>
      <w:r w:rsidRPr="005364F7">
        <w:rPr>
          <w:rFonts w:ascii="Arial" w:hAnsi="Arial" w:cs="Arial"/>
          <w:color w:val="1C1A15"/>
          <w:lang w:val="nl-BE"/>
        </w:rPr>
        <w:t xml:space="preserve"> voorbeeld</w:t>
      </w:r>
      <w:r w:rsidR="00694991" w:rsidRPr="005364F7">
        <w:rPr>
          <w:rFonts w:ascii="Arial" w:hAnsi="Arial" w:cs="Arial"/>
          <w:color w:val="1C1A15"/>
          <w:lang w:val="nl-BE"/>
        </w:rPr>
        <w:t>en</w:t>
      </w:r>
      <w:r w:rsidRPr="005364F7">
        <w:rPr>
          <w:rFonts w:ascii="Arial" w:hAnsi="Arial" w:cs="Arial"/>
          <w:color w:val="1C1A15"/>
          <w:lang w:val="nl-BE"/>
        </w:rPr>
        <w:t xml:space="preserve"> toegevoegd in Excel</w:t>
      </w:r>
      <w:r w:rsidR="00694991" w:rsidRPr="005364F7">
        <w:rPr>
          <w:rFonts w:ascii="Arial" w:hAnsi="Arial" w:cs="Arial"/>
          <w:color w:val="1C1A15"/>
          <w:lang w:val="nl-BE"/>
        </w:rPr>
        <w:t>-formaat. Deze voorbeelden zijn geen verplicht sjabloon, maar kunnen</w:t>
      </w:r>
      <w:r w:rsidR="00C4501B">
        <w:rPr>
          <w:rFonts w:ascii="Arial" w:hAnsi="Arial" w:cs="Arial"/>
          <w:color w:val="1C1A15"/>
          <w:lang w:val="nl-BE"/>
        </w:rPr>
        <w:t xml:space="preserve"> dienen</w:t>
      </w:r>
      <w:r w:rsidR="00694991" w:rsidRPr="005364F7">
        <w:rPr>
          <w:rFonts w:ascii="Arial" w:hAnsi="Arial" w:cs="Arial"/>
          <w:color w:val="1C1A15"/>
          <w:lang w:val="nl-BE"/>
        </w:rPr>
        <w:t xml:space="preserve"> </w:t>
      </w:r>
      <w:r w:rsidRPr="005364F7">
        <w:rPr>
          <w:rFonts w:ascii="Arial" w:hAnsi="Arial" w:cs="Arial"/>
          <w:color w:val="1C1A15"/>
          <w:lang w:val="nl-BE"/>
        </w:rPr>
        <w:t>als hulpmiddel voor exploitanten</w:t>
      </w:r>
      <w:r w:rsidRPr="005364F7">
        <w:rPr>
          <w:rFonts w:ascii="Arial" w:hAnsi="Arial" w:cs="Arial"/>
          <w:color w:val="1C1A15"/>
          <w:lang w:val="nl-BE"/>
        </w:rPr>
        <w:t>.</w:t>
      </w:r>
    </w:p>
    <w:p w14:paraId="17B48403" w14:textId="1BDBFCB9" w:rsidR="00383E1D" w:rsidRPr="005364F7" w:rsidRDefault="00383E1D" w:rsidP="005364F7">
      <w:pPr>
        <w:autoSpaceDE w:val="0"/>
        <w:autoSpaceDN w:val="0"/>
        <w:adjustRightInd w:val="0"/>
        <w:spacing w:after="0" w:line="240" w:lineRule="auto"/>
        <w:jc w:val="both"/>
        <w:rPr>
          <w:rFonts w:ascii="Arial" w:hAnsi="Arial" w:cs="Arial"/>
          <w:color w:val="1C1A15"/>
          <w:lang w:val="nl-BE"/>
        </w:rPr>
      </w:pPr>
    </w:p>
    <w:p w14:paraId="617B1275" w14:textId="2A170B7F" w:rsidR="00383E1D" w:rsidRPr="005364F7" w:rsidRDefault="00383E1D"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De concrete actiepunten voor </w:t>
      </w:r>
      <w:r w:rsidR="00916F21" w:rsidRPr="005364F7">
        <w:rPr>
          <w:rFonts w:ascii="Arial" w:hAnsi="Arial" w:cs="Arial"/>
          <w:color w:val="1C1A15"/>
          <w:lang w:val="nl-BE"/>
        </w:rPr>
        <w:t xml:space="preserve">exploitanten zijn </w:t>
      </w:r>
      <w:r w:rsidR="00916F21" w:rsidRPr="005364F7">
        <w:rPr>
          <w:rFonts w:ascii="Arial" w:hAnsi="Arial" w:cs="Arial"/>
          <w:b/>
          <w:color w:val="1C1A15"/>
          <w:lang w:val="nl-BE"/>
        </w:rPr>
        <w:t>vetgedrukt</w:t>
      </w:r>
      <w:r w:rsidR="00916F21" w:rsidRPr="005364F7">
        <w:rPr>
          <w:rFonts w:ascii="Arial" w:hAnsi="Arial" w:cs="Arial"/>
          <w:color w:val="1C1A15"/>
          <w:lang w:val="nl-BE"/>
        </w:rPr>
        <w:t>. Achteraan dit toelichtingsdocument is ook een checklist opgenomen met verwijzing naar de relevante passages van dit toelichtingsdocument.</w:t>
      </w:r>
    </w:p>
    <w:p w14:paraId="2112F95F" w14:textId="77777777" w:rsidR="003D2408" w:rsidRPr="005364F7" w:rsidRDefault="003D2408" w:rsidP="005364F7">
      <w:pPr>
        <w:autoSpaceDE w:val="0"/>
        <w:autoSpaceDN w:val="0"/>
        <w:adjustRightInd w:val="0"/>
        <w:spacing w:after="0" w:line="240" w:lineRule="auto"/>
        <w:jc w:val="both"/>
        <w:rPr>
          <w:rFonts w:ascii="Arial" w:hAnsi="Arial" w:cs="Arial"/>
          <w:color w:val="1C1A15"/>
          <w:lang w:val="nl-BE"/>
        </w:rPr>
      </w:pPr>
    </w:p>
    <w:p w14:paraId="4B94E6EF" w14:textId="77777777" w:rsidR="00B1207E" w:rsidRPr="005364F7" w:rsidRDefault="00B1207E" w:rsidP="005364F7">
      <w:pPr>
        <w:autoSpaceDE w:val="0"/>
        <w:autoSpaceDN w:val="0"/>
        <w:adjustRightInd w:val="0"/>
        <w:spacing w:after="0" w:line="240" w:lineRule="auto"/>
        <w:jc w:val="both"/>
        <w:rPr>
          <w:rFonts w:ascii="Arial" w:hAnsi="Arial" w:cs="Arial"/>
          <w:color w:val="1C1A15"/>
          <w:lang w:val="nl-BE"/>
        </w:rPr>
      </w:pPr>
    </w:p>
    <w:p w14:paraId="6376B9F6" w14:textId="19CB04AF" w:rsidR="00B1207E" w:rsidRPr="005364F7" w:rsidRDefault="00D5046C" w:rsidP="005364F7">
      <w:pPr>
        <w:pStyle w:val="Lijstalinea"/>
        <w:numPr>
          <w:ilvl w:val="0"/>
          <w:numId w:val="23"/>
        </w:numPr>
        <w:autoSpaceDE w:val="0"/>
        <w:autoSpaceDN w:val="0"/>
        <w:adjustRightInd w:val="0"/>
        <w:spacing w:after="0" w:line="240" w:lineRule="auto"/>
        <w:jc w:val="both"/>
        <w:rPr>
          <w:rFonts w:ascii="Arial" w:hAnsi="Arial" w:cs="Arial"/>
          <w:b/>
          <w:color w:val="1C1A15"/>
          <w:sz w:val="32"/>
          <w:szCs w:val="32"/>
          <w:u w:val="single"/>
          <w:lang w:val="nl-BE"/>
        </w:rPr>
      </w:pPr>
      <w:r w:rsidRPr="005364F7">
        <w:rPr>
          <w:rFonts w:ascii="Arial" w:hAnsi="Arial" w:cs="Arial"/>
          <w:b/>
          <w:color w:val="1C1A15"/>
          <w:sz w:val="32"/>
          <w:szCs w:val="32"/>
          <w:u w:val="single"/>
          <w:lang w:val="nl-BE"/>
        </w:rPr>
        <w:t>Wie moet er tegen 31/12/2019 een (herwerkt) MMP indienen?</w:t>
      </w:r>
    </w:p>
    <w:p w14:paraId="12C9DA53" w14:textId="77777777" w:rsidR="00B1207E" w:rsidRPr="005364F7" w:rsidRDefault="00B1207E" w:rsidP="005364F7">
      <w:pPr>
        <w:autoSpaceDE w:val="0"/>
        <w:autoSpaceDN w:val="0"/>
        <w:adjustRightInd w:val="0"/>
        <w:spacing w:after="0" w:line="240" w:lineRule="auto"/>
        <w:jc w:val="both"/>
        <w:rPr>
          <w:rFonts w:ascii="Arial" w:hAnsi="Arial" w:cs="Arial"/>
          <w:color w:val="1C1A15"/>
          <w:lang w:val="nl-BE"/>
        </w:rPr>
      </w:pPr>
    </w:p>
    <w:p w14:paraId="5D2E27BB" w14:textId="07113886" w:rsidR="00D5046C" w:rsidRPr="005364F7" w:rsidRDefault="00B1207E"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Bestaande installaties die in aanmerking willen komen voor een toewijzing in de periode 2021-2030 </w:t>
      </w:r>
      <w:r w:rsidR="00D5046C" w:rsidRPr="005364F7">
        <w:rPr>
          <w:rFonts w:ascii="Arial" w:hAnsi="Arial" w:cs="Arial"/>
          <w:color w:val="1C1A15"/>
          <w:lang w:val="nl-BE"/>
        </w:rPr>
        <w:t>hebben</w:t>
      </w:r>
      <w:r w:rsidRPr="005364F7">
        <w:rPr>
          <w:rFonts w:ascii="Arial" w:hAnsi="Arial" w:cs="Arial"/>
          <w:color w:val="1C1A15"/>
          <w:lang w:val="nl-BE"/>
        </w:rPr>
        <w:t xml:space="preserve"> </w:t>
      </w:r>
      <w:r w:rsidR="00D5046C" w:rsidRPr="005364F7">
        <w:rPr>
          <w:rFonts w:ascii="Arial" w:hAnsi="Arial" w:cs="Arial"/>
          <w:color w:val="1C1A15"/>
          <w:lang w:val="nl-BE"/>
        </w:rPr>
        <w:t xml:space="preserve">uiterlijk </w:t>
      </w:r>
      <w:r w:rsidRPr="005364F7">
        <w:rPr>
          <w:rFonts w:ascii="Arial" w:hAnsi="Arial" w:cs="Arial"/>
          <w:color w:val="1C1A15"/>
          <w:lang w:val="nl-BE"/>
        </w:rPr>
        <w:t>30 juni 2019 een geverifieerd baseline rapport in</w:t>
      </w:r>
      <w:r w:rsidR="00D5046C" w:rsidRPr="005364F7">
        <w:rPr>
          <w:rFonts w:ascii="Arial" w:hAnsi="Arial" w:cs="Arial"/>
          <w:color w:val="1C1A15"/>
          <w:lang w:val="nl-BE"/>
        </w:rPr>
        <w:t>ge</w:t>
      </w:r>
      <w:r w:rsidRPr="005364F7">
        <w:rPr>
          <w:rFonts w:ascii="Arial" w:hAnsi="Arial" w:cs="Arial"/>
          <w:color w:val="1C1A15"/>
          <w:lang w:val="nl-BE"/>
        </w:rPr>
        <w:t>dien</w:t>
      </w:r>
      <w:r w:rsidR="00D5046C" w:rsidRPr="005364F7">
        <w:rPr>
          <w:rFonts w:ascii="Arial" w:hAnsi="Arial" w:cs="Arial"/>
          <w:color w:val="1C1A15"/>
          <w:lang w:val="nl-BE"/>
        </w:rPr>
        <w:t>d</w:t>
      </w:r>
      <w:r w:rsidRPr="005364F7">
        <w:rPr>
          <w:rFonts w:ascii="Arial" w:hAnsi="Arial" w:cs="Arial"/>
          <w:color w:val="1C1A15"/>
          <w:lang w:val="nl-BE"/>
        </w:rPr>
        <w:t xml:space="preserve"> bij het Departement Omgeving. Dit baseline rapport moest </w:t>
      </w:r>
      <w:r w:rsidRPr="005364F7">
        <w:rPr>
          <w:rFonts w:ascii="Arial" w:hAnsi="Arial" w:cs="Arial"/>
          <w:color w:val="1C1A15"/>
          <w:lang w:val="nl-BE"/>
        </w:rPr>
        <w:t xml:space="preserve">opgesteld worden aan de hand van </w:t>
      </w:r>
      <w:r w:rsidR="00D5046C" w:rsidRPr="005364F7">
        <w:rPr>
          <w:rFonts w:ascii="Arial" w:hAnsi="Arial" w:cs="Arial"/>
          <w:color w:val="1C1A15"/>
          <w:lang w:val="nl-BE"/>
        </w:rPr>
        <w:t xml:space="preserve">een goedgekeurd MMP. Het MMP dat werd goedgekeurd </w:t>
      </w:r>
      <w:proofErr w:type="spellStart"/>
      <w:r w:rsidR="00D5046C" w:rsidRPr="005364F7">
        <w:rPr>
          <w:rFonts w:ascii="Arial" w:hAnsi="Arial" w:cs="Arial"/>
          <w:color w:val="1C1A15"/>
          <w:lang w:val="nl-BE"/>
        </w:rPr>
        <w:t>i.k.v</w:t>
      </w:r>
      <w:proofErr w:type="spellEnd"/>
      <w:r w:rsidR="00D5046C" w:rsidRPr="005364F7">
        <w:rPr>
          <w:rFonts w:ascii="Arial" w:hAnsi="Arial" w:cs="Arial"/>
          <w:color w:val="1C1A15"/>
          <w:lang w:val="nl-BE"/>
        </w:rPr>
        <w:t xml:space="preserve">. deze baseline rapporten moet echter herwerkt en opnieuw ingediend worden tegen 31/12/2019. </w:t>
      </w:r>
      <w:r w:rsidR="00C4501B">
        <w:rPr>
          <w:rFonts w:ascii="Arial" w:hAnsi="Arial" w:cs="Arial"/>
          <w:color w:val="1C1A15"/>
          <w:lang w:val="nl-BE"/>
        </w:rPr>
        <w:t>Dit</w:t>
      </w:r>
      <w:r w:rsidR="00D5046C" w:rsidRPr="005364F7">
        <w:rPr>
          <w:rFonts w:ascii="Arial" w:hAnsi="Arial" w:cs="Arial"/>
          <w:color w:val="1C1A15"/>
          <w:lang w:val="nl-BE"/>
        </w:rPr>
        <w:t xml:space="preserve"> document geeft meer toelichting over het doel van dit herwerkt MMP, en wat er moet aangepast worden t.o.v. de reeds goedgekeurde versie. </w:t>
      </w:r>
    </w:p>
    <w:p w14:paraId="34277E82" w14:textId="6A2D2029" w:rsidR="00D5046C" w:rsidRPr="005364F7" w:rsidRDefault="00D5046C" w:rsidP="005364F7">
      <w:pPr>
        <w:autoSpaceDE w:val="0"/>
        <w:autoSpaceDN w:val="0"/>
        <w:adjustRightInd w:val="0"/>
        <w:spacing w:after="0" w:line="240" w:lineRule="auto"/>
        <w:jc w:val="both"/>
        <w:rPr>
          <w:rFonts w:ascii="Arial" w:hAnsi="Arial" w:cs="Arial"/>
          <w:color w:val="1C1A15"/>
          <w:lang w:val="nl-BE"/>
        </w:rPr>
      </w:pPr>
    </w:p>
    <w:p w14:paraId="6024B09A" w14:textId="4E26574A" w:rsidR="00D5046C" w:rsidRPr="005364F7" w:rsidRDefault="00D5046C"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Installaties die zijn opgestart na 2/1/2018 of die zullen opstarten in de loop van 2020 beschikken nog niet over een goedgekeurd MMP. Zij moeten tegen 31/12/2019 een eerste versie van hun MMP opstellen.</w:t>
      </w:r>
    </w:p>
    <w:p w14:paraId="2FEF983C" w14:textId="15B01449" w:rsidR="00D5046C" w:rsidRPr="005364F7" w:rsidRDefault="00D5046C" w:rsidP="005364F7">
      <w:pPr>
        <w:autoSpaceDE w:val="0"/>
        <w:autoSpaceDN w:val="0"/>
        <w:adjustRightInd w:val="0"/>
        <w:spacing w:after="0" w:line="240" w:lineRule="auto"/>
        <w:jc w:val="both"/>
        <w:rPr>
          <w:rFonts w:ascii="Arial" w:hAnsi="Arial" w:cs="Arial"/>
          <w:color w:val="1C1A15"/>
          <w:lang w:val="nl-BE"/>
        </w:rPr>
      </w:pPr>
    </w:p>
    <w:p w14:paraId="1F06E9DF" w14:textId="614E7042" w:rsidR="00D5046C" w:rsidRPr="005364F7" w:rsidRDefault="00D5046C"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In beide gevallen kan het MMP opgesteld worden o.b.v. hetzelfde sjabloon dat ook werd gebruikt in kader van de baseline data collectie. </w:t>
      </w:r>
      <w:r w:rsidR="003D2408" w:rsidRPr="005364F7">
        <w:rPr>
          <w:rFonts w:ascii="Arial" w:hAnsi="Arial" w:cs="Arial"/>
          <w:color w:val="1C1A15"/>
          <w:lang w:val="nl-BE"/>
        </w:rPr>
        <w:t xml:space="preserve">Voor installaties die reeds beschikken over een goedgekeurd MMP wordt er dus bij voorkeur </w:t>
      </w:r>
      <w:proofErr w:type="spellStart"/>
      <w:r w:rsidR="003D2408" w:rsidRPr="005364F7">
        <w:rPr>
          <w:rFonts w:ascii="Arial" w:hAnsi="Arial" w:cs="Arial"/>
          <w:color w:val="1C1A15"/>
          <w:lang w:val="nl-BE"/>
        </w:rPr>
        <w:t>verdergewerkt</w:t>
      </w:r>
      <w:proofErr w:type="spellEnd"/>
      <w:r w:rsidR="003D2408" w:rsidRPr="005364F7">
        <w:rPr>
          <w:rFonts w:ascii="Arial" w:hAnsi="Arial" w:cs="Arial"/>
          <w:color w:val="1C1A15"/>
          <w:lang w:val="nl-BE"/>
        </w:rPr>
        <w:t xml:space="preserve"> op de reeds goedgekeurde versie. </w:t>
      </w:r>
      <w:r w:rsidRPr="005364F7">
        <w:rPr>
          <w:rFonts w:ascii="Arial" w:hAnsi="Arial" w:cs="Arial"/>
          <w:color w:val="1C1A15"/>
          <w:lang w:val="nl-BE"/>
        </w:rPr>
        <w:t xml:space="preserve">Het ingevulde sjabloon moet in </w:t>
      </w:r>
      <w:r w:rsidR="00C4501B">
        <w:rPr>
          <w:rFonts w:ascii="Arial" w:hAnsi="Arial" w:cs="Arial"/>
          <w:color w:val="1C1A15"/>
          <w:lang w:val="nl-BE"/>
        </w:rPr>
        <w:t>Excel</w:t>
      </w:r>
      <w:r w:rsidRPr="005364F7">
        <w:rPr>
          <w:rFonts w:ascii="Arial" w:hAnsi="Arial" w:cs="Arial"/>
          <w:color w:val="1C1A15"/>
          <w:lang w:val="nl-BE"/>
        </w:rPr>
        <w:t xml:space="preserve">-formaat samen met alle bijlagen opgestuurd worden naar </w:t>
      </w:r>
      <w:hyperlink r:id="rId12" w:history="1">
        <w:r w:rsidRPr="005364F7">
          <w:rPr>
            <w:rStyle w:val="Hyperlink"/>
            <w:rFonts w:ascii="Arial" w:hAnsi="Arial" w:cs="Arial"/>
            <w:lang w:val="nl-BE"/>
          </w:rPr>
          <w:t>vbbv@vbbv.be</w:t>
        </w:r>
      </w:hyperlink>
      <w:r w:rsidRPr="005364F7">
        <w:rPr>
          <w:rFonts w:ascii="Arial" w:hAnsi="Arial" w:cs="Arial"/>
          <w:color w:val="1C1A15"/>
          <w:lang w:val="nl-BE"/>
        </w:rPr>
        <w:t>.</w:t>
      </w:r>
    </w:p>
    <w:p w14:paraId="5CB6FA61" w14:textId="7202A04D" w:rsidR="00D5046C" w:rsidRPr="005364F7" w:rsidRDefault="00D5046C" w:rsidP="005364F7">
      <w:pPr>
        <w:autoSpaceDE w:val="0"/>
        <w:autoSpaceDN w:val="0"/>
        <w:adjustRightInd w:val="0"/>
        <w:spacing w:after="0" w:line="240" w:lineRule="auto"/>
        <w:jc w:val="both"/>
        <w:rPr>
          <w:rFonts w:ascii="Arial" w:hAnsi="Arial" w:cs="Arial"/>
          <w:color w:val="1C1A15"/>
          <w:lang w:val="nl-BE"/>
        </w:rPr>
      </w:pPr>
    </w:p>
    <w:p w14:paraId="69CC9ABD" w14:textId="70175D9D" w:rsidR="00D5046C" w:rsidRPr="005364F7" w:rsidRDefault="00D5046C" w:rsidP="005364F7">
      <w:pPr>
        <w:autoSpaceDE w:val="0"/>
        <w:autoSpaceDN w:val="0"/>
        <w:adjustRightInd w:val="0"/>
        <w:spacing w:after="0" w:line="240" w:lineRule="auto"/>
        <w:jc w:val="both"/>
        <w:rPr>
          <w:rFonts w:ascii="Arial" w:hAnsi="Arial" w:cs="Arial"/>
          <w:color w:val="1C1A15"/>
          <w:lang w:val="nl-BE"/>
        </w:rPr>
      </w:pPr>
    </w:p>
    <w:p w14:paraId="08FE5EFB" w14:textId="77505DEB" w:rsidR="00D5046C" w:rsidRPr="005364F7" w:rsidRDefault="00D5046C" w:rsidP="005364F7">
      <w:pPr>
        <w:pStyle w:val="Lijstalinea"/>
        <w:numPr>
          <w:ilvl w:val="0"/>
          <w:numId w:val="23"/>
        </w:numPr>
        <w:autoSpaceDE w:val="0"/>
        <w:autoSpaceDN w:val="0"/>
        <w:adjustRightInd w:val="0"/>
        <w:spacing w:after="0" w:line="240" w:lineRule="auto"/>
        <w:jc w:val="both"/>
        <w:rPr>
          <w:rFonts w:ascii="Arial" w:hAnsi="Arial" w:cs="Arial"/>
          <w:b/>
          <w:color w:val="1C1A15"/>
          <w:sz w:val="32"/>
          <w:szCs w:val="32"/>
          <w:u w:val="single"/>
          <w:lang w:val="nl-BE"/>
        </w:rPr>
      </w:pPr>
      <w:r w:rsidRPr="005364F7">
        <w:rPr>
          <w:rFonts w:ascii="Arial" w:hAnsi="Arial" w:cs="Arial"/>
          <w:b/>
          <w:color w:val="1C1A15"/>
          <w:sz w:val="32"/>
          <w:szCs w:val="32"/>
          <w:u w:val="single"/>
          <w:lang w:val="nl-BE"/>
        </w:rPr>
        <w:t>Waarvoor dient het (herwerkte) MMP?</w:t>
      </w:r>
    </w:p>
    <w:p w14:paraId="4B6F5435" w14:textId="77777777" w:rsidR="00D5046C" w:rsidRPr="005364F7" w:rsidRDefault="00D5046C" w:rsidP="005364F7">
      <w:pPr>
        <w:autoSpaceDE w:val="0"/>
        <w:autoSpaceDN w:val="0"/>
        <w:adjustRightInd w:val="0"/>
        <w:spacing w:after="0" w:line="240" w:lineRule="auto"/>
        <w:jc w:val="both"/>
        <w:rPr>
          <w:rFonts w:ascii="Arial" w:hAnsi="Arial" w:cs="Arial"/>
          <w:color w:val="1C1A15"/>
          <w:lang w:val="nl-BE"/>
        </w:rPr>
      </w:pPr>
    </w:p>
    <w:p w14:paraId="49D5836E" w14:textId="6407C3DA" w:rsidR="003D2408" w:rsidRPr="005364F7" w:rsidRDefault="003D2408" w:rsidP="005364F7">
      <w:pPr>
        <w:jc w:val="both"/>
        <w:rPr>
          <w:rFonts w:ascii="Arial" w:hAnsi="Arial" w:cs="Arial"/>
          <w:b/>
          <w:sz w:val="28"/>
          <w:szCs w:val="28"/>
          <w:u w:val="single"/>
          <w:lang w:val="nl-BE"/>
        </w:rPr>
      </w:pPr>
      <w:r w:rsidRPr="005364F7">
        <w:rPr>
          <w:rFonts w:ascii="Arial" w:hAnsi="Arial" w:cs="Arial"/>
          <w:b/>
          <w:sz w:val="28"/>
          <w:szCs w:val="28"/>
          <w:u w:val="single"/>
          <w:lang w:val="nl-BE"/>
        </w:rPr>
        <w:t>2.1 Aanpassing van toewijzing in 2021-2025</w:t>
      </w:r>
    </w:p>
    <w:p w14:paraId="46A44423" w14:textId="53A11F24" w:rsidR="00D5046C" w:rsidRPr="005364F7" w:rsidRDefault="00D5046C" w:rsidP="005364F7">
      <w:pPr>
        <w:jc w:val="both"/>
        <w:rPr>
          <w:rFonts w:ascii="Arial" w:hAnsi="Arial" w:cs="Arial"/>
        </w:rPr>
      </w:pPr>
      <w:r w:rsidRPr="005364F7">
        <w:rPr>
          <w:rFonts w:ascii="Arial" w:hAnsi="Arial" w:cs="Arial"/>
        </w:rPr>
        <w:t>Voor de periode 2021-2025 zal de oorspronkelijke toewijzing voor elke BKG-installatie vastgesteld worden o.b.v. het gemiddelde activiteitsniveau van elke sub-installatie in de referentieperiode 2014-2018 (= historisch activiteitsniveau)</w:t>
      </w:r>
      <w:r w:rsidR="00B113E6" w:rsidRPr="005364F7">
        <w:rPr>
          <w:rFonts w:ascii="Arial" w:hAnsi="Arial" w:cs="Arial"/>
          <w:lang w:val="nl-BE"/>
        </w:rPr>
        <w:t>, zoals opgenomen in het baseline rapport</w:t>
      </w:r>
      <w:r w:rsidRPr="005364F7">
        <w:rPr>
          <w:rFonts w:ascii="Arial" w:hAnsi="Arial" w:cs="Arial"/>
        </w:rPr>
        <w:t xml:space="preserve">. Tijdens de periode 2021-2025 kan de toewijzing echter nog aangepast worden indien </w:t>
      </w:r>
      <w:r w:rsidRPr="005364F7">
        <w:rPr>
          <w:rFonts w:ascii="Arial" w:hAnsi="Arial" w:cs="Arial"/>
        </w:rPr>
        <w:lastRenderedPageBreak/>
        <w:t xml:space="preserve">het activiteitsniveau afwijkt van dit historische activiteitsniveau. De exacte regels hierrond </w:t>
      </w:r>
      <w:r w:rsidRPr="005364F7">
        <w:rPr>
          <w:rFonts w:ascii="Arial" w:hAnsi="Arial" w:cs="Arial"/>
          <w:lang w:val="nl-BE"/>
        </w:rPr>
        <w:t>zijn uitgewerkt in de Activity Level Change verordening (of ALC verordening), en zijn als volgt:</w:t>
      </w:r>
    </w:p>
    <w:p w14:paraId="17E866FA" w14:textId="463D3BC4" w:rsidR="00D5046C" w:rsidRPr="005364F7" w:rsidRDefault="00D5046C" w:rsidP="005364F7">
      <w:pPr>
        <w:pStyle w:val="Lijstalinea"/>
        <w:numPr>
          <w:ilvl w:val="0"/>
          <w:numId w:val="24"/>
        </w:numPr>
        <w:jc w:val="both"/>
        <w:rPr>
          <w:rFonts w:ascii="Arial" w:hAnsi="Arial" w:cs="Arial"/>
        </w:rPr>
      </w:pPr>
      <w:r w:rsidRPr="005364F7">
        <w:rPr>
          <w:rFonts w:ascii="Arial" w:hAnsi="Arial" w:cs="Arial"/>
        </w:rPr>
        <w:t xml:space="preserve">De toewijzing voor een sub-installatie wordt aangepast indien het activiteitsniveau met </w:t>
      </w:r>
      <w:r w:rsidRPr="005364F7">
        <w:rPr>
          <w:rFonts w:ascii="Arial" w:hAnsi="Arial" w:cs="Arial"/>
          <w:lang w:val="nl-BE"/>
        </w:rPr>
        <w:t>meer dan</w:t>
      </w:r>
      <w:r w:rsidRPr="005364F7">
        <w:rPr>
          <w:rFonts w:ascii="Arial" w:hAnsi="Arial" w:cs="Arial"/>
        </w:rPr>
        <w:t xml:space="preserve"> 15% afwijkt van het historische activiteitsniveau. Dit werkt in twee richtingen: in geval van een stijging van </w:t>
      </w:r>
      <w:r w:rsidRPr="005364F7">
        <w:rPr>
          <w:rFonts w:ascii="Arial" w:hAnsi="Arial" w:cs="Arial"/>
          <w:lang w:val="nl-BE"/>
        </w:rPr>
        <w:t xml:space="preserve">meer dan </w:t>
      </w:r>
      <w:r w:rsidRPr="005364F7">
        <w:rPr>
          <w:rFonts w:ascii="Arial" w:hAnsi="Arial" w:cs="Arial"/>
        </w:rPr>
        <w:t xml:space="preserve">15% t.o.v. het historische activiteitsniveau, zal de toewijzing worden verhoogd, in geval van een daling van </w:t>
      </w:r>
      <w:r w:rsidRPr="005364F7">
        <w:rPr>
          <w:rFonts w:ascii="Arial" w:hAnsi="Arial" w:cs="Arial"/>
          <w:lang w:val="nl-BE"/>
        </w:rPr>
        <w:t xml:space="preserve">meer dan </w:t>
      </w:r>
      <w:r w:rsidRPr="005364F7">
        <w:rPr>
          <w:rFonts w:ascii="Arial" w:hAnsi="Arial" w:cs="Arial"/>
        </w:rPr>
        <w:t>15% wordt de toewijzing verlaagd</w:t>
      </w:r>
      <w:r w:rsidR="003D2408" w:rsidRPr="005364F7">
        <w:rPr>
          <w:rFonts w:ascii="Arial" w:hAnsi="Arial" w:cs="Arial"/>
          <w:lang w:val="nl-BE"/>
        </w:rPr>
        <w:t xml:space="preserve">. </w:t>
      </w:r>
      <w:r w:rsidRPr="005364F7">
        <w:rPr>
          <w:rFonts w:ascii="Arial" w:hAnsi="Arial" w:cs="Arial"/>
        </w:rPr>
        <w:t xml:space="preserve">Om te veel fluctuaties te vermijden, zal voor de toepassing van </w:t>
      </w:r>
      <w:r w:rsidRPr="005364F7">
        <w:rPr>
          <w:rFonts w:ascii="Arial" w:hAnsi="Arial" w:cs="Arial"/>
          <w:lang w:val="nl-BE"/>
        </w:rPr>
        <w:t xml:space="preserve">deze regel </w:t>
      </w:r>
      <w:r w:rsidRPr="005364F7">
        <w:rPr>
          <w:rFonts w:ascii="Arial" w:hAnsi="Arial" w:cs="Arial"/>
        </w:rPr>
        <w:t xml:space="preserve">gewerkt worden met een rollend tweejaarlijks gemiddelde. In 2021 wordt dus bekeken of het gemiddelde activiteitsniveau in 2019-2020 met meer dan 15% afwijkt van het historische activiteitsniveau (gemiddelde in 2014-2018), in 2022 zal worden bekeken of het gemiddelde activiteitsniveau in 2020-2021 met meer dan 15% afwijkt van het historische activiteitsniveau (gemiddelde 2014-2018), </w:t>
      </w:r>
      <w:proofErr w:type="spellStart"/>
      <w:r w:rsidRPr="005364F7">
        <w:rPr>
          <w:rFonts w:ascii="Arial" w:hAnsi="Arial" w:cs="Arial"/>
        </w:rPr>
        <w:t>enz</w:t>
      </w:r>
      <w:proofErr w:type="spellEnd"/>
      <w:r w:rsidRPr="005364F7">
        <w:rPr>
          <w:rFonts w:ascii="Arial" w:hAnsi="Arial" w:cs="Arial"/>
        </w:rPr>
        <w:t xml:space="preserve"> … De basis waarmee vergeleken wordt blijft tot 2025 steeds het gemiddelde activiteitsniveau 2014-2018;</w:t>
      </w:r>
    </w:p>
    <w:p w14:paraId="49C35358" w14:textId="5300230F" w:rsidR="00D5046C" w:rsidRPr="005364F7" w:rsidRDefault="00D5046C" w:rsidP="005364F7">
      <w:pPr>
        <w:pStyle w:val="Lijstalinea"/>
        <w:numPr>
          <w:ilvl w:val="0"/>
          <w:numId w:val="24"/>
        </w:numPr>
        <w:jc w:val="both"/>
        <w:rPr>
          <w:rFonts w:ascii="Arial" w:hAnsi="Arial" w:cs="Arial"/>
        </w:rPr>
      </w:pPr>
      <w:r w:rsidRPr="005364F7">
        <w:rPr>
          <w:rFonts w:ascii="Arial" w:hAnsi="Arial" w:cs="Arial"/>
          <w:lang w:val="nl-BE"/>
        </w:rPr>
        <w:t xml:space="preserve">Ook in geval van bepaalde wijzigingen in de installatie (bv. wijzigingen in de oorsprong van warmte, meer of minder </w:t>
      </w:r>
      <w:proofErr w:type="spellStart"/>
      <w:r w:rsidRPr="005364F7">
        <w:rPr>
          <w:rFonts w:ascii="Arial" w:hAnsi="Arial" w:cs="Arial"/>
          <w:lang w:val="nl-BE"/>
        </w:rPr>
        <w:t>affakkeling</w:t>
      </w:r>
      <w:proofErr w:type="spellEnd"/>
      <w:r w:rsidRPr="005364F7">
        <w:rPr>
          <w:rFonts w:ascii="Arial" w:hAnsi="Arial" w:cs="Arial"/>
          <w:lang w:val="nl-BE"/>
        </w:rPr>
        <w:t xml:space="preserve"> van afgassen voor andere redenen dan veiligheidsredenen, …) zal de toewijzing aangepast</w:t>
      </w:r>
      <w:r w:rsidR="003D2408" w:rsidRPr="005364F7">
        <w:rPr>
          <w:rFonts w:ascii="Arial" w:hAnsi="Arial" w:cs="Arial"/>
          <w:lang w:val="nl-BE"/>
        </w:rPr>
        <w:t xml:space="preserve"> worden</w:t>
      </w:r>
      <w:r w:rsidRPr="005364F7">
        <w:rPr>
          <w:rFonts w:ascii="Arial" w:hAnsi="Arial" w:cs="Arial"/>
          <w:lang w:val="nl-BE"/>
        </w:rPr>
        <w:t>;</w:t>
      </w:r>
    </w:p>
    <w:p w14:paraId="65613E98" w14:textId="77580A00" w:rsidR="00D5046C" w:rsidRPr="005364F7" w:rsidRDefault="003D2408" w:rsidP="005364F7">
      <w:pPr>
        <w:jc w:val="both"/>
        <w:rPr>
          <w:rFonts w:ascii="Arial" w:hAnsi="Arial" w:cs="Arial"/>
          <w:lang w:val="nl-BE"/>
        </w:rPr>
      </w:pPr>
      <w:r w:rsidRPr="005364F7">
        <w:rPr>
          <w:rFonts w:ascii="Arial" w:hAnsi="Arial" w:cs="Arial"/>
          <w:lang w:val="nl-BE"/>
        </w:rPr>
        <w:t xml:space="preserve">Om bovenstaande regels te kunnen implementeren, zullen </w:t>
      </w:r>
      <w:r w:rsidR="00D5046C" w:rsidRPr="005364F7">
        <w:rPr>
          <w:rFonts w:ascii="Arial" w:hAnsi="Arial" w:cs="Arial"/>
          <w:lang w:val="nl-BE"/>
        </w:rPr>
        <w:t xml:space="preserve">bepaalde gegevens </w:t>
      </w:r>
      <w:r w:rsidR="00D5046C" w:rsidRPr="005364F7">
        <w:rPr>
          <w:rFonts w:ascii="Arial" w:hAnsi="Arial" w:cs="Arial"/>
        </w:rPr>
        <w:t>jaarlijks gemonitord,  gerapporteerd en geverifieerd</w:t>
      </w:r>
      <w:r w:rsidRPr="005364F7">
        <w:rPr>
          <w:rFonts w:ascii="Arial" w:hAnsi="Arial" w:cs="Arial"/>
          <w:lang w:val="nl-BE"/>
        </w:rPr>
        <w:t xml:space="preserve"> moeten worden</w:t>
      </w:r>
      <w:r w:rsidR="00D5046C" w:rsidRPr="005364F7">
        <w:rPr>
          <w:rFonts w:ascii="Arial" w:hAnsi="Arial" w:cs="Arial"/>
          <w:lang w:val="nl-BE"/>
        </w:rPr>
        <w:t>, waaronder het activiteitsniveau per sub-installatie, de warmtebalans, etc. ….</w:t>
      </w:r>
      <w:r w:rsidR="00D5046C" w:rsidRPr="005364F7">
        <w:rPr>
          <w:rFonts w:ascii="Arial" w:hAnsi="Arial" w:cs="Arial"/>
        </w:rPr>
        <w:t xml:space="preserve"> De monitoring </w:t>
      </w:r>
      <w:r w:rsidR="00D5046C" w:rsidRPr="005364F7">
        <w:rPr>
          <w:rFonts w:ascii="Arial" w:hAnsi="Arial" w:cs="Arial"/>
          <w:lang w:val="nl-BE"/>
        </w:rPr>
        <w:t xml:space="preserve">hiervoor </w:t>
      </w:r>
      <w:r w:rsidR="00D5046C" w:rsidRPr="005364F7">
        <w:rPr>
          <w:rFonts w:ascii="Arial" w:hAnsi="Arial" w:cs="Arial"/>
        </w:rPr>
        <w:t xml:space="preserve">moet gebeuren vanaf 1 januari 2019, de eerste rapportering </w:t>
      </w:r>
      <w:r w:rsidR="00B113E6" w:rsidRPr="005364F7">
        <w:rPr>
          <w:rFonts w:ascii="Arial" w:hAnsi="Arial" w:cs="Arial"/>
          <w:lang w:val="nl-BE"/>
        </w:rPr>
        <w:t xml:space="preserve">is voorzien voor </w:t>
      </w:r>
      <w:r w:rsidR="00D5046C" w:rsidRPr="005364F7">
        <w:rPr>
          <w:rFonts w:ascii="Arial" w:hAnsi="Arial" w:cs="Arial"/>
        </w:rPr>
        <w:t xml:space="preserve">begin 2021 </w:t>
      </w:r>
      <w:r w:rsidRPr="005364F7">
        <w:rPr>
          <w:rFonts w:ascii="Arial" w:hAnsi="Arial" w:cs="Arial"/>
          <w:lang w:val="nl-BE"/>
        </w:rPr>
        <w:t xml:space="preserve">(voor de jaren 2019 en 2020), </w:t>
      </w:r>
      <w:r w:rsidR="00D5046C" w:rsidRPr="005364F7">
        <w:rPr>
          <w:rFonts w:ascii="Arial" w:hAnsi="Arial" w:cs="Arial"/>
        </w:rPr>
        <w:t>en vervolgens elk jaar daarna</w:t>
      </w:r>
      <w:r w:rsidRPr="005364F7">
        <w:rPr>
          <w:rFonts w:ascii="Arial" w:hAnsi="Arial" w:cs="Arial"/>
          <w:lang w:val="nl-BE"/>
        </w:rPr>
        <w:t xml:space="preserve"> (in 2022 voor het jaar 2021, in 2023 voor het jaar 2022, enz. …</w:t>
      </w:r>
      <w:r w:rsidR="00D5046C" w:rsidRPr="005364F7">
        <w:rPr>
          <w:rFonts w:ascii="Arial" w:hAnsi="Arial" w:cs="Arial"/>
        </w:rPr>
        <w:t>).</w:t>
      </w:r>
      <w:r w:rsidR="00134A67" w:rsidRPr="005364F7">
        <w:rPr>
          <w:rFonts w:ascii="Arial" w:hAnsi="Arial" w:cs="Arial"/>
          <w:lang w:val="nl-BE"/>
        </w:rPr>
        <w:t xml:space="preserve"> De rapportering zal gebeuren via een </w:t>
      </w:r>
      <w:proofErr w:type="spellStart"/>
      <w:r w:rsidR="00134A67" w:rsidRPr="005364F7">
        <w:rPr>
          <w:rFonts w:ascii="Arial" w:hAnsi="Arial" w:cs="Arial"/>
          <w:i/>
          <w:lang w:val="nl-BE"/>
        </w:rPr>
        <w:t>Annual</w:t>
      </w:r>
      <w:proofErr w:type="spellEnd"/>
      <w:r w:rsidR="00134A67" w:rsidRPr="005364F7">
        <w:rPr>
          <w:rFonts w:ascii="Arial" w:hAnsi="Arial" w:cs="Arial"/>
          <w:i/>
          <w:lang w:val="nl-BE"/>
        </w:rPr>
        <w:t xml:space="preserve"> Activity Level</w:t>
      </w:r>
      <w:r w:rsidR="00134A67" w:rsidRPr="005364F7">
        <w:rPr>
          <w:rFonts w:ascii="Arial" w:hAnsi="Arial" w:cs="Arial"/>
          <w:lang w:val="nl-BE"/>
        </w:rPr>
        <w:t xml:space="preserve"> rapport (of AAL rapport).</w:t>
      </w:r>
    </w:p>
    <w:p w14:paraId="5EAB2F13" w14:textId="77777777" w:rsidR="00D5046C" w:rsidRPr="005364F7" w:rsidRDefault="00D5046C" w:rsidP="005364F7">
      <w:pPr>
        <w:jc w:val="both"/>
        <w:rPr>
          <w:rFonts w:ascii="Arial" w:hAnsi="Arial" w:cs="Arial"/>
          <w:lang w:val="nl-BE"/>
        </w:rPr>
      </w:pPr>
      <w:r w:rsidRPr="005364F7">
        <w:rPr>
          <w:rFonts w:ascii="Arial" w:hAnsi="Arial" w:cs="Arial"/>
        </w:rPr>
        <w:t>Het herwerkte</w:t>
      </w:r>
      <w:r w:rsidRPr="005364F7">
        <w:rPr>
          <w:rFonts w:ascii="Arial" w:hAnsi="Arial" w:cs="Arial"/>
          <w:lang w:val="nl-BE"/>
        </w:rPr>
        <w:t xml:space="preserve"> </w:t>
      </w:r>
      <w:r w:rsidRPr="005364F7">
        <w:rPr>
          <w:rFonts w:ascii="Arial" w:hAnsi="Arial" w:cs="Arial"/>
        </w:rPr>
        <w:t>MMP zal moeten beschrijven hoe de</w:t>
      </w:r>
      <w:r w:rsidRPr="005364F7">
        <w:rPr>
          <w:rFonts w:ascii="Arial" w:hAnsi="Arial" w:cs="Arial"/>
          <w:lang w:val="nl-BE"/>
        </w:rPr>
        <w:t>ze</w:t>
      </w:r>
      <w:r w:rsidRPr="005364F7">
        <w:rPr>
          <w:rFonts w:ascii="Arial" w:hAnsi="Arial" w:cs="Arial"/>
        </w:rPr>
        <w:t xml:space="preserve"> </w:t>
      </w:r>
      <w:r w:rsidRPr="005364F7">
        <w:rPr>
          <w:rFonts w:ascii="Arial" w:hAnsi="Arial" w:cs="Arial"/>
          <w:lang w:val="nl-BE"/>
        </w:rPr>
        <w:t>gegevens</w:t>
      </w:r>
      <w:r w:rsidRPr="005364F7">
        <w:rPr>
          <w:rFonts w:ascii="Arial" w:hAnsi="Arial" w:cs="Arial"/>
        </w:rPr>
        <w:t xml:space="preserve"> zullen gemonitord worden in de periode 2019-2024.</w:t>
      </w:r>
      <w:r w:rsidRPr="005364F7">
        <w:rPr>
          <w:rFonts w:ascii="Arial" w:hAnsi="Arial" w:cs="Arial"/>
          <w:lang w:val="nl-BE"/>
        </w:rPr>
        <w:t xml:space="preserve"> </w:t>
      </w:r>
    </w:p>
    <w:p w14:paraId="7F8F897D" w14:textId="51D14D81" w:rsidR="003D2408" w:rsidRPr="005364F7" w:rsidRDefault="003D2408" w:rsidP="005364F7">
      <w:pPr>
        <w:jc w:val="both"/>
        <w:rPr>
          <w:rFonts w:ascii="Arial" w:hAnsi="Arial" w:cs="Arial"/>
          <w:b/>
          <w:sz w:val="28"/>
          <w:szCs w:val="28"/>
          <w:u w:val="single"/>
          <w:lang w:val="nl-BE"/>
        </w:rPr>
      </w:pPr>
      <w:r w:rsidRPr="005364F7">
        <w:rPr>
          <w:rFonts w:ascii="Arial" w:hAnsi="Arial" w:cs="Arial"/>
          <w:b/>
          <w:sz w:val="28"/>
          <w:szCs w:val="28"/>
          <w:u w:val="single"/>
          <w:lang w:val="nl-BE"/>
        </w:rPr>
        <w:t>2.2 Berekening van de toewijzing voor installaties die na 1/1/2018 zijn opgestart</w:t>
      </w:r>
    </w:p>
    <w:p w14:paraId="6839CE48" w14:textId="5A4E0B04" w:rsidR="00D5046C" w:rsidRPr="005364F7" w:rsidRDefault="00D5046C" w:rsidP="005364F7">
      <w:pPr>
        <w:jc w:val="both"/>
        <w:rPr>
          <w:rFonts w:ascii="Arial" w:hAnsi="Arial" w:cs="Arial"/>
          <w:lang w:val="nl-BE"/>
        </w:rPr>
      </w:pPr>
      <w:r w:rsidRPr="005364F7">
        <w:rPr>
          <w:rFonts w:ascii="Arial" w:hAnsi="Arial" w:cs="Arial"/>
          <w:lang w:val="nl-BE"/>
        </w:rPr>
        <w:t xml:space="preserve">Installaties die na 1/1/2018 zijn opgestart hebben nog geen goedgekeurd MMP, en hebben nog geen activiteitsniveaus gerapporteerd. Hun toewijzing in 2021-2025 zal gebaseerd worden op het activiteitsniveau van het eerste volledige kalenderjaar waarin ze operationeel waren (dus kalenderjaar 2019 in geval van opstart in 2018, of kalenderjaar 2020 in geval van opstart in 2019). </w:t>
      </w:r>
      <w:r w:rsidR="003D2408" w:rsidRPr="005364F7">
        <w:rPr>
          <w:rFonts w:ascii="Arial" w:hAnsi="Arial" w:cs="Arial"/>
          <w:lang w:val="nl-BE"/>
        </w:rPr>
        <w:t xml:space="preserve">Voor het jaar van opstart zal er ook een toewijzing gegeven worden o.b.v. het activiteitsniveau in dat jaar. Voor installaties die opstarten tussen 2/1/2018 en 31/12/2020 moet daarom een eerste versie van het MMP ingediend worden tegen 31/12/2019, waarin wordt </w:t>
      </w:r>
      <w:r w:rsidRPr="005364F7">
        <w:rPr>
          <w:rFonts w:ascii="Arial" w:hAnsi="Arial" w:cs="Arial"/>
          <w:lang w:val="nl-BE"/>
        </w:rPr>
        <w:t>beschr</w:t>
      </w:r>
      <w:r w:rsidR="003D2408" w:rsidRPr="005364F7">
        <w:rPr>
          <w:rFonts w:ascii="Arial" w:hAnsi="Arial" w:cs="Arial"/>
          <w:lang w:val="nl-BE"/>
        </w:rPr>
        <w:t>even</w:t>
      </w:r>
      <w:r w:rsidRPr="005364F7">
        <w:rPr>
          <w:rFonts w:ascii="Arial" w:hAnsi="Arial" w:cs="Arial"/>
          <w:lang w:val="nl-BE"/>
        </w:rPr>
        <w:t xml:space="preserve"> hoe ze dit activiteitsniveau zullen meten en berekenen. </w:t>
      </w:r>
    </w:p>
    <w:p w14:paraId="7F096E51" w14:textId="2B010FA7" w:rsidR="003D2408" w:rsidRPr="005364F7" w:rsidRDefault="003D2408" w:rsidP="005364F7">
      <w:pPr>
        <w:jc w:val="both"/>
        <w:rPr>
          <w:rFonts w:ascii="Arial" w:hAnsi="Arial" w:cs="Arial"/>
          <w:lang w:val="nl-BE"/>
        </w:rPr>
      </w:pPr>
      <w:r w:rsidRPr="005364F7">
        <w:rPr>
          <w:rFonts w:ascii="Arial" w:hAnsi="Arial" w:cs="Arial"/>
          <w:lang w:val="nl-BE"/>
        </w:rPr>
        <w:t xml:space="preserve">Installaties die pas in 2021 zullen opstarten, moeten voorlopig nog geen MMP opstellen en indienen. </w:t>
      </w:r>
    </w:p>
    <w:p w14:paraId="51919D58" w14:textId="17D2B344" w:rsidR="003D2408" w:rsidRPr="005364F7" w:rsidRDefault="003D2408" w:rsidP="005364F7">
      <w:pPr>
        <w:jc w:val="both"/>
        <w:rPr>
          <w:rFonts w:ascii="Arial" w:hAnsi="Arial" w:cs="Arial"/>
          <w:b/>
          <w:sz w:val="28"/>
          <w:szCs w:val="28"/>
          <w:u w:val="single"/>
          <w:lang w:val="nl-BE"/>
        </w:rPr>
      </w:pPr>
      <w:r w:rsidRPr="005364F7">
        <w:rPr>
          <w:rFonts w:ascii="Arial" w:hAnsi="Arial" w:cs="Arial"/>
          <w:b/>
          <w:sz w:val="28"/>
          <w:szCs w:val="28"/>
          <w:u w:val="single"/>
          <w:lang w:val="nl-BE"/>
        </w:rPr>
        <w:t>2.3 Datacollectie voor de referentieperiode 2019-2023</w:t>
      </w:r>
    </w:p>
    <w:p w14:paraId="29E2FD97" w14:textId="77777777" w:rsidR="003D2408" w:rsidRPr="005364F7" w:rsidRDefault="00D5046C" w:rsidP="005364F7">
      <w:pPr>
        <w:jc w:val="both"/>
        <w:rPr>
          <w:rFonts w:ascii="Arial" w:hAnsi="Arial" w:cs="Arial"/>
        </w:rPr>
      </w:pPr>
      <w:r w:rsidRPr="005364F7">
        <w:rPr>
          <w:rFonts w:ascii="Arial" w:hAnsi="Arial" w:cs="Arial"/>
          <w:lang w:val="nl-BE"/>
        </w:rPr>
        <w:t>H</w:t>
      </w:r>
      <w:r w:rsidRPr="005364F7">
        <w:rPr>
          <w:rFonts w:ascii="Arial" w:hAnsi="Arial" w:cs="Arial"/>
        </w:rPr>
        <w:t xml:space="preserve">et </w:t>
      </w:r>
      <w:r w:rsidRPr="005364F7">
        <w:rPr>
          <w:rFonts w:ascii="Arial" w:hAnsi="Arial" w:cs="Arial"/>
          <w:lang w:val="nl-BE"/>
        </w:rPr>
        <w:t>(</w:t>
      </w:r>
      <w:r w:rsidRPr="005364F7">
        <w:rPr>
          <w:rFonts w:ascii="Arial" w:hAnsi="Arial" w:cs="Arial"/>
        </w:rPr>
        <w:t>herwerkte</w:t>
      </w:r>
      <w:r w:rsidRPr="005364F7">
        <w:rPr>
          <w:rFonts w:ascii="Arial" w:hAnsi="Arial" w:cs="Arial"/>
          <w:lang w:val="nl-BE"/>
        </w:rPr>
        <w:t>)</w:t>
      </w:r>
      <w:r w:rsidRPr="005364F7">
        <w:rPr>
          <w:rFonts w:ascii="Arial" w:hAnsi="Arial" w:cs="Arial"/>
        </w:rPr>
        <w:t xml:space="preserve"> MMP </w:t>
      </w:r>
      <w:r w:rsidRPr="005364F7">
        <w:rPr>
          <w:rFonts w:ascii="Arial" w:hAnsi="Arial" w:cs="Arial"/>
          <w:lang w:val="nl-BE"/>
        </w:rPr>
        <w:t xml:space="preserve">dat tegen 31/12/2019 moet ingediend worden moet ten slotte </w:t>
      </w:r>
      <w:r w:rsidRPr="005364F7">
        <w:rPr>
          <w:rFonts w:ascii="Arial" w:hAnsi="Arial" w:cs="Arial"/>
        </w:rPr>
        <w:t xml:space="preserve">de methodiek beschrijven voor de bepaling van de referentiegegevens voor de periode 2019-2023 (die zullen worden gebruikt voor het bepalen van de toewijzingen 2026-2030). </w:t>
      </w:r>
    </w:p>
    <w:p w14:paraId="0CAB8CF5" w14:textId="0933F8F8" w:rsidR="00D5046C" w:rsidRPr="005364F7" w:rsidRDefault="00D5046C" w:rsidP="005364F7">
      <w:pPr>
        <w:jc w:val="both"/>
        <w:rPr>
          <w:rFonts w:ascii="Arial" w:hAnsi="Arial" w:cs="Arial"/>
          <w:lang w:val="nl-BE"/>
        </w:rPr>
      </w:pPr>
      <w:r w:rsidRPr="005364F7">
        <w:rPr>
          <w:rFonts w:ascii="Arial" w:hAnsi="Arial" w:cs="Arial"/>
        </w:rPr>
        <w:t>Bijgevolg moeten dus alle secties van het MMP nagekeken en waar nodig herwerkt worden</w:t>
      </w:r>
      <w:r w:rsidRPr="005364F7">
        <w:rPr>
          <w:rFonts w:ascii="Arial" w:hAnsi="Arial" w:cs="Arial"/>
          <w:lang w:val="nl-BE"/>
        </w:rPr>
        <w:t xml:space="preserve"> (of voor het eerst ingevuld, in geval er nog geen goedgekeurd MMP is)</w:t>
      </w:r>
      <w:r w:rsidRPr="005364F7">
        <w:rPr>
          <w:rFonts w:ascii="Arial" w:hAnsi="Arial" w:cs="Arial"/>
        </w:rPr>
        <w:t xml:space="preserve">, ook voor die parameters die relevant zijn voor de bepaling van de toegewezen emissies per sub-installatie.  </w:t>
      </w:r>
    </w:p>
    <w:p w14:paraId="2C4B3C97" w14:textId="77777777" w:rsidR="00D5046C" w:rsidRPr="005364F7" w:rsidRDefault="00D5046C" w:rsidP="005364F7">
      <w:pPr>
        <w:jc w:val="both"/>
        <w:rPr>
          <w:rFonts w:ascii="Arial" w:hAnsi="Arial" w:cs="Arial"/>
        </w:rPr>
      </w:pPr>
      <w:r w:rsidRPr="005364F7">
        <w:rPr>
          <w:rFonts w:ascii="Arial" w:hAnsi="Arial" w:cs="Arial"/>
        </w:rPr>
        <w:lastRenderedPageBreak/>
        <w:t>Indien nodig moet het MMP de komende jaren verder geactualiseerd worden in functie van wijzigingen aangebracht aan de installatie, of wanneer een verificateur aanbevelingen hiertoe heeft geformuleerd in het verificatieverslag (zie ook Artikel 9 van de FAR verordening).</w:t>
      </w:r>
    </w:p>
    <w:p w14:paraId="0A7A4103" w14:textId="77777777" w:rsidR="00D5046C" w:rsidRPr="005364F7" w:rsidRDefault="00D5046C" w:rsidP="005364F7">
      <w:pPr>
        <w:autoSpaceDE w:val="0"/>
        <w:autoSpaceDN w:val="0"/>
        <w:adjustRightInd w:val="0"/>
        <w:spacing w:after="0" w:line="240" w:lineRule="auto"/>
        <w:jc w:val="both"/>
        <w:rPr>
          <w:rFonts w:ascii="Arial" w:hAnsi="Arial" w:cs="Arial"/>
          <w:color w:val="1C1A15"/>
        </w:rPr>
      </w:pPr>
    </w:p>
    <w:p w14:paraId="71DE061F" w14:textId="6D9DB9B0" w:rsidR="00B1207E" w:rsidRPr="005364F7" w:rsidRDefault="00B1207E" w:rsidP="005364F7">
      <w:pPr>
        <w:autoSpaceDE w:val="0"/>
        <w:autoSpaceDN w:val="0"/>
        <w:adjustRightInd w:val="0"/>
        <w:spacing w:after="0" w:line="240" w:lineRule="auto"/>
        <w:jc w:val="both"/>
        <w:rPr>
          <w:rFonts w:ascii="Arial" w:hAnsi="Arial" w:cs="Arial"/>
          <w:color w:val="1C1A15"/>
          <w:lang w:val="nl-BE"/>
        </w:rPr>
      </w:pPr>
    </w:p>
    <w:p w14:paraId="5A4A802F" w14:textId="63D96273" w:rsidR="00B113E6" w:rsidRPr="005364F7" w:rsidRDefault="00B113E6" w:rsidP="005364F7">
      <w:pPr>
        <w:pStyle w:val="Lijstalinea"/>
        <w:numPr>
          <w:ilvl w:val="0"/>
          <w:numId w:val="23"/>
        </w:numPr>
        <w:autoSpaceDE w:val="0"/>
        <w:autoSpaceDN w:val="0"/>
        <w:adjustRightInd w:val="0"/>
        <w:spacing w:after="0" w:line="240" w:lineRule="auto"/>
        <w:jc w:val="both"/>
        <w:rPr>
          <w:rFonts w:ascii="Arial" w:hAnsi="Arial" w:cs="Arial"/>
          <w:b/>
          <w:color w:val="1C1A15"/>
          <w:sz w:val="32"/>
          <w:szCs w:val="32"/>
          <w:u w:val="single"/>
          <w:lang w:val="nl-BE"/>
        </w:rPr>
      </w:pPr>
      <w:r w:rsidRPr="005364F7">
        <w:rPr>
          <w:rFonts w:ascii="Arial" w:hAnsi="Arial" w:cs="Arial"/>
          <w:b/>
          <w:color w:val="1C1A15"/>
          <w:sz w:val="32"/>
          <w:szCs w:val="32"/>
          <w:u w:val="single"/>
          <w:lang w:val="nl-BE"/>
        </w:rPr>
        <w:t>Wat moet er herwerkt worden t.o.v. het reeds goedgekeurde MMP?</w:t>
      </w:r>
    </w:p>
    <w:p w14:paraId="436E4D47" w14:textId="77777777" w:rsidR="00B113E6" w:rsidRPr="005364F7" w:rsidRDefault="00B113E6" w:rsidP="005364F7">
      <w:pPr>
        <w:autoSpaceDE w:val="0"/>
        <w:autoSpaceDN w:val="0"/>
        <w:adjustRightInd w:val="0"/>
        <w:spacing w:after="0" w:line="240" w:lineRule="auto"/>
        <w:jc w:val="both"/>
        <w:rPr>
          <w:rFonts w:ascii="Arial" w:hAnsi="Arial" w:cs="Arial"/>
          <w:lang w:val="nl-BE"/>
        </w:rPr>
      </w:pPr>
    </w:p>
    <w:p w14:paraId="2EA3C270" w14:textId="77261260" w:rsidR="00B113E6" w:rsidRPr="005364F7" w:rsidRDefault="00B113E6" w:rsidP="005364F7">
      <w:pPr>
        <w:autoSpaceDE w:val="0"/>
        <w:autoSpaceDN w:val="0"/>
        <w:adjustRightInd w:val="0"/>
        <w:spacing w:after="0" w:line="240" w:lineRule="auto"/>
        <w:jc w:val="both"/>
        <w:rPr>
          <w:rFonts w:ascii="Arial" w:hAnsi="Arial" w:cs="Arial"/>
          <w:lang w:val="nl-BE"/>
        </w:rPr>
      </w:pPr>
      <w:r w:rsidRPr="005364F7">
        <w:rPr>
          <w:rFonts w:ascii="Arial" w:hAnsi="Arial" w:cs="Arial"/>
          <w:lang w:val="nl-BE"/>
        </w:rPr>
        <w:t xml:space="preserve">Ten eerste is er een fundamenteel verschil in de aard van het reeds goedgekeurde en het te herwerken MMP. Het reeds goedgekeurde MMP beschrijft immers hoe historische gegevens (uit de periode 2014-2018) </w:t>
      </w:r>
      <w:r w:rsidR="00C4501B">
        <w:rPr>
          <w:rFonts w:ascii="Arial" w:hAnsi="Arial" w:cs="Arial"/>
          <w:lang w:val="nl-BE"/>
        </w:rPr>
        <w:t xml:space="preserve">werden </w:t>
      </w:r>
      <w:r w:rsidRPr="005364F7">
        <w:rPr>
          <w:rFonts w:ascii="Arial" w:hAnsi="Arial" w:cs="Arial"/>
          <w:lang w:val="nl-BE"/>
        </w:rPr>
        <w:t xml:space="preserve">verzameld (in GD5 wordt daarom gesproken over een </w:t>
      </w:r>
      <w:r w:rsidRPr="005364F7">
        <w:rPr>
          <w:rFonts w:ascii="Arial" w:hAnsi="Arial" w:cs="Arial"/>
          <w:i/>
          <w:lang w:val="nl-BE"/>
        </w:rPr>
        <w:t>‘backward-</w:t>
      </w:r>
      <w:proofErr w:type="spellStart"/>
      <w:r w:rsidRPr="005364F7">
        <w:rPr>
          <w:rFonts w:ascii="Arial" w:hAnsi="Arial" w:cs="Arial"/>
          <w:i/>
          <w:lang w:val="nl-BE"/>
        </w:rPr>
        <w:t>looking</w:t>
      </w:r>
      <w:proofErr w:type="spellEnd"/>
      <w:r w:rsidRPr="005364F7">
        <w:rPr>
          <w:rFonts w:ascii="Arial" w:hAnsi="Arial" w:cs="Arial"/>
          <w:i/>
          <w:lang w:val="nl-BE"/>
        </w:rPr>
        <w:t xml:space="preserve"> MMP’</w:t>
      </w:r>
      <w:r w:rsidRPr="005364F7">
        <w:rPr>
          <w:rFonts w:ascii="Arial" w:hAnsi="Arial" w:cs="Arial"/>
          <w:lang w:val="nl-BE"/>
        </w:rPr>
        <w:t xml:space="preserve">). De beschikbare gegevensbronnen voor deze periode staan daarbij vast, en het is niet mogelijk voor exploitanten om bijkomende gegevensbronnen te voorzien. Dit is fundamenteel anders voor het herwerkte MMP dat beschrijft hoe toekomstige gegevens zullen gemonitord en verwerkt worden (in GD5 wordt daarom gesproken over een </w:t>
      </w:r>
      <w:r w:rsidRPr="005364F7">
        <w:rPr>
          <w:rFonts w:ascii="Arial" w:hAnsi="Arial" w:cs="Arial"/>
          <w:i/>
          <w:lang w:val="nl-BE"/>
        </w:rPr>
        <w:t>‘forward-</w:t>
      </w:r>
      <w:proofErr w:type="spellStart"/>
      <w:r w:rsidRPr="005364F7">
        <w:rPr>
          <w:rFonts w:ascii="Arial" w:hAnsi="Arial" w:cs="Arial"/>
          <w:i/>
          <w:lang w:val="nl-BE"/>
        </w:rPr>
        <w:t>looking</w:t>
      </w:r>
      <w:proofErr w:type="spellEnd"/>
      <w:r w:rsidRPr="005364F7">
        <w:rPr>
          <w:rFonts w:ascii="Arial" w:hAnsi="Arial" w:cs="Arial"/>
          <w:i/>
          <w:lang w:val="nl-BE"/>
        </w:rPr>
        <w:t xml:space="preserve"> MMP’</w:t>
      </w:r>
      <w:r w:rsidRPr="005364F7">
        <w:rPr>
          <w:rFonts w:ascii="Arial" w:hAnsi="Arial" w:cs="Arial"/>
          <w:lang w:val="nl-BE"/>
        </w:rPr>
        <w:t xml:space="preserve">). Voor toekomstige gegevens kunnen er </w:t>
      </w:r>
      <w:r w:rsidR="00C4501B">
        <w:rPr>
          <w:rFonts w:ascii="Arial" w:hAnsi="Arial" w:cs="Arial"/>
          <w:lang w:val="nl-BE"/>
        </w:rPr>
        <w:t xml:space="preserve">immers </w:t>
      </w:r>
      <w:r w:rsidRPr="005364F7">
        <w:rPr>
          <w:rFonts w:ascii="Arial" w:hAnsi="Arial" w:cs="Arial"/>
          <w:lang w:val="nl-BE"/>
        </w:rPr>
        <w:t xml:space="preserve">wel bijkomende gegevensbronnen voorzien worden (bv. installatie van nieuwe tellers en meters, nieuwe </w:t>
      </w:r>
      <w:proofErr w:type="spellStart"/>
      <w:r w:rsidRPr="005364F7">
        <w:rPr>
          <w:rFonts w:ascii="Arial" w:hAnsi="Arial" w:cs="Arial"/>
          <w:lang w:val="nl-BE"/>
        </w:rPr>
        <w:t>staalnames</w:t>
      </w:r>
      <w:proofErr w:type="spellEnd"/>
      <w:r w:rsidRPr="005364F7">
        <w:rPr>
          <w:rFonts w:ascii="Arial" w:hAnsi="Arial" w:cs="Arial"/>
          <w:lang w:val="nl-BE"/>
        </w:rPr>
        <w:t xml:space="preserve"> en labo-analyses, etc. …).  Exploitanten moeten dus voor hun herwerkt MMP nagaan waar er bijkomende gegevensbronnen nodig en mogelijk zijn, rekening houdend met de verplichte hiërarchie in de FAR en eventuele technische onhaalbaarheid/onredelijke kosten (zie meer uitleg in punt </w:t>
      </w:r>
      <w:r w:rsidR="00C4501B">
        <w:rPr>
          <w:rFonts w:ascii="Arial" w:hAnsi="Arial" w:cs="Arial"/>
          <w:lang w:val="nl-BE"/>
        </w:rPr>
        <w:t>4</w:t>
      </w:r>
      <w:r w:rsidRPr="005364F7">
        <w:rPr>
          <w:rFonts w:ascii="Arial" w:hAnsi="Arial" w:cs="Arial"/>
          <w:lang w:val="nl-BE"/>
        </w:rPr>
        <w:t xml:space="preserve"> hieronder). </w:t>
      </w:r>
    </w:p>
    <w:p w14:paraId="75B6E0B5" w14:textId="77777777" w:rsidR="00B113E6" w:rsidRPr="005364F7" w:rsidRDefault="00B113E6" w:rsidP="005364F7">
      <w:pPr>
        <w:jc w:val="both"/>
        <w:rPr>
          <w:rFonts w:ascii="Arial" w:hAnsi="Arial" w:cs="Arial"/>
          <w:lang w:val="nl-BE"/>
        </w:rPr>
      </w:pPr>
    </w:p>
    <w:p w14:paraId="5B671F4C" w14:textId="1902DF8A" w:rsidR="00B113E6" w:rsidRPr="005364F7" w:rsidRDefault="00B113E6" w:rsidP="005364F7">
      <w:pPr>
        <w:jc w:val="both"/>
        <w:rPr>
          <w:rFonts w:ascii="Arial" w:hAnsi="Arial" w:cs="Arial"/>
          <w:lang w:val="nl-BE"/>
        </w:rPr>
      </w:pPr>
      <w:r w:rsidRPr="005364F7">
        <w:rPr>
          <w:rFonts w:ascii="Arial" w:hAnsi="Arial" w:cs="Arial"/>
          <w:lang w:val="nl-BE"/>
        </w:rPr>
        <w:t xml:space="preserve">Verder heeft het VBBV voor de reeds goedgekeurde </w:t>
      </w:r>
      <w:proofErr w:type="spellStart"/>
      <w:r w:rsidRPr="005364F7">
        <w:rPr>
          <w:rFonts w:ascii="Arial" w:hAnsi="Arial" w:cs="Arial"/>
          <w:lang w:val="nl-BE"/>
        </w:rPr>
        <w:t>MMP’s</w:t>
      </w:r>
      <w:proofErr w:type="spellEnd"/>
      <w:r w:rsidRPr="005364F7">
        <w:rPr>
          <w:rFonts w:ascii="Arial" w:hAnsi="Arial" w:cs="Arial"/>
          <w:lang w:val="nl-BE"/>
        </w:rPr>
        <w:t xml:space="preserve"> van verschillende BKG-installaties onvolledige of onvoldoende uitgewerkte versies ontvangen. Dit was wellicht te wijten aan het feit dat het over nieuwe en complexe regelgeving gaat, de verschillende toelichtingen en richtsnoeren nog tot zeer laat in het proces zijn aangepast, en daardoor de tijdsdruk erg hoog lag. Gezien deze omstandigheden buiten de controle van de exploitanten zelf lagen, heeft het Departement Omgeving – na advies door VBBV – dergelijke onvolledige of onvoldoende uitgewerkte versies alsnog aanvaard en goedgekeurd. Waar nodig heeft het VBBV de BKG-installaties bijgestaan om het MMP tot op een minimaal aanvaardbaar niveau te krijgen voor de indiening van het daaropvolgend baseline rapport. Deze dienstverlening behoort echter niet tot het takenpakket van het VBBV. Nu de datacollectie voor 2014-2018 achter de rug is, worden exploitanten </w:t>
      </w:r>
      <w:r w:rsidRPr="005364F7">
        <w:rPr>
          <w:rFonts w:ascii="Arial" w:hAnsi="Arial" w:cs="Arial"/>
          <w:lang w:val="nl-BE"/>
        </w:rPr>
        <w:t>gevraag</w:t>
      </w:r>
      <w:r w:rsidR="005364F7">
        <w:rPr>
          <w:rFonts w:ascii="Arial" w:hAnsi="Arial" w:cs="Arial"/>
          <w:lang w:val="nl-BE"/>
        </w:rPr>
        <w:t>d</w:t>
      </w:r>
      <w:r w:rsidRPr="005364F7">
        <w:rPr>
          <w:rFonts w:ascii="Arial" w:hAnsi="Arial" w:cs="Arial"/>
          <w:lang w:val="nl-BE"/>
        </w:rPr>
        <w:t xml:space="preserve"> om hun </w:t>
      </w:r>
      <w:r w:rsidRPr="005364F7">
        <w:rPr>
          <w:rFonts w:ascii="Arial" w:hAnsi="Arial" w:cs="Arial"/>
          <w:lang w:val="nl-BE"/>
        </w:rPr>
        <w:t xml:space="preserve">MMP tegen eind december verder aan te vullen en waar nodig te verbeteren (zie meer uitleg in punt </w:t>
      </w:r>
      <w:r w:rsidR="00096EDD">
        <w:rPr>
          <w:rFonts w:ascii="Arial" w:hAnsi="Arial" w:cs="Arial"/>
          <w:lang w:val="nl-BE"/>
        </w:rPr>
        <w:t>5</w:t>
      </w:r>
      <w:r w:rsidRPr="005364F7">
        <w:rPr>
          <w:rFonts w:ascii="Arial" w:hAnsi="Arial" w:cs="Arial"/>
          <w:lang w:val="nl-BE"/>
        </w:rPr>
        <w:t xml:space="preserve"> hieronder).</w:t>
      </w:r>
    </w:p>
    <w:p w14:paraId="56E97A77" w14:textId="560C05DD" w:rsidR="00B1207E" w:rsidRPr="005364F7" w:rsidRDefault="00B1207E" w:rsidP="005364F7">
      <w:pPr>
        <w:autoSpaceDE w:val="0"/>
        <w:autoSpaceDN w:val="0"/>
        <w:adjustRightInd w:val="0"/>
        <w:spacing w:after="0" w:line="240" w:lineRule="auto"/>
        <w:jc w:val="both"/>
        <w:rPr>
          <w:rFonts w:ascii="Arial" w:hAnsi="Arial" w:cs="Arial"/>
          <w:color w:val="1C1A15"/>
          <w:lang w:val="nl-BE"/>
        </w:rPr>
      </w:pPr>
    </w:p>
    <w:p w14:paraId="75119C9E" w14:textId="06F67155" w:rsidR="00C64C29" w:rsidRPr="005364F7" w:rsidRDefault="00C64C29" w:rsidP="005364F7">
      <w:pPr>
        <w:pStyle w:val="Lijstalinea"/>
        <w:numPr>
          <w:ilvl w:val="0"/>
          <w:numId w:val="23"/>
        </w:numPr>
        <w:jc w:val="both"/>
        <w:rPr>
          <w:rFonts w:ascii="Arial" w:hAnsi="Arial" w:cs="Arial"/>
          <w:b/>
          <w:sz w:val="32"/>
          <w:szCs w:val="32"/>
          <w:u w:val="single"/>
          <w:lang w:val="nl-BE"/>
        </w:rPr>
      </w:pPr>
      <w:r w:rsidRPr="005364F7">
        <w:rPr>
          <w:rFonts w:ascii="Arial" w:hAnsi="Arial" w:cs="Arial"/>
          <w:b/>
          <w:sz w:val="32"/>
          <w:szCs w:val="32"/>
          <w:u w:val="single"/>
          <w:lang w:val="nl-BE"/>
        </w:rPr>
        <w:t>Verbetering gegevensbronnen</w:t>
      </w:r>
      <w:r w:rsidR="00B113E6" w:rsidRPr="005364F7">
        <w:rPr>
          <w:rFonts w:ascii="Arial" w:hAnsi="Arial" w:cs="Arial"/>
          <w:b/>
          <w:sz w:val="32"/>
          <w:szCs w:val="32"/>
          <w:u w:val="single"/>
          <w:lang w:val="nl-BE"/>
        </w:rPr>
        <w:t xml:space="preserve"> en -methodieken</w:t>
      </w:r>
    </w:p>
    <w:p w14:paraId="0DAA019C" w14:textId="77777777" w:rsidR="00C64C29" w:rsidRPr="005364F7" w:rsidRDefault="00C64C29" w:rsidP="005364F7">
      <w:pPr>
        <w:autoSpaceDE w:val="0"/>
        <w:autoSpaceDN w:val="0"/>
        <w:adjustRightInd w:val="0"/>
        <w:spacing w:after="0" w:line="240" w:lineRule="auto"/>
        <w:jc w:val="both"/>
        <w:rPr>
          <w:rFonts w:ascii="Arial" w:hAnsi="Arial" w:cs="Arial"/>
          <w:b/>
          <w:color w:val="1C1A15"/>
          <w:u w:val="single"/>
          <w:lang w:val="nl-BE"/>
        </w:rPr>
      </w:pPr>
    </w:p>
    <w:p w14:paraId="51A5F4F2" w14:textId="48A9E115" w:rsidR="008D04CC" w:rsidRPr="005364F7" w:rsidRDefault="00B113E6" w:rsidP="005364F7">
      <w:pPr>
        <w:autoSpaceDE w:val="0"/>
        <w:autoSpaceDN w:val="0"/>
        <w:adjustRightInd w:val="0"/>
        <w:spacing w:after="0" w:line="240" w:lineRule="auto"/>
        <w:ind w:left="426" w:hanging="426"/>
        <w:jc w:val="both"/>
        <w:rPr>
          <w:rFonts w:ascii="Arial" w:hAnsi="Arial" w:cs="Arial"/>
          <w:b/>
          <w:color w:val="1C1A15"/>
          <w:sz w:val="24"/>
          <w:szCs w:val="24"/>
          <w:u w:val="single"/>
          <w:lang w:val="nl-BE"/>
        </w:rPr>
      </w:pPr>
      <w:r w:rsidRPr="005364F7">
        <w:rPr>
          <w:rFonts w:ascii="Arial" w:hAnsi="Arial" w:cs="Arial"/>
          <w:b/>
          <w:color w:val="1C1A15"/>
          <w:sz w:val="24"/>
          <w:szCs w:val="24"/>
          <w:u w:val="single"/>
          <w:lang w:val="nl-BE"/>
        </w:rPr>
        <w:t>4</w:t>
      </w:r>
      <w:r w:rsidR="00572359" w:rsidRPr="005364F7">
        <w:rPr>
          <w:rFonts w:ascii="Arial" w:hAnsi="Arial" w:cs="Arial"/>
          <w:b/>
          <w:color w:val="1C1A15"/>
          <w:sz w:val="24"/>
          <w:szCs w:val="24"/>
          <w:u w:val="single"/>
          <w:lang w:val="nl-BE"/>
        </w:rPr>
        <w:t>.1</w:t>
      </w:r>
      <w:r w:rsidR="00AB74E4" w:rsidRPr="005364F7">
        <w:rPr>
          <w:rFonts w:ascii="Arial" w:hAnsi="Arial" w:cs="Arial"/>
          <w:b/>
          <w:color w:val="1C1A15"/>
          <w:sz w:val="24"/>
          <w:szCs w:val="24"/>
          <w:u w:val="single"/>
          <w:lang w:val="nl-BE"/>
        </w:rPr>
        <w:t xml:space="preserve"> </w:t>
      </w:r>
      <w:r w:rsidR="00B53355" w:rsidRPr="005364F7">
        <w:rPr>
          <w:rFonts w:ascii="Arial" w:hAnsi="Arial" w:cs="Arial"/>
          <w:b/>
          <w:color w:val="1C1A15"/>
          <w:sz w:val="24"/>
          <w:szCs w:val="24"/>
          <w:u w:val="single"/>
          <w:lang w:val="nl-BE"/>
        </w:rPr>
        <w:t>Waaraan moeten meti</w:t>
      </w:r>
      <w:r w:rsidR="00535873" w:rsidRPr="005364F7">
        <w:rPr>
          <w:rFonts w:ascii="Arial" w:hAnsi="Arial" w:cs="Arial"/>
          <w:b/>
          <w:color w:val="1C1A15"/>
          <w:sz w:val="24"/>
          <w:szCs w:val="24"/>
          <w:u w:val="single"/>
          <w:lang w:val="nl-BE"/>
        </w:rPr>
        <w:t>ngen van gegevens voldoen en mag</w:t>
      </w:r>
      <w:r w:rsidR="00B53355" w:rsidRPr="005364F7">
        <w:rPr>
          <w:rFonts w:ascii="Arial" w:hAnsi="Arial" w:cs="Arial"/>
          <w:b/>
          <w:color w:val="1C1A15"/>
          <w:sz w:val="24"/>
          <w:szCs w:val="24"/>
          <w:u w:val="single"/>
          <w:lang w:val="nl-BE"/>
        </w:rPr>
        <w:t xml:space="preserve"> men hiervan afwijken?</w:t>
      </w:r>
    </w:p>
    <w:p w14:paraId="488A7E1C" w14:textId="77777777" w:rsidR="00065231" w:rsidRPr="005364F7" w:rsidRDefault="00065231" w:rsidP="005364F7">
      <w:pPr>
        <w:autoSpaceDE w:val="0"/>
        <w:autoSpaceDN w:val="0"/>
        <w:adjustRightInd w:val="0"/>
        <w:spacing w:after="0" w:line="240" w:lineRule="auto"/>
        <w:jc w:val="both"/>
        <w:rPr>
          <w:rFonts w:ascii="Arial" w:hAnsi="Arial" w:cs="Arial"/>
          <w:color w:val="1C1A15"/>
          <w:lang w:val="nl-BE"/>
        </w:rPr>
      </w:pPr>
    </w:p>
    <w:p w14:paraId="0414CFC4" w14:textId="54571347" w:rsidR="00065231" w:rsidRPr="005364F7" w:rsidRDefault="00B113E6"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Artikel 7 van de Europese Free </w:t>
      </w:r>
      <w:proofErr w:type="spellStart"/>
      <w:r w:rsidRPr="005364F7">
        <w:rPr>
          <w:rFonts w:ascii="Arial" w:hAnsi="Arial" w:cs="Arial"/>
          <w:color w:val="1C1A15"/>
          <w:lang w:val="nl-BE"/>
        </w:rPr>
        <w:t>Allocation</w:t>
      </w:r>
      <w:proofErr w:type="spellEnd"/>
      <w:r w:rsidRPr="005364F7">
        <w:rPr>
          <w:rFonts w:ascii="Arial" w:hAnsi="Arial" w:cs="Arial"/>
          <w:color w:val="1C1A15"/>
          <w:lang w:val="nl-BE"/>
        </w:rPr>
        <w:t xml:space="preserve"> </w:t>
      </w:r>
      <w:proofErr w:type="spellStart"/>
      <w:r w:rsidRPr="005364F7">
        <w:rPr>
          <w:rFonts w:ascii="Arial" w:hAnsi="Arial" w:cs="Arial"/>
          <w:color w:val="1C1A15"/>
          <w:lang w:val="nl-BE"/>
        </w:rPr>
        <w:t>Regulation</w:t>
      </w:r>
      <w:proofErr w:type="spellEnd"/>
      <w:r w:rsidRPr="005364F7">
        <w:rPr>
          <w:rFonts w:ascii="Arial" w:hAnsi="Arial" w:cs="Arial"/>
          <w:color w:val="1C1A15"/>
          <w:lang w:val="nl-BE"/>
        </w:rPr>
        <w:t xml:space="preserve"> (of FAR) legt de beginselen vast voor de monitoring van gegevens voor de bepaling van de toewijzing onder het EU ETS. </w:t>
      </w:r>
      <w:r w:rsidR="008D04CC" w:rsidRPr="005364F7">
        <w:rPr>
          <w:rFonts w:ascii="Arial" w:hAnsi="Arial" w:cs="Arial"/>
          <w:color w:val="1C1A15"/>
          <w:lang w:val="nl-BE"/>
        </w:rPr>
        <w:t>De standaardregel is</w:t>
      </w:r>
      <w:r w:rsidR="00B53355" w:rsidRPr="005364F7">
        <w:rPr>
          <w:rFonts w:ascii="Arial" w:hAnsi="Arial" w:cs="Arial"/>
          <w:color w:val="1C1A15"/>
          <w:lang w:val="nl-BE"/>
        </w:rPr>
        <w:t xml:space="preserve"> </w:t>
      </w:r>
      <w:r w:rsidR="008D04CC" w:rsidRPr="005364F7">
        <w:rPr>
          <w:rFonts w:ascii="Arial" w:hAnsi="Arial" w:cs="Arial"/>
          <w:color w:val="1C1A15"/>
          <w:lang w:val="nl-BE"/>
        </w:rPr>
        <w:t xml:space="preserve">dat voor elke dataset </w:t>
      </w:r>
      <w:r w:rsidR="008D04CC" w:rsidRPr="005364F7">
        <w:rPr>
          <w:rFonts w:ascii="Arial" w:hAnsi="Arial" w:cs="Arial"/>
          <w:color w:val="1C1A15"/>
          <w:u w:val="single"/>
          <w:lang w:val="nl-BE"/>
        </w:rPr>
        <w:t>de meest nauwkeurige methodiek</w:t>
      </w:r>
      <w:r w:rsidR="008D04CC" w:rsidRPr="005364F7">
        <w:rPr>
          <w:rFonts w:ascii="Arial" w:hAnsi="Arial" w:cs="Arial"/>
          <w:color w:val="1C1A15"/>
          <w:lang w:val="nl-BE"/>
        </w:rPr>
        <w:t xml:space="preserve"> </w:t>
      </w:r>
      <w:r w:rsidR="004B3A5D" w:rsidRPr="005364F7">
        <w:rPr>
          <w:rFonts w:ascii="Arial" w:hAnsi="Arial" w:cs="Arial"/>
          <w:color w:val="1C1A15"/>
          <w:lang w:val="nl-BE"/>
        </w:rPr>
        <w:t xml:space="preserve">moet gebruikt  </w:t>
      </w:r>
      <w:r w:rsidR="008D04CC" w:rsidRPr="005364F7">
        <w:rPr>
          <w:rFonts w:ascii="Arial" w:hAnsi="Arial" w:cs="Arial"/>
          <w:color w:val="1C1A15"/>
          <w:lang w:val="nl-BE"/>
        </w:rPr>
        <w:t>word</w:t>
      </w:r>
      <w:r w:rsidR="004B3A5D" w:rsidRPr="005364F7">
        <w:rPr>
          <w:rFonts w:ascii="Arial" w:hAnsi="Arial" w:cs="Arial"/>
          <w:color w:val="1C1A15"/>
          <w:lang w:val="nl-BE"/>
        </w:rPr>
        <w:t>en</w:t>
      </w:r>
      <w:r w:rsidR="008D04CC" w:rsidRPr="005364F7">
        <w:rPr>
          <w:rFonts w:ascii="Arial" w:hAnsi="Arial" w:cs="Arial"/>
          <w:color w:val="1C1A15"/>
          <w:lang w:val="nl-BE"/>
        </w:rPr>
        <w:t>. Per type dataset is een</w:t>
      </w:r>
      <w:r w:rsidR="00B53355" w:rsidRPr="005364F7">
        <w:rPr>
          <w:rFonts w:ascii="Arial" w:hAnsi="Arial" w:cs="Arial"/>
          <w:color w:val="1C1A15"/>
          <w:lang w:val="nl-BE"/>
        </w:rPr>
        <w:t xml:space="preserve"> </w:t>
      </w:r>
      <w:r w:rsidR="008D04CC" w:rsidRPr="005364F7">
        <w:rPr>
          <w:rFonts w:ascii="Arial" w:hAnsi="Arial" w:cs="Arial"/>
          <w:color w:val="1C1A15"/>
          <w:lang w:val="nl-BE"/>
        </w:rPr>
        <w:t xml:space="preserve">hiërarchie van methodieken opgenomen in punten 4.4 tot 4.6 van bijlage VII bij de FAR. </w:t>
      </w:r>
    </w:p>
    <w:p w14:paraId="3CAC235C" w14:textId="77777777" w:rsidR="00A66DA1" w:rsidRPr="005364F7" w:rsidRDefault="00A66DA1" w:rsidP="005364F7">
      <w:pPr>
        <w:autoSpaceDE w:val="0"/>
        <w:autoSpaceDN w:val="0"/>
        <w:adjustRightInd w:val="0"/>
        <w:spacing w:after="0" w:line="240" w:lineRule="auto"/>
        <w:jc w:val="both"/>
        <w:rPr>
          <w:rFonts w:ascii="Arial" w:hAnsi="Arial" w:cs="Arial"/>
          <w:color w:val="1C1A15"/>
          <w:lang w:val="nl-BE"/>
        </w:rPr>
      </w:pPr>
    </w:p>
    <w:p w14:paraId="2D7352A5" w14:textId="474E1180" w:rsidR="008D04CC" w:rsidRPr="005364F7" w:rsidRDefault="00B53355"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De metingen van gegevens moeten voldoen aan:</w:t>
      </w:r>
    </w:p>
    <w:p w14:paraId="3C363F83" w14:textId="190231CF" w:rsidR="00B53355" w:rsidRPr="005364F7" w:rsidRDefault="00065231" w:rsidP="005364F7">
      <w:pPr>
        <w:pStyle w:val="Lijstalinea"/>
        <w:numPr>
          <w:ilvl w:val="0"/>
          <w:numId w:val="2"/>
        </w:numPr>
        <w:autoSpaceDE w:val="0"/>
        <w:autoSpaceDN w:val="0"/>
        <w:adjustRightInd w:val="0"/>
        <w:spacing w:after="0" w:line="240" w:lineRule="auto"/>
        <w:ind w:left="851" w:hanging="284"/>
        <w:jc w:val="both"/>
        <w:rPr>
          <w:rFonts w:ascii="Arial" w:hAnsi="Arial" w:cs="Arial"/>
          <w:color w:val="1C1A15"/>
          <w:lang w:val="nl-BE"/>
        </w:rPr>
      </w:pPr>
      <w:r w:rsidRPr="005364F7">
        <w:rPr>
          <w:rFonts w:ascii="Arial" w:hAnsi="Arial" w:cs="Arial"/>
          <w:b/>
          <w:color w:val="1C1A15"/>
          <w:lang w:val="nl-BE"/>
        </w:rPr>
        <w:lastRenderedPageBreak/>
        <w:t>4.4</w:t>
      </w:r>
      <w:r w:rsidR="00460085" w:rsidRPr="005364F7">
        <w:rPr>
          <w:rFonts w:ascii="Arial" w:hAnsi="Arial" w:cs="Arial"/>
          <w:b/>
          <w:color w:val="1C1A15"/>
          <w:lang w:val="nl-BE"/>
        </w:rPr>
        <w:t xml:space="preserve"> </w:t>
      </w:r>
      <w:r w:rsidRPr="005364F7">
        <w:rPr>
          <w:rFonts w:ascii="Arial" w:hAnsi="Arial" w:cs="Arial"/>
          <w:b/>
          <w:color w:val="1C1A15"/>
          <w:lang w:val="nl-BE"/>
        </w:rPr>
        <w:t>a</w:t>
      </w:r>
      <w:r w:rsidR="00460085" w:rsidRPr="005364F7">
        <w:rPr>
          <w:rFonts w:ascii="Arial" w:hAnsi="Arial" w:cs="Arial"/>
          <w:b/>
          <w:color w:val="1C1A15"/>
          <w:lang w:val="nl-BE"/>
        </w:rPr>
        <w:t>)</w:t>
      </w:r>
      <w:r w:rsidRPr="005364F7">
        <w:rPr>
          <w:rFonts w:ascii="Arial" w:hAnsi="Arial" w:cs="Arial"/>
          <w:b/>
          <w:color w:val="1C1A15"/>
          <w:lang w:val="nl-BE"/>
        </w:rPr>
        <w:t xml:space="preserve"> of </w:t>
      </w:r>
      <w:r w:rsidR="0040243A" w:rsidRPr="005364F7">
        <w:rPr>
          <w:rFonts w:ascii="Arial" w:hAnsi="Arial" w:cs="Arial"/>
          <w:b/>
          <w:color w:val="1C1A15"/>
          <w:lang w:val="nl-BE"/>
        </w:rPr>
        <w:t>4.4</w:t>
      </w:r>
      <w:r w:rsidR="00460085" w:rsidRPr="005364F7">
        <w:rPr>
          <w:rFonts w:ascii="Arial" w:hAnsi="Arial" w:cs="Arial"/>
          <w:b/>
          <w:color w:val="1C1A15"/>
          <w:lang w:val="nl-BE"/>
        </w:rPr>
        <w:t xml:space="preserve"> </w:t>
      </w:r>
      <w:r w:rsidRPr="005364F7">
        <w:rPr>
          <w:rFonts w:ascii="Arial" w:hAnsi="Arial" w:cs="Arial"/>
          <w:b/>
          <w:color w:val="1C1A15"/>
          <w:lang w:val="nl-BE"/>
        </w:rPr>
        <w:t>b</w:t>
      </w:r>
      <w:r w:rsidR="00460085" w:rsidRPr="005364F7">
        <w:rPr>
          <w:rFonts w:ascii="Arial" w:hAnsi="Arial" w:cs="Arial"/>
          <w:b/>
          <w:color w:val="1C1A15"/>
          <w:lang w:val="nl-BE"/>
        </w:rPr>
        <w:t>)</w:t>
      </w:r>
      <w:r w:rsidRPr="005364F7">
        <w:rPr>
          <w:rFonts w:ascii="Arial" w:hAnsi="Arial" w:cs="Arial"/>
          <w:color w:val="1C1A15"/>
          <w:lang w:val="nl-BE"/>
        </w:rPr>
        <w:t xml:space="preserve">: in geval van </w:t>
      </w:r>
      <w:r w:rsidRPr="005364F7">
        <w:rPr>
          <w:rFonts w:ascii="Arial" w:hAnsi="Arial" w:cs="Arial"/>
          <w:bCs/>
          <w:lang w:val="nl-BE"/>
        </w:rPr>
        <w:t>gegevensbronnen voor de kwantificering van materialen en brandstoffen (</w:t>
      </w:r>
      <w:proofErr w:type="spellStart"/>
      <w:r w:rsidRPr="005364F7">
        <w:rPr>
          <w:rFonts w:ascii="Arial" w:hAnsi="Arial" w:cs="Arial"/>
          <w:bCs/>
          <w:lang w:val="nl-BE"/>
        </w:rPr>
        <w:t>bvb</w:t>
      </w:r>
      <w:proofErr w:type="spellEnd"/>
      <w:r w:rsidR="004F6A0A" w:rsidRPr="005364F7">
        <w:rPr>
          <w:rFonts w:ascii="Arial" w:hAnsi="Arial" w:cs="Arial"/>
          <w:bCs/>
          <w:lang w:val="nl-BE"/>
        </w:rPr>
        <w:t>.</w:t>
      </w:r>
      <w:r w:rsidRPr="005364F7">
        <w:rPr>
          <w:rFonts w:ascii="Arial" w:hAnsi="Arial" w:cs="Arial"/>
          <w:bCs/>
          <w:lang w:val="nl-BE"/>
        </w:rPr>
        <w:t xml:space="preserve"> hoeveelheid</w:t>
      </w:r>
      <w:r w:rsidR="0040243A" w:rsidRPr="005364F7">
        <w:rPr>
          <w:rFonts w:ascii="Arial" w:hAnsi="Arial" w:cs="Arial"/>
          <w:bCs/>
          <w:lang w:val="nl-BE"/>
        </w:rPr>
        <w:t xml:space="preserve"> verbruikte</w:t>
      </w:r>
      <w:r w:rsidRPr="005364F7">
        <w:rPr>
          <w:rFonts w:ascii="Arial" w:hAnsi="Arial" w:cs="Arial"/>
          <w:bCs/>
          <w:lang w:val="nl-BE"/>
        </w:rPr>
        <w:t xml:space="preserve"> brandstof,</w:t>
      </w:r>
      <w:r w:rsidR="004F6A0A" w:rsidRPr="005364F7">
        <w:rPr>
          <w:rFonts w:ascii="Arial" w:hAnsi="Arial" w:cs="Arial"/>
          <w:bCs/>
          <w:lang w:val="nl-BE"/>
        </w:rPr>
        <w:t xml:space="preserve"> hoeveelheid geproduceerd product,</w:t>
      </w:r>
      <w:r w:rsidRPr="005364F7">
        <w:rPr>
          <w:rFonts w:ascii="Arial" w:hAnsi="Arial" w:cs="Arial"/>
          <w:bCs/>
          <w:lang w:val="nl-BE"/>
        </w:rPr>
        <w:t>…)</w:t>
      </w:r>
    </w:p>
    <w:p w14:paraId="573B7C5F" w14:textId="77777777" w:rsidR="003C204C" w:rsidRPr="005364F7" w:rsidRDefault="003C204C" w:rsidP="005364F7">
      <w:pPr>
        <w:pStyle w:val="Lijstalinea"/>
        <w:autoSpaceDE w:val="0"/>
        <w:autoSpaceDN w:val="0"/>
        <w:adjustRightInd w:val="0"/>
        <w:spacing w:after="0" w:line="240" w:lineRule="auto"/>
        <w:ind w:left="851"/>
        <w:jc w:val="both"/>
        <w:rPr>
          <w:rFonts w:ascii="Arial" w:hAnsi="Arial" w:cs="Arial"/>
          <w:color w:val="1C1A15"/>
          <w:lang w:val="nl-BE"/>
        </w:rPr>
      </w:pPr>
    </w:p>
    <w:p w14:paraId="082F4794" w14:textId="043D8F58" w:rsidR="00065231" w:rsidRPr="005364F7" w:rsidRDefault="00065231" w:rsidP="005364F7">
      <w:pPr>
        <w:pStyle w:val="Lijstalinea"/>
        <w:numPr>
          <w:ilvl w:val="0"/>
          <w:numId w:val="2"/>
        </w:numPr>
        <w:autoSpaceDE w:val="0"/>
        <w:autoSpaceDN w:val="0"/>
        <w:adjustRightInd w:val="0"/>
        <w:spacing w:after="0" w:line="240" w:lineRule="auto"/>
        <w:ind w:left="851" w:hanging="284"/>
        <w:jc w:val="both"/>
        <w:rPr>
          <w:rFonts w:ascii="Arial" w:hAnsi="Arial" w:cs="Arial"/>
          <w:color w:val="1C1A15"/>
          <w:lang w:val="nl-BE"/>
        </w:rPr>
      </w:pPr>
      <w:r w:rsidRPr="005364F7">
        <w:rPr>
          <w:rFonts w:ascii="Arial" w:hAnsi="Arial" w:cs="Arial"/>
          <w:b/>
          <w:bCs/>
          <w:lang w:val="nl-BE"/>
        </w:rPr>
        <w:t>4.5</w:t>
      </w:r>
      <w:r w:rsidR="00460085" w:rsidRPr="005364F7">
        <w:rPr>
          <w:rFonts w:ascii="Arial" w:hAnsi="Arial" w:cs="Arial"/>
          <w:b/>
          <w:bCs/>
          <w:lang w:val="nl-BE"/>
        </w:rPr>
        <w:t xml:space="preserve"> </w:t>
      </w:r>
      <w:r w:rsidRPr="005364F7">
        <w:rPr>
          <w:rFonts w:ascii="Arial" w:hAnsi="Arial" w:cs="Arial"/>
          <w:b/>
          <w:bCs/>
          <w:lang w:val="nl-BE"/>
        </w:rPr>
        <w:t>a</w:t>
      </w:r>
      <w:r w:rsidR="00460085" w:rsidRPr="005364F7">
        <w:rPr>
          <w:rFonts w:ascii="Arial" w:hAnsi="Arial" w:cs="Arial"/>
          <w:b/>
          <w:bCs/>
          <w:lang w:val="nl-BE"/>
        </w:rPr>
        <w:t>)</w:t>
      </w:r>
      <w:r w:rsidRPr="005364F7">
        <w:rPr>
          <w:rFonts w:ascii="Arial" w:hAnsi="Arial" w:cs="Arial"/>
          <w:bCs/>
          <w:lang w:val="nl-BE"/>
        </w:rPr>
        <w:t>: in geval van gegevensbronnen voor de kwantificering van energiestromen (</w:t>
      </w:r>
      <w:proofErr w:type="spellStart"/>
      <w:r w:rsidRPr="005364F7">
        <w:rPr>
          <w:rFonts w:ascii="Arial" w:hAnsi="Arial" w:cs="Arial"/>
          <w:bCs/>
          <w:lang w:val="nl-BE"/>
        </w:rPr>
        <w:t>bvb</w:t>
      </w:r>
      <w:proofErr w:type="spellEnd"/>
      <w:r w:rsidR="0040243A" w:rsidRPr="005364F7">
        <w:rPr>
          <w:rFonts w:ascii="Arial" w:hAnsi="Arial" w:cs="Arial"/>
          <w:bCs/>
          <w:lang w:val="nl-BE"/>
        </w:rPr>
        <w:t>.</w:t>
      </w:r>
      <w:r w:rsidRPr="005364F7">
        <w:rPr>
          <w:rFonts w:ascii="Arial" w:hAnsi="Arial" w:cs="Arial"/>
          <w:bCs/>
          <w:lang w:val="nl-BE"/>
        </w:rPr>
        <w:t xml:space="preserve"> </w:t>
      </w:r>
      <w:r w:rsidR="0040243A" w:rsidRPr="005364F7">
        <w:rPr>
          <w:rFonts w:ascii="Arial" w:hAnsi="Arial" w:cs="Arial"/>
          <w:bCs/>
          <w:lang w:val="nl-BE"/>
        </w:rPr>
        <w:t xml:space="preserve">calorie- of </w:t>
      </w:r>
      <w:r w:rsidRPr="005364F7">
        <w:rPr>
          <w:rFonts w:ascii="Arial" w:hAnsi="Arial" w:cs="Arial"/>
          <w:bCs/>
          <w:lang w:val="nl-BE"/>
        </w:rPr>
        <w:t>warmtemeters</w:t>
      </w:r>
      <w:r w:rsidR="0040243A" w:rsidRPr="005364F7">
        <w:rPr>
          <w:rFonts w:ascii="Arial" w:hAnsi="Arial" w:cs="Arial"/>
          <w:bCs/>
          <w:lang w:val="nl-BE"/>
        </w:rPr>
        <w:t>,</w:t>
      </w:r>
      <w:r w:rsidRPr="005364F7">
        <w:rPr>
          <w:rFonts w:ascii="Arial" w:hAnsi="Arial" w:cs="Arial"/>
          <w:bCs/>
          <w:lang w:val="nl-BE"/>
        </w:rPr>
        <w:t xml:space="preserve"> enthalpiemeting</w:t>
      </w:r>
      <w:r w:rsidR="0040243A" w:rsidRPr="005364F7">
        <w:rPr>
          <w:rFonts w:ascii="Arial" w:hAnsi="Arial" w:cs="Arial"/>
          <w:bCs/>
          <w:lang w:val="nl-BE"/>
        </w:rPr>
        <w:t>en</w:t>
      </w:r>
      <w:r w:rsidRPr="005364F7">
        <w:rPr>
          <w:rFonts w:ascii="Arial" w:hAnsi="Arial" w:cs="Arial"/>
          <w:bCs/>
          <w:lang w:val="nl-BE"/>
        </w:rPr>
        <w:t xml:space="preserve"> van stoom of condensaat gekoppeld aan debietmeting</w:t>
      </w:r>
      <w:r w:rsidR="0040243A" w:rsidRPr="005364F7">
        <w:rPr>
          <w:rFonts w:ascii="Arial" w:hAnsi="Arial" w:cs="Arial"/>
          <w:bCs/>
          <w:lang w:val="nl-BE"/>
        </w:rPr>
        <w:t>,</w:t>
      </w:r>
      <w:r w:rsidRPr="005364F7">
        <w:rPr>
          <w:rFonts w:ascii="Arial" w:hAnsi="Arial" w:cs="Arial"/>
          <w:bCs/>
          <w:lang w:val="nl-BE"/>
        </w:rPr>
        <w:t>…)</w:t>
      </w:r>
    </w:p>
    <w:p w14:paraId="67333452" w14:textId="6DFA9AF3" w:rsidR="003C204C" w:rsidRPr="005364F7" w:rsidRDefault="003C204C" w:rsidP="005364F7">
      <w:pPr>
        <w:autoSpaceDE w:val="0"/>
        <w:autoSpaceDN w:val="0"/>
        <w:adjustRightInd w:val="0"/>
        <w:spacing w:after="0" w:line="240" w:lineRule="auto"/>
        <w:jc w:val="both"/>
        <w:rPr>
          <w:rFonts w:ascii="Arial" w:hAnsi="Arial" w:cs="Arial"/>
          <w:color w:val="1C1A15"/>
          <w:lang w:val="nl-BE"/>
        </w:rPr>
      </w:pPr>
    </w:p>
    <w:p w14:paraId="18D9BB14" w14:textId="2CCA8934" w:rsidR="00065231" w:rsidRPr="005364F7" w:rsidRDefault="00065231" w:rsidP="005364F7">
      <w:pPr>
        <w:pStyle w:val="Lijstalinea"/>
        <w:numPr>
          <w:ilvl w:val="0"/>
          <w:numId w:val="2"/>
        </w:numPr>
        <w:autoSpaceDE w:val="0"/>
        <w:autoSpaceDN w:val="0"/>
        <w:adjustRightInd w:val="0"/>
        <w:spacing w:after="0" w:line="240" w:lineRule="auto"/>
        <w:ind w:left="851" w:hanging="284"/>
        <w:jc w:val="both"/>
        <w:rPr>
          <w:rFonts w:ascii="Arial" w:hAnsi="Arial" w:cs="Arial"/>
          <w:color w:val="1C1A15"/>
          <w:lang w:val="nl-BE"/>
        </w:rPr>
      </w:pPr>
      <w:r w:rsidRPr="005364F7">
        <w:rPr>
          <w:rFonts w:ascii="Arial" w:hAnsi="Arial" w:cs="Arial"/>
          <w:b/>
          <w:bCs/>
          <w:lang w:val="nl-BE"/>
        </w:rPr>
        <w:t>4.6</w:t>
      </w:r>
      <w:r w:rsidR="00460085" w:rsidRPr="005364F7">
        <w:rPr>
          <w:rFonts w:ascii="Arial" w:hAnsi="Arial" w:cs="Arial"/>
          <w:b/>
          <w:bCs/>
          <w:lang w:val="nl-BE"/>
        </w:rPr>
        <w:t xml:space="preserve"> </w:t>
      </w:r>
      <w:r w:rsidRPr="005364F7">
        <w:rPr>
          <w:rFonts w:ascii="Arial" w:hAnsi="Arial" w:cs="Arial"/>
          <w:b/>
          <w:bCs/>
          <w:lang w:val="nl-BE"/>
        </w:rPr>
        <w:t>a</w:t>
      </w:r>
      <w:r w:rsidR="00460085" w:rsidRPr="005364F7">
        <w:rPr>
          <w:rFonts w:ascii="Arial" w:hAnsi="Arial" w:cs="Arial"/>
          <w:b/>
          <w:bCs/>
          <w:lang w:val="nl-BE"/>
        </w:rPr>
        <w:t>)</w:t>
      </w:r>
      <w:r w:rsidRPr="005364F7">
        <w:rPr>
          <w:rFonts w:ascii="Arial" w:hAnsi="Arial" w:cs="Arial"/>
          <w:b/>
          <w:bCs/>
          <w:lang w:val="nl-BE"/>
        </w:rPr>
        <w:t xml:space="preserve"> of </w:t>
      </w:r>
      <w:r w:rsidR="0040243A" w:rsidRPr="005364F7">
        <w:rPr>
          <w:rFonts w:ascii="Arial" w:hAnsi="Arial" w:cs="Arial"/>
          <w:b/>
          <w:bCs/>
          <w:lang w:val="nl-BE"/>
        </w:rPr>
        <w:t>4.6</w:t>
      </w:r>
      <w:r w:rsidR="00460085" w:rsidRPr="005364F7">
        <w:rPr>
          <w:rFonts w:ascii="Arial" w:hAnsi="Arial" w:cs="Arial"/>
          <w:b/>
          <w:bCs/>
          <w:lang w:val="nl-BE"/>
        </w:rPr>
        <w:t xml:space="preserve"> </w:t>
      </w:r>
      <w:r w:rsidRPr="005364F7">
        <w:rPr>
          <w:rFonts w:ascii="Arial" w:hAnsi="Arial" w:cs="Arial"/>
          <w:b/>
          <w:bCs/>
          <w:lang w:val="nl-BE"/>
        </w:rPr>
        <w:t>b</w:t>
      </w:r>
      <w:r w:rsidR="00460085" w:rsidRPr="005364F7">
        <w:rPr>
          <w:rFonts w:ascii="Arial" w:hAnsi="Arial" w:cs="Arial"/>
          <w:b/>
          <w:bCs/>
          <w:lang w:val="nl-BE"/>
        </w:rPr>
        <w:t>)</w:t>
      </w:r>
      <w:r w:rsidRPr="005364F7">
        <w:rPr>
          <w:rFonts w:ascii="Arial" w:hAnsi="Arial" w:cs="Arial"/>
          <w:bCs/>
          <w:lang w:val="nl-BE"/>
        </w:rPr>
        <w:t>: in geval van gegevensbronnen voor materiaaleigenschappen (</w:t>
      </w:r>
      <w:proofErr w:type="spellStart"/>
      <w:r w:rsidRPr="005364F7">
        <w:rPr>
          <w:rFonts w:ascii="Arial" w:hAnsi="Arial" w:cs="Arial"/>
          <w:bCs/>
          <w:lang w:val="nl-BE"/>
        </w:rPr>
        <w:t>bvb</w:t>
      </w:r>
      <w:proofErr w:type="spellEnd"/>
      <w:r w:rsidR="00E210B2" w:rsidRPr="005364F7">
        <w:rPr>
          <w:rFonts w:ascii="Arial" w:hAnsi="Arial" w:cs="Arial"/>
          <w:bCs/>
          <w:lang w:val="nl-BE"/>
        </w:rPr>
        <w:t>.</w:t>
      </w:r>
      <w:r w:rsidRPr="005364F7">
        <w:rPr>
          <w:rFonts w:ascii="Arial" w:hAnsi="Arial" w:cs="Arial"/>
          <w:bCs/>
          <w:lang w:val="nl-BE"/>
        </w:rPr>
        <w:t xml:space="preserve"> concentratie, C-gehalte,…)</w:t>
      </w:r>
    </w:p>
    <w:p w14:paraId="7F8802B0" w14:textId="77777777" w:rsidR="00A66DA1" w:rsidRPr="005364F7" w:rsidRDefault="00A66DA1" w:rsidP="005364F7">
      <w:pPr>
        <w:pStyle w:val="Lijstalinea"/>
        <w:autoSpaceDE w:val="0"/>
        <w:autoSpaceDN w:val="0"/>
        <w:adjustRightInd w:val="0"/>
        <w:spacing w:after="0" w:line="240" w:lineRule="auto"/>
        <w:ind w:left="851"/>
        <w:jc w:val="both"/>
        <w:rPr>
          <w:rFonts w:ascii="Arial" w:hAnsi="Arial" w:cs="Arial"/>
          <w:color w:val="1C1A15"/>
          <w:lang w:val="nl-BE"/>
        </w:rPr>
      </w:pPr>
    </w:p>
    <w:p w14:paraId="0F9E75E8" w14:textId="6EDB6A22" w:rsidR="008D04CC" w:rsidRPr="005364F7" w:rsidRDefault="003C204C"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Indien hieraan niet voldaan wordt kan enkel e</w:t>
      </w:r>
      <w:r w:rsidR="008D04CC" w:rsidRPr="005364F7">
        <w:rPr>
          <w:rFonts w:ascii="Arial" w:hAnsi="Arial" w:cs="Arial"/>
          <w:color w:val="1C1A15"/>
          <w:lang w:val="nl-BE"/>
        </w:rPr>
        <w:t xml:space="preserve">en </w:t>
      </w:r>
      <w:r w:rsidR="008D04CC" w:rsidRPr="005364F7">
        <w:rPr>
          <w:rFonts w:ascii="Arial" w:hAnsi="Arial" w:cs="Arial"/>
          <w:color w:val="1C1A15"/>
          <w:u w:val="single"/>
          <w:lang w:val="nl-BE"/>
        </w:rPr>
        <w:t>afwijking</w:t>
      </w:r>
      <w:r w:rsidR="008D04CC" w:rsidRPr="005364F7">
        <w:rPr>
          <w:rFonts w:ascii="Arial" w:hAnsi="Arial" w:cs="Arial"/>
          <w:color w:val="1C1A15"/>
          <w:lang w:val="nl-BE"/>
        </w:rPr>
        <w:t xml:space="preserve"> toegestaan worden indien:</w:t>
      </w:r>
    </w:p>
    <w:p w14:paraId="1F65ADE3" w14:textId="77777777" w:rsidR="003C204C" w:rsidRPr="005364F7" w:rsidRDefault="003C204C" w:rsidP="005364F7">
      <w:pPr>
        <w:autoSpaceDE w:val="0"/>
        <w:autoSpaceDN w:val="0"/>
        <w:adjustRightInd w:val="0"/>
        <w:spacing w:after="0" w:line="240" w:lineRule="auto"/>
        <w:jc w:val="both"/>
        <w:rPr>
          <w:rFonts w:ascii="Arial" w:hAnsi="Arial" w:cs="Arial"/>
          <w:color w:val="1C1A15"/>
          <w:lang w:val="nl-BE"/>
        </w:rPr>
      </w:pPr>
    </w:p>
    <w:p w14:paraId="4D1E1109" w14:textId="5AB2A8D8" w:rsidR="003C6B07" w:rsidRPr="005364F7" w:rsidRDefault="00BA08DA" w:rsidP="005364F7">
      <w:pPr>
        <w:pStyle w:val="Lijstalinea"/>
        <w:numPr>
          <w:ilvl w:val="0"/>
          <w:numId w:val="1"/>
        </w:numPr>
        <w:autoSpaceDE w:val="0"/>
        <w:autoSpaceDN w:val="0"/>
        <w:adjustRightInd w:val="0"/>
        <w:spacing w:after="0" w:line="240" w:lineRule="auto"/>
        <w:ind w:left="851" w:hanging="284"/>
        <w:jc w:val="both"/>
        <w:rPr>
          <w:rFonts w:ascii="Arial" w:hAnsi="Arial" w:cs="Arial"/>
          <w:color w:val="1C1A15"/>
          <w:lang w:val="nl-BE"/>
        </w:rPr>
      </w:pPr>
      <w:r w:rsidRPr="005364F7">
        <w:rPr>
          <w:rFonts w:ascii="Arial" w:hAnsi="Arial" w:cs="Arial"/>
          <w:color w:val="1C1A15"/>
          <w:lang w:val="nl-BE"/>
        </w:rPr>
        <w:t>De</w:t>
      </w:r>
      <w:r w:rsidR="008D04CC" w:rsidRPr="005364F7">
        <w:rPr>
          <w:rFonts w:ascii="Arial" w:hAnsi="Arial" w:cs="Arial"/>
          <w:color w:val="1C1A15"/>
          <w:lang w:val="nl-BE"/>
        </w:rPr>
        <w:t xml:space="preserve"> exploitant kan aantonen dat de meest nauwkeurige methodiek </w:t>
      </w:r>
      <w:r w:rsidR="003C204C" w:rsidRPr="005364F7">
        <w:rPr>
          <w:rFonts w:ascii="Arial" w:hAnsi="Arial" w:cs="Arial"/>
          <w:color w:val="1C1A15"/>
          <w:lang w:val="nl-BE"/>
        </w:rPr>
        <w:t xml:space="preserve">– </w:t>
      </w:r>
      <w:r w:rsidR="008D04CC" w:rsidRPr="005364F7">
        <w:rPr>
          <w:rFonts w:ascii="Arial" w:hAnsi="Arial" w:cs="Arial"/>
          <w:color w:val="1C1A15"/>
          <w:lang w:val="nl-BE"/>
        </w:rPr>
        <w:t>d</w:t>
      </w:r>
      <w:r w:rsidR="00F17D1E" w:rsidRPr="005364F7">
        <w:rPr>
          <w:rFonts w:ascii="Arial" w:hAnsi="Arial" w:cs="Arial"/>
          <w:color w:val="1C1A15"/>
          <w:lang w:val="nl-BE"/>
        </w:rPr>
        <w:t>.i.</w:t>
      </w:r>
      <w:r w:rsidR="008D04CC" w:rsidRPr="005364F7">
        <w:rPr>
          <w:rFonts w:ascii="Arial" w:hAnsi="Arial" w:cs="Arial"/>
          <w:color w:val="1C1A15"/>
          <w:lang w:val="nl-BE"/>
        </w:rPr>
        <w:t xml:space="preserve"> 4.4</w:t>
      </w:r>
      <w:r w:rsidR="00F17D1E" w:rsidRPr="005364F7">
        <w:rPr>
          <w:rFonts w:ascii="Arial" w:hAnsi="Arial" w:cs="Arial"/>
          <w:color w:val="1C1A15"/>
          <w:lang w:val="nl-BE"/>
        </w:rPr>
        <w:t xml:space="preserve"> </w:t>
      </w:r>
      <w:r w:rsidR="008D04CC" w:rsidRPr="005364F7">
        <w:rPr>
          <w:rFonts w:ascii="Arial" w:hAnsi="Arial" w:cs="Arial"/>
          <w:color w:val="1C1A15"/>
          <w:lang w:val="nl-BE"/>
        </w:rPr>
        <w:t>a</w:t>
      </w:r>
      <w:r w:rsidR="00F17D1E" w:rsidRPr="005364F7">
        <w:rPr>
          <w:rFonts w:ascii="Arial" w:hAnsi="Arial" w:cs="Arial"/>
          <w:color w:val="1C1A15"/>
          <w:lang w:val="nl-BE"/>
        </w:rPr>
        <w:t>)</w:t>
      </w:r>
      <w:r w:rsidR="008D04CC" w:rsidRPr="005364F7">
        <w:rPr>
          <w:rFonts w:ascii="Arial" w:hAnsi="Arial" w:cs="Arial"/>
          <w:color w:val="1C1A15"/>
          <w:lang w:val="nl-BE"/>
        </w:rPr>
        <w:t xml:space="preserve"> of b</w:t>
      </w:r>
      <w:r w:rsidR="00F17D1E" w:rsidRPr="005364F7">
        <w:rPr>
          <w:rFonts w:ascii="Arial" w:hAnsi="Arial" w:cs="Arial"/>
          <w:color w:val="1C1A15"/>
          <w:lang w:val="nl-BE"/>
        </w:rPr>
        <w:t>)</w:t>
      </w:r>
      <w:r w:rsidR="008D04CC" w:rsidRPr="005364F7">
        <w:rPr>
          <w:rFonts w:ascii="Arial" w:hAnsi="Arial" w:cs="Arial"/>
          <w:color w:val="1C1A15"/>
          <w:lang w:val="nl-BE"/>
        </w:rPr>
        <w:t>; 4.5</w:t>
      </w:r>
      <w:r w:rsidR="00F17D1E" w:rsidRPr="005364F7">
        <w:rPr>
          <w:rFonts w:ascii="Arial" w:hAnsi="Arial" w:cs="Arial"/>
          <w:color w:val="1C1A15"/>
          <w:lang w:val="nl-BE"/>
        </w:rPr>
        <w:t xml:space="preserve"> </w:t>
      </w:r>
      <w:r w:rsidR="008D04CC" w:rsidRPr="005364F7">
        <w:rPr>
          <w:rFonts w:ascii="Arial" w:hAnsi="Arial" w:cs="Arial"/>
          <w:color w:val="1C1A15"/>
          <w:lang w:val="nl-BE"/>
        </w:rPr>
        <w:t>a</w:t>
      </w:r>
      <w:r w:rsidR="00F17D1E" w:rsidRPr="005364F7">
        <w:rPr>
          <w:rFonts w:ascii="Arial" w:hAnsi="Arial" w:cs="Arial"/>
          <w:color w:val="1C1A15"/>
          <w:lang w:val="nl-BE"/>
        </w:rPr>
        <w:t>)</w:t>
      </w:r>
      <w:r w:rsidR="008D04CC" w:rsidRPr="005364F7">
        <w:rPr>
          <w:rFonts w:ascii="Arial" w:hAnsi="Arial" w:cs="Arial"/>
          <w:color w:val="1C1A15"/>
          <w:lang w:val="nl-BE"/>
        </w:rPr>
        <w:t>; 4.6</w:t>
      </w:r>
      <w:r w:rsidR="00F17D1E" w:rsidRPr="005364F7">
        <w:rPr>
          <w:rFonts w:ascii="Arial" w:hAnsi="Arial" w:cs="Arial"/>
          <w:color w:val="1C1A15"/>
          <w:lang w:val="nl-BE"/>
        </w:rPr>
        <w:t xml:space="preserve"> </w:t>
      </w:r>
      <w:r w:rsidR="008D04CC" w:rsidRPr="005364F7">
        <w:rPr>
          <w:rFonts w:ascii="Arial" w:hAnsi="Arial" w:cs="Arial"/>
          <w:color w:val="1C1A15"/>
          <w:lang w:val="nl-BE"/>
        </w:rPr>
        <w:t>a</w:t>
      </w:r>
      <w:r w:rsidR="00F17D1E" w:rsidRPr="005364F7">
        <w:rPr>
          <w:rFonts w:ascii="Arial" w:hAnsi="Arial" w:cs="Arial"/>
          <w:color w:val="1C1A15"/>
          <w:lang w:val="nl-BE"/>
        </w:rPr>
        <w:t>)</w:t>
      </w:r>
      <w:r w:rsidR="008D04CC" w:rsidRPr="005364F7">
        <w:rPr>
          <w:rFonts w:ascii="Arial" w:hAnsi="Arial" w:cs="Arial"/>
          <w:color w:val="1C1A15"/>
          <w:lang w:val="nl-BE"/>
        </w:rPr>
        <w:t xml:space="preserve"> of b</w:t>
      </w:r>
      <w:r w:rsidR="00F17D1E" w:rsidRPr="005364F7">
        <w:rPr>
          <w:rFonts w:ascii="Arial" w:hAnsi="Arial" w:cs="Arial"/>
          <w:color w:val="1C1A15"/>
          <w:lang w:val="nl-BE"/>
        </w:rPr>
        <w:t>)</w:t>
      </w:r>
      <w:r w:rsidR="003C204C" w:rsidRPr="005364F7">
        <w:rPr>
          <w:rFonts w:ascii="Arial" w:hAnsi="Arial" w:cs="Arial"/>
          <w:color w:val="1C1A15"/>
          <w:lang w:val="nl-BE"/>
        </w:rPr>
        <w:t xml:space="preserve"> – </w:t>
      </w:r>
      <w:r w:rsidR="008D04CC" w:rsidRPr="005364F7">
        <w:rPr>
          <w:rFonts w:ascii="Arial" w:hAnsi="Arial" w:cs="Arial"/>
          <w:color w:val="1C1A15"/>
          <w:u w:val="single"/>
          <w:lang w:val="nl-BE"/>
        </w:rPr>
        <w:t>technisch onhaalbaar</w:t>
      </w:r>
      <w:r w:rsidR="008D04CC" w:rsidRPr="005364F7">
        <w:rPr>
          <w:rFonts w:ascii="Arial" w:hAnsi="Arial" w:cs="Arial"/>
          <w:color w:val="1C1A15"/>
          <w:lang w:val="nl-BE"/>
        </w:rPr>
        <w:t xml:space="preserve"> is of leidt tot </w:t>
      </w:r>
      <w:r w:rsidR="008D04CC" w:rsidRPr="005364F7">
        <w:rPr>
          <w:rFonts w:ascii="Arial" w:hAnsi="Arial" w:cs="Arial"/>
          <w:color w:val="1C1A15"/>
          <w:u w:val="single"/>
          <w:lang w:val="nl-BE"/>
        </w:rPr>
        <w:t>onredelijke kosten</w:t>
      </w:r>
      <w:r w:rsidR="008D04CC" w:rsidRPr="005364F7">
        <w:rPr>
          <w:rFonts w:ascii="Arial" w:hAnsi="Arial" w:cs="Arial"/>
          <w:color w:val="1C1A15"/>
          <w:lang w:val="nl-BE"/>
        </w:rPr>
        <w:t xml:space="preserve">. In dat geval mag de exploitant voor die dataset </w:t>
      </w:r>
      <w:r w:rsidR="00F17D1E" w:rsidRPr="005364F7">
        <w:rPr>
          <w:rFonts w:ascii="Arial" w:hAnsi="Arial" w:cs="Arial"/>
          <w:color w:val="1C1A15"/>
          <w:lang w:val="nl-BE"/>
        </w:rPr>
        <w:t>afdalen</w:t>
      </w:r>
      <w:r w:rsidR="008D04CC" w:rsidRPr="005364F7">
        <w:rPr>
          <w:rFonts w:ascii="Arial" w:hAnsi="Arial" w:cs="Arial"/>
          <w:color w:val="1C1A15"/>
          <w:lang w:val="nl-BE"/>
        </w:rPr>
        <w:t xml:space="preserve"> in de hiërarchie tot op de meest nauwkeurige methodiek die niet langer leidt tot technische onhaa</w:t>
      </w:r>
      <w:r w:rsidR="003C6B07" w:rsidRPr="005364F7">
        <w:rPr>
          <w:rFonts w:ascii="Arial" w:hAnsi="Arial" w:cs="Arial"/>
          <w:color w:val="1C1A15"/>
          <w:lang w:val="nl-BE"/>
        </w:rPr>
        <w:t>lbaarheid/</w:t>
      </w:r>
      <w:r w:rsidR="00FE793A" w:rsidRPr="005364F7">
        <w:rPr>
          <w:rFonts w:ascii="Arial" w:hAnsi="Arial" w:cs="Arial"/>
          <w:color w:val="1C1A15"/>
          <w:lang w:val="nl-BE"/>
        </w:rPr>
        <w:t xml:space="preserve"> </w:t>
      </w:r>
      <w:r w:rsidR="003C6B07" w:rsidRPr="005364F7">
        <w:rPr>
          <w:rFonts w:ascii="Arial" w:hAnsi="Arial" w:cs="Arial"/>
          <w:color w:val="1C1A15"/>
          <w:lang w:val="nl-BE"/>
        </w:rPr>
        <w:t>onredelijke kosten. Hierbij gelden volgende vaststellingen:</w:t>
      </w:r>
    </w:p>
    <w:p w14:paraId="15805240" w14:textId="1304463B" w:rsidR="008D04CC" w:rsidRPr="005364F7" w:rsidRDefault="003C6B07" w:rsidP="005364F7">
      <w:pPr>
        <w:pStyle w:val="Lijstalinea"/>
        <w:numPr>
          <w:ilvl w:val="1"/>
          <w:numId w:val="1"/>
        </w:numPr>
        <w:autoSpaceDE w:val="0"/>
        <w:autoSpaceDN w:val="0"/>
        <w:adjustRightInd w:val="0"/>
        <w:spacing w:after="0" w:line="240" w:lineRule="auto"/>
        <w:ind w:left="1418" w:hanging="284"/>
        <w:jc w:val="both"/>
        <w:rPr>
          <w:rFonts w:ascii="Arial" w:hAnsi="Arial" w:cs="Arial"/>
          <w:color w:val="1C1A15"/>
          <w:lang w:val="nl-BE"/>
        </w:rPr>
      </w:pPr>
      <w:r w:rsidRPr="005364F7">
        <w:rPr>
          <w:rFonts w:ascii="Arial" w:hAnsi="Arial" w:cs="Arial"/>
          <w:color w:val="1C1A15"/>
          <w:lang w:val="nl-BE"/>
        </w:rPr>
        <w:t>Aan 4.4</w:t>
      </w:r>
      <w:r w:rsidR="00FE793A" w:rsidRPr="005364F7">
        <w:rPr>
          <w:rFonts w:ascii="Arial" w:hAnsi="Arial" w:cs="Arial"/>
          <w:color w:val="1C1A15"/>
          <w:lang w:val="nl-BE"/>
        </w:rPr>
        <w:t xml:space="preserve"> </w:t>
      </w:r>
      <w:r w:rsidRPr="005364F7">
        <w:rPr>
          <w:rFonts w:ascii="Arial" w:hAnsi="Arial" w:cs="Arial"/>
          <w:color w:val="1C1A15"/>
          <w:lang w:val="nl-BE"/>
        </w:rPr>
        <w:t>a</w:t>
      </w:r>
      <w:r w:rsidR="00FE793A" w:rsidRPr="005364F7">
        <w:rPr>
          <w:rFonts w:ascii="Arial" w:hAnsi="Arial" w:cs="Arial"/>
          <w:color w:val="1C1A15"/>
          <w:lang w:val="nl-BE"/>
        </w:rPr>
        <w:t>)</w:t>
      </w:r>
      <w:r w:rsidRPr="005364F7">
        <w:rPr>
          <w:rFonts w:ascii="Arial" w:hAnsi="Arial" w:cs="Arial"/>
          <w:color w:val="1C1A15"/>
          <w:lang w:val="nl-BE"/>
        </w:rPr>
        <w:t xml:space="preserve"> kan enkel voldaan worden met gegeve</w:t>
      </w:r>
      <w:r w:rsidR="00FE793A" w:rsidRPr="005364F7">
        <w:rPr>
          <w:rFonts w:ascii="Arial" w:hAnsi="Arial" w:cs="Arial"/>
          <w:color w:val="1C1A15"/>
          <w:lang w:val="nl-BE"/>
        </w:rPr>
        <w:t>nsbronnen die in het monitoring</w:t>
      </w:r>
      <w:r w:rsidRPr="005364F7">
        <w:rPr>
          <w:rFonts w:ascii="Arial" w:hAnsi="Arial" w:cs="Arial"/>
          <w:color w:val="1C1A15"/>
          <w:lang w:val="nl-BE"/>
        </w:rPr>
        <w:t>plan</w:t>
      </w:r>
      <w:r w:rsidR="00F17D1E" w:rsidRPr="005364F7">
        <w:rPr>
          <w:rFonts w:ascii="Arial" w:hAnsi="Arial" w:cs="Arial"/>
          <w:color w:val="1C1A15"/>
          <w:lang w:val="nl-BE"/>
        </w:rPr>
        <w:t xml:space="preserve"> (vnl. brandstofmetingen)</w:t>
      </w:r>
      <w:r w:rsidRPr="005364F7">
        <w:rPr>
          <w:rFonts w:ascii="Arial" w:hAnsi="Arial" w:cs="Arial"/>
          <w:color w:val="1C1A15"/>
          <w:lang w:val="nl-BE"/>
        </w:rPr>
        <w:t xml:space="preserve"> staan</w:t>
      </w:r>
    </w:p>
    <w:p w14:paraId="0E962917" w14:textId="4129F529" w:rsidR="003C6B07" w:rsidRPr="005364F7" w:rsidRDefault="003C6B07" w:rsidP="005364F7">
      <w:pPr>
        <w:pStyle w:val="Lijstalinea"/>
        <w:numPr>
          <w:ilvl w:val="1"/>
          <w:numId w:val="1"/>
        </w:numPr>
        <w:autoSpaceDE w:val="0"/>
        <w:autoSpaceDN w:val="0"/>
        <w:adjustRightInd w:val="0"/>
        <w:spacing w:after="0" w:line="240" w:lineRule="auto"/>
        <w:ind w:left="1418" w:hanging="284"/>
        <w:jc w:val="both"/>
        <w:rPr>
          <w:rFonts w:ascii="Arial" w:hAnsi="Arial" w:cs="Arial"/>
          <w:color w:val="1C1A15"/>
          <w:lang w:val="nl-BE"/>
        </w:rPr>
      </w:pPr>
      <w:r w:rsidRPr="005364F7">
        <w:rPr>
          <w:rFonts w:ascii="Arial" w:hAnsi="Arial" w:cs="Arial"/>
          <w:color w:val="1C1A15"/>
          <w:lang w:val="nl-BE"/>
        </w:rPr>
        <w:t>Aan 4.5</w:t>
      </w:r>
      <w:r w:rsidR="00FE793A" w:rsidRPr="005364F7">
        <w:rPr>
          <w:rFonts w:ascii="Arial" w:hAnsi="Arial" w:cs="Arial"/>
          <w:color w:val="1C1A15"/>
          <w:lang w:val="nl-BE"/>
        </w:rPr>
        <w:t xml:space="preserve"> </w:t>
      </w:r>
      <w:r w:rsidRPr="005364F7">
        <w:rPr>
          <w:rFonts w:ascii="Arial" w:hAnsi="Arial" w:cs="Arial"/>
          <w:color w:val="1C1A15"/>
          <w:lang w:val="nl-BE"/>
        </w:rPr>
        <w:t>a</w:t>
      </w:r>
      <w:r w:rsidR="00FE793A" w:rsidRPr="005364F7">
        <w:rPr>
          <w:rFonts w:ascii="Arial" w:hAnsi="Arial" w:cs="Arial"/>
          <w:color w:val="1C1A15"/>
          <w:lang w:val="nl-BE"/>
        </w:rPr>
        <w:t>)</w:t>
      </w:r>
      <w:r w:rsidRPr="005364F7">
        <w:rPr>
          <w:rFonts w:ascii="Arial" w:hAnsi="Arial" w:cs="Arial"/>
          <w:color w:val="1C1A15"/>
          <w:lang w:val="nl-BE"/>
        </w:rPr>
        <w:t xml:space="preserve"> kan in Vlaanderen enkel voldaan worden met gegevensbronnen die onder controle van de VREG (</w:t>
      </w:r>
      <w:proofErr w:type="spellStart"/>
      <w:r w:rsidRPr="005364F7">
        <w:rPr>
          <w:rFonts w:ascii="Arial" w:hAnsi="Arial" w:cs="Arial"/>
          <w:color w:val="1C1A15"/>
          <w:lang w:val="nl-BE"/>
        </w:rPr>
        <w:t>bvb</w:t>
      </w:r>
      <w:proofErr w:type="spellEnd"/>
      <w:r w:rsidR="001C2D7B" w:rsidRPr="005364F7">
        <w:rPr>
          <w:rFonts w:ascii="Arial" w:hAnsi="Arial" w:cs="Arial"/>
          <w:color w:val="1C1A15"/>
          <w:lang w:val="nl-BE"/>
        </w:rPr>
        <w:t>.</w:t>
      </w:r>
      <w:r w:rsidRPr="005364F7">
        <w:rPr>
          <w:rFonts w:ascii="Arial" w:hAnsi="Arial" w:cs="Arial"/>
          <w:color w:val="1C1A15"/>
          <w:lang w:val="nl-BE"/>
        </w:rPr>
        <w:t xml:space="preserve"> </w:t>
      </w:r>
      <w:r w:rsidR="001C2D7B" w:rsidRPr="005364F7">
        <w:rPr>
          <w:rFonts w:ascii="Arial" w:hAnsi="Arial" w:cs="Arial"/>
          <w:color w:val="1C1A15"/>
          <w:lang w:val="nl-BE"/>
        </w:rPr>
        <w:t xml:space="preserve">voor </w:t>
      </w:r>
      <w:r w:rsidRPr="005364F7">
        <w:rPr>
          <w:rFonts w:ascii="Arial" w:hAnsi="Arial" w:cs="Arial"/>
          <w:color w:val="1C1A15"/>
          <w:lang w:val="nl-BE"/>
        </w:rPr>
        <w:t>WKK</w:t>
      </w:r>
      <w:r w:rsidR="001C2D7B" w:rsidRPr="005364F7">
        <w:rPr>
          <w:rFonts w:ascii="Arial" w:hAnsi="Arial" w:cs="Arial"/>
          <w:color w:val="1C1A15"/>
          <w:lang w:val="nl-BE"/>
        </w:rPr>
        <w:t xml:space="preserve"> warmte</w:t>
      </w:r>
      <w:r w:rsidRPr="005364F7">
        <w:rPr>
          <w:rFonts w:ascii="Arial" w:hAnsi="Arial" w:cs="Arial"/>
          <w:color w:val="1C1A15"/>
          <w:lang w:val="nl-BE"/>
        </w:rPr>
        <w:t>) vallen</w:t>
      </w:r>
    </w:p>
    <w:p w14:paraId="31B306A3" w14:textId="34C49905" w:rsidR="003C6B07" w:rsidRPr="005364F7" w:rsidRDefault="003C6B07" w:rsidP="005364F7">
      <w:pPr>
        <w:pStyle w:val="Lijstalinea"/>
        <w:numPr>
          <w:ilvl w:val="1"/>
          <w:numId w:val="1"/>
        </w:numPr>
        <w:autoSpaceDE w:val="0"/>
        <w:autoSpaceDN w:val="0"/>
        <w:adjustRightInd w:val="0"/>
        <w:spacing w:after="0" w:line="240" w:lineRule="auto"/>
        <w:ind w:left="1418" w:hanging="284"/>
        <w:jc w:val="both"/>
        <w:rPr>
          <w:rFonts w:ascii="Arial" w:hAnsi="Arial" w:cs="Arial"/>
          <w:color w:val="1C1A15"/>
          <w:lang w:val="nl-BE"/>
        </w:rPr>
      </w:pPr>
      <w:r w:rsidRPr="005364F7">
        <w:rPr>
          <w:rFonts w:ascii="Arial" w:hAnsi="Arial" w:cs="Arial"/>
          <w:color w:val="1C1A15"/>
          <w:lang w:val="nl-BE"/>
        </w:rPr>
        <w:t>Aan 4.6</w:t>
      </w:r>
      <w:r w:rsidR="00FE793A" w:rsidRPr="005364F7">
        <w:rPr>
          <w:rFonts w:ascii="Arial" w:hAnsi="Arial" w:cs="Arial"/>
          <w:color w:val="1C1A15"/>
          <w:lang w:val="nl-BE"/>
        </w:rPr>
        <w:t xml:space="preserve"> </w:t>
      </w:r>
      <w:r w:rsidRPr="005364F7">
        <w:rPr>
          <w:rFonts w:ascii="Arial" w:hAnsi="Arial" w:cs="Arial"/>
          <w:color w:val="1C1A15"/>
          <w:lang w:val="nl-BE"/>
        </w:rPr>
        <w:t>a</w:t>
      </w:r>
      <w:r w:rsidR="00FE793A" w:rsidRPr="005364F7">
        <w:rPr>
          <w:rFonts w:ascii="Arial" w:hAnsi="Arial" w:cs="Arial"/>
          <w:color w:val="1C1A15"/>
          <w:lang w:val="nl-BE"/>
        </w:rPr>
        <w:t>)</w:t>
      </w:r>
      <w:r w:rsidRPr="005364F7">
        <w:rPr>
          <w:rFonts w:ascii="Arial" w:hAnsi="Arial" w:cs="Arial"/>
          <w:color w:val="1C1A15"/>
          <w:lang w:val="nl-BE"/>
        </w:rPr>
        <w:t xml:space="preserve"> kan enkel voldaan worden met gegevensbronnen die in het monitoringplan staan</w:t>
      </w:r>
      <w:r w:rsidR="00065231" w:rsidRPr="005364F7">
        <w:rPr>
          <w:rFonts w:ascii="Arial" w:hAnsi="Arial" w:cs="Arial"/>
          <w:color w:val="1C1A15"/>
          <w:lang w:val="nl-BE"/>
        </w:rPr>
        <w:t xml:space="preserve"> (</w:t>
      </w:r>
      <w:proofErr w:type="spellStart"/>
      <w:r w:rsidR="00065231" w:rsidRPr="005364F7">
        <w:rPr>
          <w:rFonts w:ascii="Arial" w:hAnsi="Arial" w:cs="Arial"/>
          <w:color w:val="1C1A15"/>
          <w:lang w:val="nl-BE"/>
        </w:rPr>
        <w:t>bvb</w:t>
      </w:r>
      <w:proofErr w:type="spellEnd"/>
      <w:r w:rsidR="001C2D7B" w:rsidRPr="005364F7">
        <w:rPr>
          <w:rFonts w:ascii="Arial" w:hAnsi="Arial" w:cs="Arial"/>
          <w:color w:val="1C1A15"/>
          <w:lang w:val="nl-BE"/>
        </w:rPr>
        <w:t>.</w:t>
      </w:r>
      <w:r w:rsidR="00065231" w:rsidRPr="005364F7">
        <w:rPr>
          <w:rFonts w:ascii="Arial" w:hAnsi="Arial" w:cs="Arial"/>
          <w:color w:val="1C1A15"/>
          <w:lang w:val="nl-BE"/>
        </w:rPr>
        <w:t xml:space="preserve"> in</w:t>
      </w:r>
      <w:r w:rsidR="001C2D7B" w:rsidRPr="005364F7">
        <w:rPr>
          <w:rFonts w:ascii="Arial" w:hAnsi="Arial" w:cs="Arial"/>
          <w:color w:val="1C1A15"/>
          <w:lang w:val="nl-BE"/>
        </w:rPr>
        <w:t>-line</w:t>
      </w:r>
      <w:r w:rsidR="00065231" w:rsidRPr="005364F7">
        <w:rPr>
          <w:rFonts w:ascii="Arial" w:hAnsi="Arial" w:cs="Arial"/>
          <w:color w:val="1C1A15"/>
          <w:lang w:val="nl-BE"/>
        </w:rPr>
        <w:t xml:space="preserve"> of </w:t>
      </w:r>
      <w:proofErr w:type="spellStart"/>
      <w:r w:rsidR="00065231" w:rsidRPr="005364F7">
        <w:rPr>
          <w:rFonts w:ascii="Arial" w:hAnsi="Arial" w:cs="Arial"/>
          <w:color w:val="1C1A15"/>
          <w:lang w:val="nl-BE"/>
        </w:rPr>
        <w:t>off</w:t>
      </w:r>
      <w:r w:rsidR="001C2D7B" w:rsidRPr="005364F7">
        <w:rPr>
          <w:rFonts w:ascii="Arial" w:hAnsi="Arial" w:cs="Arial"/>
          <w:color w:val="1C1A15"/>
          <w:lang w:val="nl-BE"/>
        </w:rPr>
        <w:t>-line</w:t>
      </w:r>
      <w:proofErr w:type="spellEnd"/>
      <w:r w:rsidR="00065231" w:rsidRPr="005364F7">
        <w:rPr>
          <w:rFonts w:ascii="Arial" w:hAnsi="Arial" w:cs="Arial"/>
          <w:color w:val="1C1A15"/>
          <w:lang w:val="nl-BE"/>
        </w:rPr>
        <w:t xml:space="preserve"> GC-analyse</w:t>
      </w:r>
      <w:r w:rsidR="00450631" w:rsidRPr="005364F7">
        <w:rPr>
          <w:rFonts w:ascii="Arial" w:hAnsi="Arial" w:cs="Arial"/>
          <w:color w:val="1C1A15"/>
          <w:lang w:val="nl-BE"/>
        </w:rPr>
        <w:t xml:space="preserve"> die aan tier 3 voldoet</w:t>
      </w:r>
      <w:r w:rsidR="00065231" w:rsidRPr="005364F7">
        <w:rPr>
          <w:rFonts w:ascii="Arial" w:hAnsi="Arial" w:cs="Arial"/>
          <w:color w:val="1C1A15"/>
          <w:lang w:val="nl-BE"/>
        </w:rPr>
        <w:t>)</w:t>
      </w:r>
    </w:p>
    <w:p w14:paraId="3C12664B" w14:textId="465963C7" w:rsidR="003C6B07" w:rsidRPr="005364F7" w:rsidRDefault="003C6B07" w:rsidP="005364F7">
      <w:pPr>
        <w:pStyle w:val="Default"/>
        <w:numPr>
          <w:ilvl w:val="1"/>
          <w:numId w:val="1"/>
        </w:numPr>
        <w:ind w:left="1418" w:hanging="284"/>
        <w:jc w:val="both"/>
        <w:rPr>
          <w:rFonts w:ascii="Arial" w:hAnsi="Arial" w:cs="Arial"/>
          <w:color w:val="1C1A15"/>
          <w:sz w:val="22"/>
          <w:szCs w:val="22"/>
          <w:lang w:val="nl-BE"/>
        </w:rPr>
      </w:pPr>
      <w:r w:rsidRPr="005364F7">
        <w:rPr>
          <w:rFonts w:ascii="Arial" w:hAnsi="Arial" w:cs="Arial"/>
          <w:color w:val="1C1A15"/>
          <w:sz w:val="22"/>
          <w:szCs w:val="22"/>
          <w:lang w:val="nl-BE"/>
        </w:rPr>
        <w:t>Aan 4.6</w:t>
      </w:r>
      <w:r w:rsidR="00FE793A" w:rsidRPr="005364F7">
        <w:rPr>
          <w:rFonts w:ascii="Arial" w:hAnsi="Arial" w:cs="Arial"/>
          <w:color w:val="1C1A15"/>
          <w:sz w:val="22"/>
          <w:szCs w:val="22"/>
          <w:lang w:val="nl-BE"/>
        </w:rPr>
        <w:t xml:space="preserve"> </w:t>
      </w:r>
      <w:r w:rsidRPr="005364F7">
        <w:rPr>
          <w:rFonts w:ascii="Arial" w:hAnsi="Arial" w:cs="Arial"/>
          <w:color w:val="1C1A15"/>
          <w:sz w:val="22"/>
          <w:szCs w:val="22"/>
          <w:lang w:val="nl-BE"/>
        </w:rPr>
        <w:t>b</w:t>
      </w:r>
      <w:r w:rsidR="00FE793A" w:rsidRPr="005364F7">
        <w:rPr>
          <w:rFonts w:ascii="Arial" w:hAnsi="Arial" w:cs="Arial"/>
          <w:color w:val="1C1A15"/>
          <w:sz w:val="22"/>
          <w:szCs w:val="22"/>
          <w:lang w:val="nl-BE"/>
        </w:rPr>
        <w:t>)</w:t>
      </w:r>
      <w:r w:rsidRPr="005364F7">
        <w:rPr>
          <w:rFonts w:ascii="Arial" w:hAnsi="Arial" w:cs="Arial"/>
          <w:color w:val="1C1A15"/>
          <w:sz w:val="22"/>
          <w:szCs w:val="22"/>
          <w:lang w:val="nl-BE"/>
        </w:rPr>
        <w:t xml:space="preserve"> kan men voor laboratoriumanalyses </w:t>
      </w:r>
      <w:r w:rsidR="00B53355" w:rsidRPr="005364F7">
        <w:rPr>
          <w:rFonts w:ascii="Arial" w:hAnsi="Arial" w:cs="Arial"/>
          <w:sz w:val="22"/>
          <w:szCs w:val="22"/>
          <w:lang w:val="nl-BE"/>
        </w:rPr>
        <w:t xml:space="preserve">(waaronder vochtgehalte, zuiverheidsgraad, concentratie, koolstofgehalte, </w:t>
      </w:r>
      <w:r w:rsidR="00B53355" w:rsidRPr="005364F7">
        <w:rPr>
          <w:rFonts w:ascii="Arial" w:hAnsi="Arial" w:cs="Arial"/>
          <w:color w:val="auto"/>
          <w:sz w:val="22"/>
          <w:szCs w:val="22"/>
          <w:lang w:val="nl-BE"/>
        </w:rPr>
        <w:t xml:space="preserve">biomassafractie, calorische </w:t>
      </w:r>
      <w:proofErr w:type="spellStart"/>
      <w:r w:rsidR="00B53355" w:rsidRPr="005364F7">
        <w:rPr>
          <w:rFonts w:ascii="Arial" w:hAnsi="Arial" w:cs="Arial"/>
          <w:color w:val="auto"/>
          <w:sz w:val="22"/>
          <w:szCs w:val="22"/>
          <w:lang w:val="nl-BE"/>
        </w:rPr>
        <w:t>onderwaarde</w:t>
      </w:r>
      <w:proofErr w:type="spellEnd"/>
      <w:r w:rsidR="00B53355" w:rsidRPr="005364F7">
        <w:rPr>
          <w:rFonts w:ascii="Arial" w:hAnsi="Arial" w:cs="Arial"/>
          <w:color w:val="auto"/>
          <w:sz w:val="22"/>
          <w:szCs w:val="22"/>
          <w:lang w:val="nl-BE"/>
        </w:rPr>
        <w:t xml:space="preserve"> en dichtheid van producten, materialen, brandstoffen of afgassen, of voor het vaststellen van correlaties tussen parameters voor het indirect bepalen van de vereiste gegevens) </w:t>
      </w:r>
      <w:r w:rsidRPr="005364F7">
        <w:rPr>
          <w:rFonts w:ascii="Arial" w:hAnsi="Arial" w:cs="Arial"/>
          <w:color w:val="1C1A15"/>
          <w:sz w:val="22"/>
          <w:szCs w:val="22"/>
          <w:lang w:val="nl-BE"/>
        </w:rPr>
        <w:t>voldoen indien deze uitgevoerd worden door een erkend laboratorium en met een frequentie zoals voorgeschreven in Art. 32-35 van de MRR</w:t>
      </w:r>
      <w:r w:rsidR="00B53355" w:rsidRPr="005364F7">
        <w:rPr>
          <w:rFonts w:ascii="Arial" w:hAnsi="Arial" w:cs="Arial"/>
          <w:color w:val="auto"/>
          <w:sz w:val="22"/>
          <w:szCs w:val="22"/>
          <w:lang w:val="nl-BE"/>
        </w:rPr>
        <w:t xml:space="preserve">. Indien er geen frequentie is </w:t>
      </w:r>
      <w:r w:rsidR="001C2D7B" w:rsidRPr="005364F7">
        <w:rPr>
          <w:rFonts w:ascii="Arial" w:hAnsi="Arial" w:cs="Arial"/>
          <w:color w:val="auto"/>
          <w:sz w:val="22"/>
          <w:szCs w:val="22"/>
          <w:lang w:val="nl-BE"/>
        </w:rPr>
        <w:t xml:space="preserve">zoals </w:t>
      </w:r>
      <w:r w:rsidR="00B53355" w:rsidRPr="005364F7">
        <w:rPr>
          <w:rFonts w:ascii="Arial" w:hAnsi="Arial" w:cs="Arial"/>
          <w:color w:val="auto"/>
          <w:sz w:val="22"/>
          <w:szCs w:val="22"/>
          <w:lang w:val="nl-BE"/>
        </w:rPr>
        <w:t xml:space="preserve">voorgeschreven in Art. 32-35 MRR stelt de exploitant een frequentie voor en laat deze door </w:t>
      </w:r>
      <w:r w:rsidR="001C2D7B" w:rsidRPr="005364F7">
        <w:rPr>
          <w:rFonts w:ascii="Arial" w:hAnsi="Arial" w:cs="Arial"/>
          <w:color w:val="auto"/>
          <w:sz w:val="22"/>
          <w:szCs w:val="22"/>
          <w:lang w:val="nl-BE"/>
        </w:rPr>
        <w:t>de Bevoegde Overheid (</w:t>
      </w:r>
      <w:r w:rsidR="00004CEA" w:rsidRPr="005364F7">
        <w:rPr>
          <w:rFonts w:ascii="Arial" w:hAnsi="Arial" w:cs="Arial"/>
          <w:color w:val="auto"/>
          <w:sz w:val="22"/>
          <w:szCs w:val="22"/>
          <w:lang w:val="nl-BE"/>
        </w:rPr>
        <w:t>VBBV/</w:t>
      </w:r>
      <w:r w:rsidR="001C2D7B" w:rsidRPr="005364F7">
        <w:rPr>
          <w:rFonts w:ascii="Arial" w:hAnsi="Arial" w:cs="Arial"/>
          <w:color w:val="auto"/>
          <w:sz w:val="22"/>
          <w:szCs w:val="22"/>
          <w:lang w:val="nl-BE"/>
        </w:rPr>
        <w:t xml:space="preserve">EKG) </w:t>
      </w:r>
      <w:r w:rsidR="00B53355" w:rsidRPr="005364F7">
        <w:rPr>
          <w:rFonts w:ascii="Arial" w:hAnsi="Arial" w:cs="Arial"/>
          <w:color w:val="auto"/>
          <w:sz w:val="22"/>
          <w:szCs w:val="22"/>
          <w:lang w:val="nl-BE"/>
        </w:rPr>
        <w:t>goedkeuren.</w:t>
      </w:r>
    </w:p>
    <w:p w14:paraId="2E8A8674" w14:textId="77777777" w:rsidR="00450631" w:rsidRPr="005364F7" w:rsidRDefault="00450631" w:rsidP="005364F7">
      <w:pPr>
        <w:pStyle w:val="Default"/>
        <w:jc w:val="both"/>
        <w:rPr>
          <w:rFonts w:ascii="Arial" w:hAnsi="Arial" w:cs="Arial"/>
          <w:color w:val="1C1A15"/>
          <w:sz w:val="22"/>
          <w:szCs w:val="22"/>
          <w:lang w:val="nl-BE"/>
        </w:rPr>
      </w:pPr>
    </w:p>
    <w:p w14:paraId="28EB253D" w14:textId="1FF42047" w:rsidR="008D04CC" w:rsidRPr="005364F7" w:rsidRDefault="00450631" w:rsidP="005364F7">
      <w:pPr>
        <w:pStyle w:val="Lijstalinea"/>
        <w:numPr>
          <w:ilvl w:val="0"/>
          <w:numId w:val="1"/>
        </w:numPr>
        <w:autoSpaceDE w:val="0"/>
        <w:autoSpaceDN w:val="0"/>
        <w:adjustRightInd w:val="0"/>
        <w:spacing w:after="0" w:line="240" w:lineRule="auto"/>
        <w:ind w:left="851" w:hanging="284"/>
        <w:jc w:val="both"/>
        <w:rPr>
          <w:rFonts w:ascii="Arial" w:hAnsi="Arial" w:cs="Arial"/>
          <w:color w:val="1C1A15"/>
          <w:lang w:val="nl-BE"/>
        </w:rPr>
      </w:pPr>
      <w:r w:rsidRPr="005364F7">
        <w:rPr>
          <w:rFonts w:ascii="Arial" w:hAnsi="Arial" w:cs="Arial"/>
          <w:color w:val="1C1A15"/>
          <w:lang w:val="nl-BE"/>
        </w:rPr>
        <w:t>De</w:t>
      </w:r>
      <w:r w:rsidR="008D04CC" w:rsidRPr="005364F7">
        <w:rPr>
          <w:rFonts w:ascii="Arial" w:hAnsi="Arial" w:cs="Arial"/>
          <w:color w:val="1C1A15"/>
          <w:lang w:val="nl-BE"/>
        </w:rPr>
        <w:t xml:space="preserve"> exploitant op basis van een vereenvoudigde onzekerheidsbeoordeling kan aantonen dat een methodiek die lager </w:t>
      </w:r>
      <w:r w:rsidR="00AC5FA3" w:rsidRPr="005364F7">
        <w:rPr>
          <w:rFonts w:ascii="Arial" w:hAnsi="Arial" w:cs="Arial"/>
          <w:color w:val="1C1A15"/>
          <w:lang w:val="nl-BE"/>
        </w:rPr>
        <w:t>in</w:t>
      </w:r>
      <w:r w:rsidR="008D04CC" w:rsidRPr="005364F7">
        <w:rPr>
          <w:rFonts w:ascii="Arial" w:hAnsi="Arial" w:cs="Arial"/>
          <w:color w:val="1C1A15"/>
          <w:lang w:val="nl-BE"/>
        </w:rPr>
        <w:t xml:space="preserve"> de hiërarchie staat een minstens even ho</w:t>
      </w:r>
      <w:r w:rsidRPr="005364F7">
        <w:rPr>
          <w:rFonts w:ascii="Arial" w:hAnsi="Arial" w:cs="Arial"/>
          <w:color w:val="1C1A15"/>
          <w:lang w:val="nl-BE"/>
        </w:rPr>
        <w:t>o</w:t>
      </w:r>
      <w:r w:rsidR="008D04CC" w:rsidRPr="005364F7">
        <w:rPr>
          <w:rFonts w:ascii="Arial" w:hAnsi="Arial" w:cs="Arial"/>
          <w:color w:val="1C1A15"/>
          <w:lang w:val="nl-BE"/>
        </w:rPr>
        <w:t xml:space="preserve">g nauwkeurigheidsniveau behaalt als de methodiek die bovenaan </w:t>
      </w:r>
      <w:r w:rsidR="00303E4D" w:rsidRPr="005364F7">
        <w:rPr>
          <w:rFonts w:ascii="Arial" w:hAnsi="Arial" w:cs="Arial"/>
          <w:color w:val="1C1A15"/>
          <w:lang w:val="nl-BE"/>
        </w:rPr>
        <w:t xml:space="preserve">in </w:t>
      </w:r>
      <w:r w:rsidR="008D04CC" w:rsidRPr="005364F7">
        <w:rPr>
          <w:rFonts w:ascii="Arial" w:hAnsi="Arial" w:cs="Arial"/>
          <w:color w:val="1C1A15"/>
          <w:lang w:val="nl-BE"/>
        </w:rPr>
        <w:t>de hiërarchie staat.</w:t>
      </w:r>
    </w:p>
    <w:p w14:paraId="60004E67" w14:textId="77777777" w:rsidR="008D04CC" w:rsidRPr="005364F7" w:rsidRDefault="008D04CC" w:rsidP="005364F7">
      <w:pPr>
        <w:autoSpaceDE w:val="0"/>
        <w:autoSpaceDN w:val="0"/>
        <w:adjustRightInd w:val="0"/>
        <w:spacing w:after="0" w:line="240" w:lineRule="auto"/>
        <w:jc w:val="both"/>
        <w:rPr>
          <w:rFonts w:ascii="Arial" w:hAnsi="Arial" w:cs="Arial"/>
          <w:color w:val="1C1A15"/>
          <w:lang w:val="nl-BE"/>
        </w:rPr>
      </w:pPr>
    </w:p>
    <w:p w14:paraId="70691414" w14:textId="7386FEE9" w:rsidR="00A66DA1" w:rsidRPr="005364F7" w:rsidRDefault="00A66DA1"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Voor de datacollectie voor de periode 2014-2018 – neergeschreven in het eerste MMP - waren exploitanten beperkt in de gegevensbronnen die ze ter beschikking hadden. Gezien de datacollectie pas achteraf gebeurde, was het onmogelijk om voor deze periode retroactief bijkomende gegevensbronnen te voorzien (bv. installatie van bijkomende sub-tellers). Daarom kon de voorgeschreven hiërarchie niet steeds gevolgd worden en werd ‘technisch onhaalbaar’ aanvaard voor niet bestaande metingen. Voor de komende jaren verdwijnt </w:t>
      </w:r>
      <w:r w:rsidR="00303E4D" w:rsidRPr="005364F7">
        <w:rPr>
          <w:rFonts w:ascii="Arial" w:hAnsi="Arial" w:cs="Arial"/>
          <w:color w:val="1C1A15"/>
          <w:lang w:val="nl-BE"/>
        </w:rPr>
        <w:t xml:space="preserve">echter </w:t>
      </w:r>
      <w:r w:rsidRPr="005364F7">
        <w:rPr>
          <w:rFonts w:ascii="Arial" w:hAnsi="Arial" w:cs="Arial"/>
          <w:color w:val="1C1A15"/>
          <w:lang w:val="nl-BE"/>
        </w:rPr>
        <w:t>deze beperking en kunnen er wel meters geïnstalleerd worden.</w:t>
      </w:r>
    </w:p>
    <w:p w14:paraId="57275EF6" w14:textId="77777777" w:rsidR="00A66B0E" w:rsidRPr="005364F7" w:rsidRDefault="00A66B0E" w:rsidP="005364F7">
      <w:pPr>
        <w:autoSpaceDE w:val="0"/>
        <w:autoSpaceDN w:val="0"/>
        <w:adjustRightInd w:val="0"/>
        <w:spacing w:after="0" w:line="240" w:lineRule="auto"/>
        <w:jc w:val="both"/>
        <w:rPr>
          <w:rFonts w:ascii="Arial" w:hAnsi="Arial" w:cs="Arial"/>
          <w:color w:val="1C1A15"/>
          <w:lang w:val="nl-BE"/>
        </w:rPr>
      </w:pPr>
    </w:p>
    <w:p w14:paraId="1A6097AD" w14:textId="77777777" w:rsidR="00800753" w:rsidRDefault="00A66DA1" w:rsidP="005364F7">
      <w:pPr>
        <w:pStyle w:val="Lijstalinea"/>
        <w:numPr>
          <w:ilvl w:val="0"/>
          <w:numId w:val="29"/>
        </w:numPr>
        <w:jc w:val="both"/>
        <w:rPr>
          <w:rFonts w:ascii="Arial" w:hAnsi="Arial" w:cs="Arial"/>
          <w:b/>
          <w:lang w:val="nl-BE"/>
        </w:rPr>
      </w:pPr>
      <w:r w:rsidRPr="005364F7">
        <w:rPr>
          <w:rFonts w:ascii="Arial" w:hAnsi="Arial" w:cs="Arial"/>
          <w:b/>
          <w:color w:val="1C1A15"/>
          <w:lang w:val="nl-BE"/>
        </w:rPr>
        <w:t xml:space="preserve">Exploitanten moeten daarom voor elke dataset nagaan of ze de voorgeschreven hiërarchie respecteren in hun reeds goedgekeurd MMP en </w:t>
      </w:r>
      <w:r w:rsidR="00303E4D" w:rsidRPr="005364F7">
        <w:rPr>
          <w:rFonts w:ascii="Arial" w:hAnsi="Arial" w:cs="Arial"/>
          <w:b/>
          <w:color w:val="1C1A15"/>
          <w:lang w:val="nl-BE"/>
        </w:rPr>
        <w:t>–</w:t>
      </w:r>
      <w:r w:rsidRPr="005364F7">
        <w:rPr>
          <w:rFonts w:ascii="Arial" w:hAnsi="Arial" w:cs="Arial"/>
          <w:b/>
          <w:color w:val="1C1A15"/>
          <w:lang w:val="nl-BE"/>
        </w:rPr>
        <w:t xml:space="preserve"> zo neen </w:t>
      </w:r>
      <w:r w:rsidR="00303E4D" w:rsidRPr="005364F7">
        <w:rPr>
          <w:rFonts w:ascii="Arial" w:hAnsi="Arial" w:cs="Arial"/>
          <w:b/>
          <w:color w:val="1C1A15"/>
          <w:lang w:val="nl-BE"/>
        </w:rPr>
        <w:t>–</w:t>
      </w:r>
      <w:r w:rsidRPr="005364F7">
        <w:rPr>
          <w:rFonts w:ascii="Arial" w:hAnsi="Arial" w:cs="Arial"/>
          <w:b/>
          <w:color w:val="1C1A15"/>
          <w:lang w:val="nl-BE"/>
        </w:rPr>
        <w:t xml:space="preserve"> of dit kan rechtgezet worden naar de toekomst toe (bv. via plaatsing van bijkomende sub</w:t>
      </w:r>
      <w:r w:rsidR="00303E4D" w:rsidRPr="005364F7">
        <w:rPr>
          <w:rFonts w:ascii="Arial" w:hAnsi="Arial" w:cs="Arial"/>
          <w:b/>
          <w:color w:val="1C1A15"/>
          <w:lang w:val="nl-BE"/>
        </w:rPr>
        <w:t>-</w:t>
      </w:r>
      <w:r w:rsidRPr="005364F7">
        <w:rPr>
          <w:rFonts w:ascii="Arial" w:hAnsi="Arial" w:cs="Arial"/>
          <w:b/>
          <w:color w:val="1C1A15"/>
          <w:lang w:val="nl-BE"/>
        </w:rPr>
        <w:t>tellers</w:t>
      </w:r>
      <w:r w:rsidR="00E40FB8" w:rsidRPr="005364F7">
        <w:rPr>
          <w:rFonts w:ascii="Arial" w:hAnsi="Arial" w:cs="Arial"/>
          <w:b/>
          <w:color w:val="1C1A15"/>
          <w:lang w:val="nl-BE"/>
        </w:rPr>
        <w:t xml:space="preserve">), rekening houdend met onredelijke kosten/technische onhaalbaarheid (zie onder). </w:t>
      </w:r>
      <w:r w:rsidRPr="005364F7">
        <w:rPr>
          <w:rFonts w:ascii="Arial" w:hAnsi="Arial" w:cs="Arial"/>
          <w:b/>
          <w:lang w:val="nl-BE"/>
        </w:rPr>
        <w:t>De daaruit voortvloeiende corrigerende maatregelen moeten opgenomen worden in het herwerkte MMP</w:t>
      </w:r>
      <w:r w:rsidR="002A545D" w:rsidRPr="005364F7">
        <w:rPr>
          <w:rFonts w:ascii="Arial" w:hAnsi="Arial" w:cs="Arial"/>
          <w:b/>
          <w:lang w:val="nl-BE"/>
        </w:rPr>
        <w:t xml:space="preserve"> </w:t>
      </w:r>
      <w:r w:rsidRPr="005364F7">
        <w:rPr>
          <w:rFonts w:ascii="Arial" w:hAnsi="Arial" w:cs="Arial"/>
          <w:b/>
          <w:lang w:val="nl-BE"/>
        </w:rPr>
        <w:t xml:space="preserve">dat moet ingediend worden tegen 31 december 2019. Voor corrigerende maatregelen (bv. plaatsing van bijkomende </w:t>
      </w:r>
      <w:r w:rsidRPr="005364F7">
        <w:rPr>
          <w:rFonts w:ascii="Arial" w:hAnsi="Arial" w:cs="Arial"/>
          <w:b/>
          <w:lang w:val="nl-BE"/>
        </w:rPr>
        <w:lastRenderedPageBreak/>
        <w:t xml:space="preserve">tellers) moet het </w:t>
      </w:r>
      <w:r w:rsidR="002A545D" w:rsidRPr="005364F7">
        <w:rPr>
          <w:rFonts w:ascii="Arial" w:hAnsi="Arial" w:cs="Arial"/>
          <w:b/>
          <w:lang w:val="nl-BE"/>
        </w:rPr>
        <w:t xml:space="preserve">herwerkt </w:t>
      </w:r>
      <w:r w:rsidRPr="005364F7">
        <w:rPr>
          <w:rFonts w:ascii="Arial" w:hAnsi="Arial" w:cs="Arial"/>
          <w:b/>
          <w:lang w:val="nl-BE"/>
        </w:rPr>
        <w:t xml:space="preserve">MMP een planning bevatten met info wanneer deze maatregelen zullen worden uitgevoerd. In deze gevallen moet het MMP ook de beschrijving behouden van de reeds goedgekeurde methodiek die in afwachting </w:t>
      </w:r>
      <w:r w:rsidRPr="005364F7">
        <w:rPr>
          <w:rFonts w:ascii="Arial" w:hAnsi="Arial" w:cs="Arial"/>
          <w:b/>
          <w:lang w:val="nl-BE"/>
        </w:rPr>
        <w:t>van de uitvoering van deze corrigerende maatregelen z</w:t>
      </w:r>
      <w:r w:rsidR="00303E4D" w:rsidRPr="005364F7">
        <w:rPr>
          <w:rFonts w:ascii="Arial" w:hAnsi="Arial" w:cs="Arial"/>
          <w:b/>
          <w:lang w:val="nl-BE"/>
        </w:rPr>
        <w:t>al</w:t>
      </w:r>
      <w:r w:rsidRPr="005364F7">
        <w:rPr>
          <w:rFonts w:ascii="Arial" w:hAnsi="Arial" w:cs="Arial"/>
          <w:b/>
          <w:lang w:val="nl-BE"/>
        </w:rPr>
        <w:t xml:space="preserve"> toegepast worden.</w:t>
      </w:r>
      <w:r w:rsidR="00CA3415" w:rsidRPr="005364F7">
        <w:rPr>
          <w:rFonts w:ascii="Arial" w:hAnsi="Arial" w:cs="Arial"/>
          <w:b/>
          <w:lang w:val="nl-BE"/>
        </w:rPr>
        <w:t xml:space="preserve"> In geval er sprake is van onredelijke kosten/technische onhaalbaarheid, moet hiervoor een onderbouwing toegevoegd worden (zie onder)</w:t>
      </w:r>
      <w:r w:rsidR="00800753">
        <w:rPr>
          <w:rFonts w:ascii="Arial" w:hAnsi="Arial" w:cs="Arial"/>
          <w:b/>
          <w:lang w:val="nl-BE"/>
        </w:rPr>
        <w:t>.</w:t>
      </w:r>
    </w:p>
    <w:p w14:paraId="4669009C" w14:textId="1E4661D7" w:rsidR="00A66DA1" w:rsidRPr="005364F7" w:rsidRDefault="00800753" w:rsidP="005364F7">
      <w:pPr>
        <w:pStyle w:val="Lijstalinea"/>
        <w:numPr>
          <w:ilvl w:val="0"/>
          <w:numId w:val="29"/>
        </w:numPr>
        <w:jc w:val="both"/>
        <w:rPr>
          <w:rFonts w:ascii="Arial" w:hAnsi="Arial" w:cs="Arial"/>
          <w:b/>
          <w:lang w:val="nl-BE"/>
        </w:rPr>
      </w:pPr>
      <w:r>
        <w:rPr>
          <w:rFonts w:ascii="Arial" w:hAnsi="Arial" w:cs="Arial"/>
          <w:b/>
          <w:lang w:val="nl-BE"/>
        </w:rPr>
        <w:t>W</w:t>
      </w:r>
      <w:r w:rsidR="00CA3415" w:rsidRPr="005364F7">
        <w:rPr>
          <w:rFonts w:ascii="Arial" w:hAnsi="Arial" w:cs="Arial"/>
          <w:b/>
          <w:lang w:val="nl-BE"/>
        </w:rPr>
        <w:t xml:space="preserve">anneer een exploitant meent dat een methodiek lager in de hiërarchie leidt tot minstens even nauwkeurige resultaten moet er een vereenvoudigde onzekerheidsberekening ter onderbouwing toegevoegd worden.  </w:t>
      </w:r>
    </w:p>
    <w:p w14:paraId="34E19292" w14:textId="69C3C5EA" w:rsidR="00A66DA1" w:rsidRPr="005364F7" w:rsidRDefault="00A66DA1" w:rsidP="005364F7">
      <w:pPr>
        <w:autoSpaceDE w:val="0"/>
        <w:autoSpaceDN w:val="0"/>
        <w:adjustRightInd w:val="0"/>
        <w:spacing w:after="0" w:line="240" w:lineRule="auto"/>
        <w:jc w:val="both"/>
        <w:rPr>
          <w:rFonts w:ascii="Arial" w:hAnsi="Arial" w:cs="Arial"/>
          <w:color w:val="000000"/>
          <w:lang w:val="nl-BE"/>
        </w:rPr>
      </w:pPr>
    </w:p>
    <w:p w14:paraId="168C9686" w14:textId="77777777" w:rsidR="00303E4D" w:rsidRPr="005364F7" w:rsidRDefault="00303E4D" w:rsidP="005364F7">
      <w:pPr>
        <w:autoSpaceDE w:val="0"/>
        <w:autoSpaceDN w:val="0"/>
        <w:adjustRightInd w:val="0"/>
        <w:spacing w:after="0" w:line="240" w:lineRule="auto"/>
        <w:jc w:val="both"/>
        <w:rPr>
          <w:rFonts w:ascii="Arial" w:hAnsi="Arial" w:cs="Arial"/>
          <w:color w:val="000000"/>
          <w:lang w:val="nl-BE"/>
        </w:rPr>
      </w:pPr>
    </w:p>
    <w:p w14:paraId="7573175A" w14:textId="7A6DBB11" w:rsidR="00D0209F" w:rsidRPr="005364F7" w:rsidRDefault="00694991" w:rsidP="005364F7">
      <w:pPr>
        <w:autoSpaceDE w:val="0"/>
        <w:autoSpaceDN w:val="0"/>
        <w:adjustRightInd w:val="0"/>
        <w:spacing w:after="0" w:line="240" w:lineRule="auto"/>
        <w:jc w:val="both"/>
        <w:rPr>
          <w:rFonts w:ascii="Arial" w:hAnsi="Arial" w:cs="Arial"/>
          <w:b/>
          <w:color w:val="1C1A15"/>
          <w:sz w:val="28"/>
          <w:szCs w:val="28"/>
          <w:u w:val="single"/>
          <w:lang w:val="nl-BE"/>
        </w:rPr>
      </w:pPr>
      <w:r w:rsidRPr="005364F7">
        <w:rPr>
          <w:rFonts w:ascii="Arial" w:hAnsi="Arial" w:cs="Arial"/>
          <w:b/>
          <w:color w:val="1C1A15"/>
          <w:sz w:val="28"/>
          <w:szCs w:val="28"/>
          <w:lang w:val="nl-BE"/>
        </w:rPr>
        <w:t>4</w:t>
      </w:r>
      <w:r w:rsidR="00FE793A" w:rsidRPr="005364F7">
        <w:rPr>
          <w:rFonts w:ascii="Arial" w:hAnsi="Arial" w:cs="Arial"/>
          <w:b/>
          <w:color w:val="1C1A15"/>
          <w:sz w:val="28"/>
          <w:szCs w:val="28"/>
          <w:lang w:val="nl-BE"/>
        </w:rPr>
        <w:t xml:space="preserve">.2 </w:t>
      </w:r>
      <w:r w:rsidR="00B53355" w:rsidRPr="005364F7">
        <w:rPr>
          <w:rFonts w:ascii="Arial" w:hAnsi="Arial" w:cs="Arial"/>
          <w:b/>
          <w:color w:val="1C1A15"/>
          <w:sz w:val="28"/>
          <w:szCs w:val="28"/>
          <w:u w:val="single"/>
          <w:lang w:val="nl-BE"/>
        </w:rPr>
        <w:t xml:space="preserve">Hoe stelt men technische onhaalbaarheid of onredelijke kosten </w:t>
      </w:r>
    </w:p>
    <w:p w14:paraId="7778C56F" w14:textId="1EAE265D" w:rsidR="00B53355" w:rsidRPr="005364F7" w:rsidRDefault="00D0209F" w:rsidP="005364F7">
      <w:pPr>
        <w:autoSpaceDE w:val="0"/>
        <w:autoSpaceDN w:val="0"/>
        <w:adjustRightInd w:val="0"/>
        <w:spacing w:after="0" w:line="240" w:lineRule="auto"/>
        <w:jc w:val="both"/>
        <w:rPr>
          <w:rFonts w:ascii="Arial" w:hAnsi="Arial" w:cs="Arial"/>
          <w:b/>
          <w:color w:val="1C1A15"/>
          <w:sz w:val="28"/>
          <w:szCs w:val="28"/>
          <w:u w:val="single"/>
          <w:lang w:val="nl-BE"/>
        </w:rPr>
      </w:pPr>
      <w:r w:rsidRPr="005364F7">
        <w:rPr>
          <w:rFonts w:ascii="Arial" w:hAnsi="Arial" w:cs="Arial"/>
          <w:b/>
          <w:color w:val="1C1A15"/>
          <w:sz w:val="28"/>
          <w:szCs w:val="28"/>
          <w:lang w:val="nl-BE"/>
        </w:rPr>
        <w:t xml:space="preserve">      </w:t>
      </w:r>
      <w:r w:rsidR="00B53355" w:rsidRPr="005364F7">
        <w:rPr>
          <w:rFonts w:ascii="Arial" w:hAnsi="Arial" w:cs="Arial"/>
          <w:b/>
          <w:color w:val="1C1A15"/>
          <w:sz w:val="28"/>
          <w:szCs w:val="28"/>
          <w:u w:val="single"/>
          <w:lang w:val="nl-BE"/>
        </w:rPr>
        <w:t>vast?</w:t>
      </w:r>
    </w:p>
    <w:p w14:paraId="6F3B1E65" w14:textId="77777777" w:rsidR="00B53355" w:rsidRPr="005364F7" w:rsidRDefault="00B53355" w:rsidP="005364F7">
      <w:pPr>
        <w:autoSpaceDE w:val="0"/>
        <w:autoSpaceDN w:val="0"/>
        <w:adjustRightInd w:val="0"/>
        <w:spacing w:after="0" w:line="240" w:lineRule="auto"/>
        <w:jc w:val="both"/>
        <w:rPr>
          <w:rFonts w:ascii="Arial" w:hAnsi="Arial" w:cs="Arial"/>
          <w:color w:val="1C1A15"/>
          <w:lang w:val="nl-BE"/>
        </w:rPr>
      </w:pPr>
    </w:p>
    <w:p w14:paraId="4A09F842" w14:textId="4F3085CF" w:rsidR="008D04CC" w:rsidRPr="005364F7" w:rsidRDefault="008D04CC"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Sectie</w:t>
      </w:r>
      <w:r w:rsidR="0052231D" w:rsidRPr="005364F7">
        <w:rPr>
          <w:rFonts w:ascii="Arial" w:hAnsi="Arial" w:cs="Arial"/>
          <w:color w:val="1C1A15"/>
          <w:lang w:val="nl-BE"/>
        </w:rPr>
        <w:t>s 4.1 en</w:t>
      </w:r>
      <w:r w:rsidRPr="005364F7">
        <w:rPr>
          <w:rFonts w:ascii="Arial" w:hAnsi="Arial" w:cs="Arial"/>
          <w:color w:val="1C1A15"/>
          <w:lang w:val="nl-BE"/>
        </w:rPr>
        <w:t xml:space="preserve"> 4.2 van bijlage VII bij de FAR en sectie 6.6.2 van </w:t>
      </w:r>
      <w:proofErr w:type="spellStart"/>
      <w:r w:rsidRPr="005364F7">
        <w:rPr>
          <w:rFonts w:ascii="Arial" w:hAnsi="Arial" w:cs="Arial"/>
          <w:color w:val="1C1A15"/>
          <w:lang w:val="nl-BE"/>
        </w:rPr>
        <w:t>G</w:t>
      </w:r>
      <w:r w:rsidR="00AB74E4" w:rsidRPr="005364F7">
        <w:rPr>
          <w:rFonts w:ascii="Arial" w:hAnsi="Arial" w:cs="Arial"/>
          <w:color w:val="1C1A15"/>
          <w:lang w:val="nl-BE"/>
        </w:rPr>
        <w:t>uidance</w:t>
      </w:r>
      <w:proofErr w:type="spellEnd"/>
      <w:r w:rsidR="00AB74E4" w:rsidRPr="005364F7">
        <w:rPr>
          <w:rFonts w:ascii="Arial" w:hAnsi="Arial" w:cs="Arial"/>
          <w:color w:val="1C1A15"/>
          <w:lang w:val="nl-BE"/>
        </w:rPr>
        <w:t xml:space="preserve"> </w:t>
      </w:r>
      <w:r w:rsidRPr="005364F7">
        <w:rPr>
          <w:rFonts w:ascii="Arial" w:hAnsi="Arial" w:cs="Arial"/>
          <w:color w:val="1C1A15"/>
          <w:lang w:val="nl-BE"/>
        </w:rPr>
        <w:t>D</w:t>
      </w:r>
      <w:r w:rsidR="00AB74E4" w:rsidRPr="005364F7">
        <w:rPr>
          <w:rFonts w:ascii="Arial" w:hAnsi="Arial" w:cs="Arial"/>
          <w:color w:val="1C1A15"/>
          <w:lang w:val="nl-BE"/>
        </w:rPr>
        <w:t xml:space="preserve">ocument </w:t>
      </w:r>
      <w:r w:rsidRPr="005364F7">
        <w:rPr>
          <w:rFonts w:ascii="Arial" w:hAnsi="Arial" w:cs="Arial"/>
          <w:color w:val="1C1A15"/>
          <w:lang w:val="nl-BE"/>
        </w:rPr>
        <w:t>5 bij de FAR bevatten verdere instructies</w:t>
      </w:r>
      <w:r w:rsidR="00B53355" w:rsidRPr="005364F7">
        <w:rPr>
          <w:rFonts w:ascii="Arial" w:hAnsi="Arial" w:cs="Arial"/>
          <w:color w:val="1C1A15"/>
          <w:lang w:val="nl-BE"/>
        </w:rPr>
        <w:t xml:space="preserve"> </w:t>
      </w:r>
      <w:r w:rsidRPr="005364F7">
        <w:rPr>
          <w:rFonts w:ascii="Arial" w:hAnsi="Arial" w:cs="Arial"/>
          <w:color w:val="1C1A15"/>
          <w:lang w:val="nl-BE"/>
        </w:rPr>
        <w:t>hoe technische onhaalbaarheid of onredelijke kosten moeten worden vastgesteld. In dit document</w:t>
      </w:r>
      <w:r w:rsidR="00B53355" w:rsidRPr="005364F7">
        <w:rPr>
          <w:rFonts w:ascii="Arial" w:hAnsi="Arial" w:cs="Arial"/>
          <w:color w:val="1C1A15"/>
          <w:lang w:val="nl-BE"/>
        </w:rPr>
        <w:t xml:space="preserve"> </w:t>
      </w:r>
      <w:r w:rsidRPr="005364F7">
        <w:rPr>
          <w:rFonts w:ascii="Arial" w:hAnsi="Arial" w:cs="Arial"/>
          <w:color w:val="1C1A15"/>
          <w:lang w:val="nl-BE"/>
        </w:rPr>
        <w:t>wordt deze informatie gebundeld en aangevuld met specifieke richtsnoeren hoe deze regels zullen</w:t>
      </w:r>
      <w:r w:rsidR="00B53355" w:rsidRPr="005364F7">
        <w:rPr>
          <w:rFonts w:ascii="Arial" w:hAnsi="Arial" w:cs="Arial"/>
          <w:color w:val="1C1A15"/>
          <w:lang w:val="nl-BE"/>
        </w:rPr>
        <w:t xml:space="preserve"> </w:t>
      </w:r>
      <w:r w:rsidRPr="005364F7">
        <w:rPr>
          <w:rFonts w:ascii="Arial" w:hAnsi="Arial" w:cs="Arial"/>
          <w:color w:val="1C1A15"/>
          <w:lang w:val="nl-BE"/>
        </w:rPr>
        <w:t>worden toegepast in het Vlaams Gewest.</w:t>
      </w:r>
    </w:p>
    <w:p w14:paraId="3F32F073" w14:textId="5BBE3B44" w:rsidR="0015639D" w:rsidRPr="005364F7" w:rsidRDefault="0015639D"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Zowel bij technische onhaalbaarheid als bij onredelijke kosten maakt de exploitant een voorstel </w:t>
      </w:r>
      <w:r w:rsidR="00A66B0E" w:rsidRPr="005364F7">
        <w:rPr>
          <w:rFonts w:ascii="Arial" w:hAnsi="Arial" w:cs="Arial"/>
          <w:color w:val="1C1A15"/>
          <w:lang w:val="nl-BE"/>
        </w:rPr>
        <w:t xml:space="preserve">over </w:t>
      </w:r>
      <w:r w:rsidRPr="005364F7">
        <w:rPr>
          <w:rFonts w:ascii="Arial" w:hAnsi="Arial" w:cs="Arial"/>
          <w:color w:val="1C1A15"/>
          <w:lang w:val="nl-BE"/>
        </w:rPr>
        <w:t xml:space="preserve">aan </w:t>
      </w:r>
      <w:r w:rsidR="00A66B0E" w:rsidRPr="005364F7">
        <w:rPr>
          <w:rFonts w:ascii="Arial" w:hAnsi="Arial" w:cs="Arial"/>
          <w:color w:val="1C1A15"/>
          <w:lang w:val="nl-BE"/>
        </w:rPr>
        <w:t xml:space="preserve">het </w:t>
      </w:r>
      <w:r w:rsidR="00004CEA" w:rsidRPr="005364F7">
        <w:rPr>
          <w:rFonts w:ascii="Arial" w:hAnsi="Arial" w:cs="Arial"/>
          <w:color w:val="1C1A15"/>
          <w:lang w:val="nl-BE"/>
        </w:rPr>
        <w:t>VBBV/EKG</w:t>
      </w:r>
      <w:r w:rsidRPr="005364F7">
        <w:rPr>
          <w:rFonts w:ascii="Arial" w:hAnsi="Arial" w:cs="Arial"/>
          <w:color w:val="1C1A15"/>
          <w:lang w:val="nl-BE"/>
        </w:rPr>
        <w:t xml:space="preserve">. Indien </w:t>
      </w:r>
      <w:r w:rsidR="000B004B" w:rsidRPr="005364F7">
        <w:rPr>
          <w:rFonts w:ascii="Arial" w:hAnsi="Arial" w:cs="Arial"/>
          <w:color w:val="1C1A15"/>
          <w:lang w:val="nl-BE"/>
        </w:rPr>
        <w:t xml:space="preserve">die </w:t>
      </w:r>
      <w:r w:rsidRPr="005364F7">
        <w:rPr>
          <w:rFonts w:ascii="Arial" w:hAnsi="Arial" w:cs="Arial"/>
          <w:color w:val="1C1A15"/>
          <w:lang w:val="nl-BE"/>
        </w:rPr>
        <w:t>het voorstel goedkeurt is het aanvaard als afwijkende monitoringmethodiek.</w:t>
      </w:r>
    </w:p>
    <w:p w14:paraId="7C9B8833" w14:textId="77777777" w:rsidR="0052231D" w:rsidRPr="005364F7" w:rsidRDefault="0052231D" w:rsidP="005364F7">
      <w:pPr>
        <w:autoSpaceDE w:val="0"/>
        <w:autoSpaceDN w:val="0"/>
        <w:adjustRightInd w:val="0"/>
        <w:spacing w:after="0" w:line="240" w:lineRule="auto"/>
        <w:jc w:val="both"/>
        <w:rPr>
          <w:rFonts w:ascii="Arial" w:hAnsi="Arial" w:cs="Arial"/>
          <w:color w:val="1C1A15"/>
          <w:lang w:val="nl-BE"/>
        </w:rPr>
      </w:pPr>
    </w:p>
    <w:p w14:paraId="7B85E7A5" w14:textId="2BF47F2A" w:rsidR="008D04CC" w:rsidRPr="005364F7" w:rsidRDefault="00694991" w:rsidP="005364F7">
      <w:pPr>
        <w:autoSpaceDE w:val="0"/>
        <w:autoSpaceDN w:val="0"/>
        <w:adjustRightInd w:val="0"/>
        <w:spacing w:after="0" w:line="240" w:lineRule="auto"/>
        <w:jc w:val="both"/>
        <w:rPr>
          <w:rFonts w:ascii="Arial" w:hAnsi="Arial" w:cs="Arial"/>
          <w:b/>
          <w:color w:val="1C1A15"/>
          <w:sz w:val="24"/>
          <w:szCs w:val="24"/>
          <w:lang w:val="nl-BE"/>
        </w:rPr>
      </w:pPr>
      <w:r w:rsidRPr="005364F7">
        <w:rPr>
          <w:rFonts w:ascii="Arial" w:hAnsi="Arial" w:cs="Arial"/>
          <w:b/>
          <w:color w:val="1C1A15"/>
          <w:sz w:val="24"/>
          <w:szCs w:val="24"/>
          <w:lang w:val="nl-BE"/>
        </w:rPr>
        <w:t>4</w:t>
      </w:r>
      <w:r w:rsidR="00FE793A" w:rsidRPr="005364F7">
        <w:rPr>
          <w:rFonts w:ascii="Arial" w:hAnsi="Arial" w:cs="Arial"/>
          <w:b/>
          <w:color w:val="1C1A15"/>
          <w:sz w:val="24"/>
          <w:szCs w:val="24"/>
          <w:lang w:val="nl-BE"/>
        </w:rPr>
        <w:t xml:space="preserve">.2.1 </w:t>
      </w:r>
      <w:r w:rsidR="00535873" w:rsidRPr="005364F7">
        <w:rPr>
          <w:rFonts w:ascii="Arial" w:hAnsi="Arial" w:cs="Arial"/>
          <w:b/>
          <w:color w:val="1C1A15"/>
          <w:sz w:val="24"/>
          <w:szCs w:val="24"/>
          <w:lang w:val="nl-BE"/>
        </w:rPr>
        <w:t>Toetsing v</w:t>
      </w:r>
      <w:r w:rsidR="008D04CC" w:rsidRPr="005364F7">
        <w:rPr>
          <w:rFonts w:ascii="Arial" w:hAnsi="Arial" w:cs="Arial"/>
          <w:b/>
          <w:color w:val="1C1A15"/>
          <w:sz w:val="24"/>
          <w:szCs w:val="24"/>
          <w:lang w:val="nl-BE"/>
        </w:rPr>
        <w:t>an technische onhaalbaarheid</w:t>
      </w:r>
    </w:p>
    <w:p w14:paraId="297090F8" w14:textId="77272ABD" w:rsidR="0052231D" w:rsidRPr="005364F7" w:rsidRDefault="0052231D" w:rsidP="005364F7">
      <w:pPr>
        <w:autoSpaceDE w:val="0"/>
        <w:autoSpaceDN w:val="0"/>
        <w:adjustRightInd w:val="0"/>
        <w:spacing w:after="0" w:line="240" w:lineRule="auto"/>
        <w:jc w:val="both"/>
        <w:rPr>
          <w:rFonts w:ascii="Arial" w:hAnsi="Arial" w:cs="Arial"/>
          <w:color w:val="1C1A15"/>
          <w:lang w:val="nl-BE"/>
        </w:rPr>
      </w:pPr>
    </w:p>
    <w:p w14:paraId="48981574" w14:textId="2EB37B25" w:rsidR="0052231D" w:rsidRPr="005364F7" w:rsidRDefault="0052231D"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Sectie 4.1 van bijlage VII bij de FAR beschrijft de voorwaarden waarop de exploitant kan terugvallen om aan </w:t>
      </w:r>
      <w:r w:rsidR="00F2332C">
        <w:rPr>
          <w:rFonts w:ascii="Arial" w:hAnsi="Arial" w:cs="Arial"/>
          <w:color w:val="1C1A15"/>
          <w:lang w:val="nl-BE"/>
        </w:rPr>
        <w:t>de B</w:t>
      </w:r>
      <w:r w:rsidR="00F2332C">
        <w:rPr>
          <w:rFonts w:ascii="Arial" w:hAnsi="Arial" w:cs="Arial"/>
          <w:color w:val="1C1A15"/>
          <w:lang w:val="nl-BE"/>
        </w:rPr>
        <w:t>evoegd</w:t>
      </w:r>
      <w:r w:rsidR="00F2332C">
        <w:rPr>
          <w:rFonts w:ascii="Arial" w:hAnsi="Arial" w:cs="Arial"/>
          <w:color w:val="1C1A15"/>
          <w:lang w:val="nl-BE"/>
        </w:rPr>
        <w:t>e Overheid</w:t>
      </w:r>
      <w:r w:rsidRPr="005364F7">
        <w:rPr>
          <w:rFonts w:ascii="Arial" w:hAnsi="Arial" w:cs="Arial"/>
          <w:color w:val="1C1A15"/>
          <w:lang w:val="nl-BE"/>
        </w:rPr>
        <w:t xml:space="preserve"> aan te tonen dat een </w:t>
      </w:r>
      <w:r w:rsidR="00AB74E4" w:rsidRPr="005364F7">
        <w:rPr>
          <w:rFonts w:ascii="Arial" w:hAnsi="Arial" w:cs="Arial"/>
          <w:color w:val="1C1A15"/>
          <w:lang w:val="nl-BE"/>
        </w:rPr>
        <w:t xml:space="preserve">vereiste </w:t>
      </w:r>
      <w:r w:rsidRPr="005364F7">
        <w:rPr>
          <w:rFonts w:ascii="Arial" w:hAnsi="Arial" w:cs="Arial"/>
          <w:color w:val="1C1A15"/>
          <w:lang w:val="nl-BE"/>
        </w:rPr>
        <w:t xml:space="preserve">monitoringmethodiek technisch onhaalbaar is. </w:t>
      </w:r>
    </w:p>
    <w:p w14:paraId="4426CD25" w14:textId="77777777" w:rsidR="00A66B0E" w:rsidRPr="005364F7" w:rsidRDefault="00A66B0E" w:rsidP="005364F7">
      <w:pPr>
        <w:autoSpaceDE w:val="0"/>
        <w:autoSpaceDN w:val="0"/>
        <w:adjustRightInd w:val="0"/>
        <w:spacing w:after="0" w:line="240" w:lineRule="auto"/>
        <w:jc w:val="both"/>
        <w:rPr>
          <w:rFonts w:ascii="Arial" w:hAnsi="Arial" w:cs="Arial"/>
          <w:color w:val="1C1A15"/>
          <w:lang w:val="nl-BE"/>
        </w:rPr>
      </w:pPr>
    </w:p>
    <w:p w14:paraId="422A2CF3" w14:textId="03860C72" w:rsidR="008D04CC" w:rsidRPr="005364F7" w:rsidRDefault="008D04CC"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In </w:t>
      </w:r>
      <w:proofErr w:type="spellStart"/>
      <w:r w:rsidRPr="005364F7">
        <w:rPr>
          <w:rFonts w:ascii="Arial" w:hAnsi="Arial" w:cs="Arial"/>
          <w:color w:val="1C1A15"/>
          <w:lang w:val="nl-BE"/>
        </w:rPr>
        <w:t>Guidance</w:t>
      </w:r>
      <w:proofErr w:type="spellEnd"/>
      <w:r w:rsidRPr="005364F7">
        <w:rPr>
          <w:rFonts w:ascii="Arial" w:hAnsi="Arial" w:cs="Arial"/>
          <w:color w:val="1C1A15"/>
          <w:lang w:val="nl-BE"/>
        </w:rPr>
        <w:t xml:space="preserve"> Document 5 bij de FAR wordt </w:t>
      </w:r>
      <w:r w:rsidR="0052231D" w:rsidRPr="005364F7">
        <w:rPr>
          <w:rFonts w:ascii="Arial" w:hAnsi="Arial" w:cs="Arial"/>
          <w:color w:val="1C1A15"/>
          <w:lang w:val="nl-BE"/>
        </w:rPr>
        <w:t xml:space="preserve">dan </w:t>
      </w:r>
      <w:r w:rsidRPr="005364F7">
        <w:rPr>
          <w:rFonts w:ascii="Arial" w:hAnsi="Arial" w:cs="Arial"/>
          <w:color w:val="1C1A15"/>
          <w:lang w:val="nl-BE"/>
        </w:rPr>
        <w:t>toegelicht dat typische gevallen van technische</w:t>
      </w:r>
      <w:r w:rsidR="0052231D" w:rsidRPr="005364F7">
        <w:rPr>
          <w:rFonts w:ascii="Arial" w:hAnsi="Arial" w:cs="Arial"/>
          <w:color w:val="1C1A15"/>
          <w:lang w:val="nl-BE"/>
        </w:rPr>
        <w:t xml:space="preserve"> </w:t>
      </w:r>
      <w:r w:rsidRPr="005364F7">
        <w:rPr>
          <w:rFonts w:ascii="Arial" w:hAnsi="Arial" w:cs="Arial"/>
          <w:color w:val="1C1A15"/>
          <w:lang w:val="nl-BE"/>
        </w:rPr>
        <w:t>onhaalbaarheid voorkomen in één van de volgende gevallen:</w:t>
      </w:r>
    </w:p>
    <w:p w14:paraId="35C72F26" w14:textId="4DCED70A" w:rsidR="008D04CC" w:rsidRPr="005364F7" w:rsidRDefault="008D04CC" w:rsidP="005364F7">
      <w:pPr>
        <w:pStyle w:val="Lijstalinea"/>
        <w:numPr>
          <w:ilvl w:val="1"/>
          <w:numId w:val="3"/>
        </w:numPr>
        <w:autoSpaceDE w:val="0"/>
        <w:autoSpaceDN w:val="0"/>
        <w:adjustRightInd w:val="0"/>
        <w:spacing w:after="0" w:line="240" w:lineRule="auto"/>
        <w:ind w:left="851" w:hanging="284"/>
        <w:jc w:val="both"/>
        <w:rPr>
          <w:rFonts w:ascii="Arial" w:hAnsi="Arial" w:cs="Arial"/>
          <w:color w:val="1C1A15"/>
          <w:lang w:val="nl-BE"/>
        </w:rPr>
      </w:pPr>
      <w:r w:rsidRPr="005364F7">
        <w:rPr>
          <w:rFonts w:ascii="Arial" w:hAnsi="Arial" w:cs="Arial"/>
          <w:color w:val="1C1A15"/>
          <w:lang w:val="nl-BE"/>
        </w:rPr>
        <w:t>Er is onvoldoende ruimte beschikbaar binnen de installatie om een bepaald meetinstrument</w:t>
      </w:r>
      <w:r w:rsidR="00535873" w:rsidRPr="005364F7">
        <w:rPr>
          <w:rFonts w:ascii="Arial" w:hAnsi="Arial" w:cs="Arial"/>
          <w:color w:val="1C1A15"/>
          <w:lang w:val="nl-BE"/>
        </w:rPr>
        <w:t xml:space="preserve"> te installeren;</w:t>
      </w:r>
    </w:p>
    <w:p w14:paraId="75998056" w14:textId="131C785F" w:rsidR="00535873" w:rsidRPr="005364F7" w:rsidRDefault="00535873" w:rsidP="005364F7">
      <w:pPr>
        <w:pStyle w:val="Lijstalinea"/>
        <w:numPr>
          <w:ilvl w:val="1"/>
          <w:numId w:val="3"/>
        </w:numPr>
        <w:autoSpaceDE w:val="0"/>
        <w:autoSpaceDN w:val="0"/>
        <w:adjustRightInd w:val="0"/>
        <w:spacing w:after="0" w:line="240" w:lineRule="auto"/>
        <w:ind w:left="851" w:hanging="284"/>
        <w:jc w:val="both"/>
        <w:rPr>
          <w:rFonts w:ascii="Arial" w:hAnsi="Arial" w:cs="Arial"/>
          <w:color w:val="1C1A15"/>
          <w:lang w:val="nl-BE"/>
        </w:rPr>
      </w:pPr>
      <w:r w:rsidRPr="005364F7">
        <w:rPr>
          <w:rFonts w:ascii="Arial" w:hAnsi="Arial" w:cs="Arial"/>
          <w:color w:val="1C1A15"/>
          <w:lang w:val="nl-BE"/>
        </w:rPr>
        <w:t>Er is momenteel geen meetinstrument beschikbaar op de markt dat onder nationale metrologische wetgeving valt [of dat voldoet aan de voorschriften krachtens Richtlijn 2014/31/EU of Richtlijn 2014/32/EU];</w:t>
      </w:r>
    </w:p>
    <w:p w14:paraId="464290E7" w14:textId="6687AC3A" w:rsidR="00535873" w:rsidRPr="005364F7" w:rsidRDefault="00535873" w:rsidP="005364F7">
      <w:pPr>
        <w:pStyle w:val="Lijstalinea"/>
        <w:numPr>
          <w:ilvl w:val="1"/>
          <w:numId w:val="3"/>
        </w:numPr>
        <w:autoSpaceDE w:val="0"/>
        <w:autoSpaceDN w:val="0"/>
        <w:adjustRightInd w:val="0"/>
        <w:spacing w:after="0" w:line="240" w:lineRule="auto"/>
        <w:ind w:left="851" w:hanging="284"/>
        <w:jc w:val="both"/>
        <w:rPr>
          <w:rFonts w:ascii="Arial" w:hAnsi="Arial" w:cs="Arial"/>
          <w:color w:val="1C1A15"/>
          <w:lang w:val="nl-BE"/>
        </w:rPr>
      </w:pPr>
      <w:r w:rsidRPr="005364F7">
        <w:rPr>
          <w:rFonts w:ascii="Arial" w:hAnsi="Arial" w:cs="Arial"/>
          <w:color w:val="1C1A15"/>
          <w:lang w:val="nl-BE"/>
        </w:rPr>
        <w:t>De installatie van een meetin</w:t>
      </w:r>
      <w:r w:rsidR="00DA2D28" w:rsidRPr="005364F7">
        <w:rPr>
          <w:rFonts w:ascii="Arial" w:hAnsi="Arial" w:cs="Arial"/>
          <w:color w:val="1C1A15"/>
          <w:lang w:val="nl-BE"/>
        </w:rPr>
        <w:t>strument vereist een verlenging</w:t>
      </w:r>
      <w:r w:rsidRPr="005364F7">
        <w:rPr>
          <w:rFonts w:ascii="Arial" w:hAnsi="Arial" w:cs="Arial"/>
          <w:color w:val="1C1A15"/>
          <w:lang w:val="nl-BE"/>
        </w:rPr>
        <w:t xml:space="preserve"> van </w:t>
      </w:r>
      <w:r w:rsidR="00DA2D28" w:rsidRPr="005364F7">
        <w:rPr>
          <w:rFonts w:ascii="Arial" w:hAnsi="Arial" w:cs="Arial"/>
          <w:color w:val="1C1A15"/>
          <w:lang w:val="nl-BE"/>
        </w:rPr>
        <w:t>een technische stilstand van de installatie</w:t>
      </w:r>
    </w:p>
    <w:p w14:paraId="54A538BF" w14:textId="2D286E04" w:rsidR="008D04CC" w:rsidRPr="005364F7" w:rsidRDefault="008D04CC" w:rsidP="005364F7">
      <w:pPr>
        <w:autoSpaceDE w:val="0"/>
        <w:autoSpaceDN w:val="0"/>
        <w:adjustRightInd w:val="0"/>
        <w:spacing w:after="0" w:line="240" w:lineRule="auto"/>
        <w:ind w:left="851" w:hanging="284"/>
        <w:jc w:val="both"/>
        <w:rPr>
          <w:rFonts w:ascii="Arial" w:hAnsi="Arial" w:cs="Arial"/>
          <w:color w:val="1C1A15"/>
          <w:lang w:val="nl-BE"/>
        </w:rPr>
      </w:pPr>
    </w:p>
    <w:p w14:paraId="653BF62B" w14:textId="761A7C26" w:rsidR="00DA2D28" w:rsidRPr="005364F7" w:rsidRDefault="008D04CC"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In sectie 4.4 van bijlage VII van de FAR wordt als meest nauwkeurige type gegevensbron</w:t>
      </w:r>
      <w:r w:rsidR="0059015F" w:rsidRPr="005364F7">
        <w:rPr>
          <w:rFonts w:ascii="Arial" w:hAnsi="Arial" w:cs="Arial"/>
          <w:color w:val="1C1A15"/>
          <w:lang w:val="nl-BE"/>
        </w:rPr>
        <w:t xml:space="preserve">, d.i. 4.4 a), </w:t>
      </w:r>
      <w:r w:rsidRPr="005364F7">
        <w:rPr>
          <w:rFonts w:ascii="Arial" w:hAnsi="Arial" w:cs="Arial"/>
          <w:color w:val="1C1A15"/>
          <w:lang w:val="nl-BE"/>
        </w:rPr>
        <w:t>verwezen</w:t>
      </w:r>
      <w:r w:rsidR="00DA2D28" w:rsidRPr="005364F7">
        <w:rPr>
          <w:rFonts w:ascii="Arial" w:hAnsi="Arial" w:cs="Arial"/>
          <w:color w:val="1C1A15"/>
          <w:lang w:val="nl-BE"/>
        </w:rPr>
        <w:t xml:space="preserve"> </w:t>
      </w:r>
      <w:r w:rsidRPr="005364F7">
        <w:rPr>
          <w:rFonts w:ascii="Arial" w:hAnsi="Arial" w:cs="Arial"/>
          <w:color w:val="1C1A15"/>
          <w:lang w:val="nl-BE"/>
        </w:rPr>
        <w:t xml:space="preserve">naar methoden die zijn opgenomen in het goedgekeurde </w:t>
      </w:r>
      <w:r w:rsidR="00DA2D28" w:rsidRPr="005364F7">
        <w:rPr>
          <w:rFonts w:ascii="Arial" w:hAnsi="Arial" w:cs="Arial"/>
          <w:color w:val="1C1A15"/>
          <w:lang w:val="nl-BE"/>
        </w:rPr>
        <w:t xml:space="preserve">monitoringplan </w:t>
      </w:r>
      <w:r w:rsidR="0059015F" w:rsidRPr="005364F7">
        <w:rPr>
          <w:rFonts w:ascii="Arial" w:hAnsi="Arial" w:cs="Arial"/>
          <w:color w:val="1C1A15"/>
          <w:lang w:val="nl-BE"/>
        </w:rPr>
        <w:t>voor CO</w:t>
      </w:r>
      <w:r w:rsidR="0059015F" w:rsidRPr="005364F7">
        <w:rPr>
          <w:rFonts w:ascii="Arial" w:hAnsi="Arial" w:cs="Arial"/>
          <w:color w:val="1C1A15"/>
          <w:vertAlign w:val="subscript"/>
          <w:lang w:val="nl-BE"/>
        </w:rPr>
        <w:t>2</w:t>
      </w:r>
      <w:r w:rsidR="0059015F" w:rsidRPr="005364F7">
        <w:rPr>
          <w:rFonts w:ascii="Arial" w:hAnsi="Arial" w:cs="Arial"/>
          <w:color w:val="1C1A15"/>
          <w:lang w:val="nl-BE"/>
        </w:rPr>
        <w:t>-</w:t>
      </w:r>
      <w:r w:rsidR="00DA2D28" w:rsidRPr="005364F7">
        <w:rPr>
          <w:rFonts w:ascii="Arial" w:hAnsi="Arial" w:cs="Arial"/>
          <w:color w:val="1C1A15"/>
          <w:lang w:val="nl-BE"/>
        </w:rPr>
        <w:t>emissies</w:t>
      </w:r>
      <w:r w:rsidRPr="005364F7">
        <w:rPr>
          <w:rFonts w:ascii="Arial" w:hAnsi="Arial" w:cs="Arial"/>
          <w:color w:val="1C1A15"/>
          <w:lang w:val="nl-BE"/>
        </w:rPr>
        <w:t xml:space="preserve">. </w:t>
      </w:r>
    </w:p>
    <w:p w14:paraId="3BF075E6" w14:textId="59D4B285" w:rsidR="008D04CC" w:rsidRPr="005364F7" w:rsidRDefault="008D04CC"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Indien</w:t>
      </w:r>
      <w:r w:rsidR="00DA2D28" w:rsidRPr="005364F7">
        <w:rPr>
          <w:rFonts w:ascii="Arial" w:hAnsi="Arial" w:cs="Arial"/>
          <w:color w:val="1C1A15"/>
          <w:lang w:val="nl-BE"/>
        </w:rPr>
        <w:t xml:space="preserve"> </w:t>
      </w:r>
      <w:r w:rsidRPr="005364F7">
        <w:rPr>
          <w:rFonts w:ascii="Arial" w:hAnsi="Arial" w:cs="Arial"/>
          <w:color w:val="1C1A15"/>
          <w:lang w:val="nl-BE"/>
        </w:rPr>
        <w:t>voor een bepaalde dataset geen methode is opgenomen in het goedgekeurde monitoringplan, is niveau 4.4</w:t>
      </w:r>
      <w:r w:rsidR="0059015F" w:rsidRPr="005364F7">
        <w:rPr>
          <w:rFonts w:ascii="Arial" w:hAnsi="Arial" w:cs="Arial"/>
          <w:color w:val="1C1A15"/>
          <w:lang w:val="nl-BE"/>
        </w:rPr>
        <w:t xml:space="preserve"> </w:t>
      </w:r>
      <w:r w:rsidRPr="005364F7">
        <w:rPr>
          <w:rFonts w:ascii="Arial" w:hAnsi="Arial" w:cs="Arial"/>
          <w:color w:val="1C1A15"/>
          <w:lang w:val="nl-BE"/>
        </w:rPr>
        <w:t>a</w:t>
      </w:r>
      <w:r w:rsidR="0059015F" w:rsidRPr="005364F7">
        <w:rPr>
          <w:rFonts w:ascii="Arial" w:hAnsi="Arial" w:cs="Arial"/>
          <w:color w:val="1C1A15"/>
          <w:lang w:val="nl-BE"/>
        </w:rPr>
        <w:t>)</w:t>
      </w:r>
      <w:r w:rsidRPr="005364F7">
        <w:rPr>
          <w:rFonts w:ascii="Arial" w:hAnsi="Arial" w:cs="Arial"/>
          <w:color w:val="1C1A15"/>
          <w:lang w:val="nl-BE"/>
        </w:rPr>
        <w:t xml:space="preserve"> ‘technisch onhaalbaar’ en moet nagekeken worden of er bijkomende</w:t>
      </w:r>
      <w:r w:rsidR="00DA2D28" w:rsidRPr="005364F7">
        <w:rPr>
          <w:rFonts w:ascii="Arial" w:hAnsi="Arial" w:cs="Arial"/>
          <w:color w:val="1C1A15"/>
          <w:lang w:val="nl-BE"/>
        </w:rPr>
        <w:t xml:space="preserve"> </w:t>
      </w:r>
      <w:r w:rsidRPr="005364F7">
        <w:rPr>
          <w:rFonts w:ascii="Arial" w:hAnsi="Arial" w:cs="Arial"/>
          <w:color w:val="1C1A15"/>
          <w:lang w:val="nl-BE"/>
        </w:rPr>
        <w:t>meetinstrumenten kunnen worden geplaatst waarop nationale wettelijke metrologische controle van</w:t>
      </w:r>
      <w:r w:rsidR="00DA2D28" w:rsidRPr="005364F7">
        <w:rPr>
          <w:rFonts w:ascii="Arial" w:hAnsi="Arial" w:cs="Arial"/>
          <w:color w:val="1C1A15"/>
          <w:lang w:val="nl-BE"/>
        </w:rPr>
        <w:t xml:space="preserve"> </w:t>
      </w:r>
      <w:r w:rsidRPr="005364F7">
        <w:rPr>
          <w:rFonts w:ascii="Arial" w:hAnsi="Arial" w:cs="Arial"/>
          <w:color w:val="1C1A15"/>
          <w:lang w:val="nl-BE"/>
        </w:rPr>
        <w:t>toepassing is, of die voldoen aan de voorschriften krachtens Richtlijn 2014/31/EU of 2014/32/EU</w:t>
      </w:r>
      <w:r w:rsidR="00A66B0E" w:rsidRPr="005364F7">
        <w:rPr>
          <w:rFonts w:ascii="Arial" w:hAnsi="Arial" w:cs="Arial"/>
          <w:color w:val="1C1A15"/>
          <w:lang w:val="nl-BE"/>
        </w:rPr>
        <w:t xml:space="preserve"> (m</w:t>
      </w:r>
      <w:r w:rsidRPr="005364F7">
        <w:rPr>
          <w:rFonts w:ascii="Arial" w:hAnsi="Arial" w:cs="Arial"/>
          <w:color w:val="1C1A15"/>
          <w:lang w:val="nl-BE"/>
        </w:rPr>
        <w:t>eetinstrumenten die voldoen aan de voorschriften krachtens deze twee richtlijnen zijn te</w:t>
      </w:r>
      <w:r w:rsidR="00DA2D28" w:rsidRPr="005364F7">
        <w:rPr>
          <w:rFonts w:ascii="Arial" w:hAnsi="Arial" w:cs="Arial"/>
          <w:color w:val="1C1A15"/>
          <w:lang w:val="nl-BE"/>
        </w:rPr>
        <w:t xml:space="preserve"> </w:t>
      </w:r>
      <w:r w:rsidRPr="005364F7">
        <w:rPr>
          <w:rFonts w:ascii="Arial" w:hAnsi="Arial" w:cs="Arial"/>
          <w:color w:val="1C1A15"/>
          <w:lang w:val="nl-BE"/>
        </w:rPr>
        <w:t>herkennen aan de aanwezigheid van een CE label</w:t>
      </w:r>
      <w:r w:rsidR="00A66B0E" w:rsidRPr="005364F7">
        <w:rPr>
          <w:rFonts w:ascii="Arial" w:hAnsi="Arial" w:cs="Arial"/>
          <w:color w:val="1C1A15"/>
          <w:lang w:val="nl-BE"/>
        </w:rPr>
        <w:t>)</w:t>
      </w:r>
      <w:r w:rsidRPr="005364F7">
        <w:rPr>
          <w:rFonts w:ascii="Arial" w:hAnsi="Arial" w:cs="Arial"/>
          <w:color w:val="1C1A15"/>
          <w:lang w:val="nl-BE"/>
        </w:rPr>
        <w:t>. Met de plaatsing van dit type meetinstrumenten</w:t>
      </w:r>
      <w:r w:rsidR="00DA2D28" w:rsidRPr="005364F7">
        <w:rPr>
          <w:rFonts w:ascii="Arial" w:hAnsi="Arial" w:cs="Arial"/>
          <w:color w:val="1C1A15"/>
          <w:lang w:val="nl-BE"/>
        </w:rPr>
        <w:t xml:space="preserve"> </w:t>
      </w:r>
      <w:r w:rsidRPr="005364F7">
        <w:rPr>
          <w:rFonts w:ascii="Arial" w:hAnsi="Arial" w:cs="Arial"/>
          <w:color w:val="1C1A15"/>
          <w:lang w:val="nl-BE"/>
        </w:rPr>
        <w:t>kan tegemoetg</w:t>
      </w:r>
      <w:r w:rsidR="00DA2D28" w:rsidRPr="005364F7">
        <w:rPr>
          <w:rFonts w:ascii="Arial" w:hAnsi="Arial" w:cs="Arial"/>
          <w:color w:val="1C1A15"/>
          <w:lang w:val="nl-BE"/>
        </w:rPr>
        <w:t>ekomen worden aan methode 4.4 b</w:t>
      </w:r>
      <w:r w:rsidR="001A2CD3" w:rsidRPr="005364F7">
        <w:rPr>
          <w:rFonts w:ascii="Arial" w:hAnsi="Arial" w:cs="Arial"/>
          <w:color w:val="1C1A15"/>
          <w:lang w:val="nl-BE"/>
        </w:rPr>
        <w:t>)</w:t>
      </w:r>
      <w:r w:rsidRPr="005364F7">
        <w:rPr>
          <w:rFonts w:ascii="Arial" w:hAnsi="Arial" w:cs="Arial"/>
          <w:color w:val="1C1A15"/>
          <w:lang w:val="nl-BE"/>
        </w:rPr>
        <w:t>. Indien dergelijke meetinstrumenten eveneens</w:t>
      </w:r>
      <w:r w:rsidR="00DA2D28" w:rsidRPr="005364F7">
        <w:rPr>
          <w:rFonts w:ascii="Arial" w:hAnsi="Arial" w:cs="Arial"/>
          <w:color w:val="1C1A15"/>
          <w:lang w:val="nl-BE"/>
        </w:rPr>
        <w:t xml:space="preserve"> </w:t>
      </w:r>
      <w:r w:rsidRPr="005364F7">
        <w:rPr>
          <w:rFonts w:ascii="Arial" w:hAnsi="Arial" w:cs="Arial"/>
          <w:color w:val="1C1A15"/>
          <w:lang w:val="nl-BE"/>
        </w:rPr>
        <w:t xml:space="preserve">niet beschikbaar zijn, </w:t>
      </w:r>
      <w:r w:rsidR="00DA2D28" w:rsidRPr="005364F7">
        <w:rPr>
          <w:rFonts w:ascii="Arial" w:hAnsi="Arial" w:cs="Arial"/>
          <w:color w:val="1C1A15"/>
          <w:lang w:val="nl-BE"/>
        </w:rPr>
        <w:t xml:space="preserve">kan </w:t>
      </w:r>
      <w:r w:rsidR="001A2CD3" w:rsidRPr="005364F7">
        <w:rPr>
          <w:rFonts w:ascii="Arial" w:hAnsi="Arial" w:cs="Arial"/>
          <w:color w:val="1C1A15"/>
          <w:lang w:val="nl-BE"/>
        </w:rPr>
        <w:t xml:space="preserve">afgedaald </w:t>
      </w:r>
      <w:r w:rsidR="00DA2D28" w:rsidRPr="005364F7">
        <w:rPr>
          <w:rFonts w:ascii="Arial" w:hAnsi="Arial" w:cs="Arial"/>
          <w:color w:val="1C1A15"/>
          <w:lang w:val="nl-BE"/>
        </w:rPr>
        <w:t>worden tot 4.4 c)</w:t>
      </w:r>
      <w:r w:rsidR="00E1044C" w:rsidRPr="005364F7">
        <w:rPr>
          <w:rFonts w:ascii="Arial" w:hAnsi="Arial" w:cs="Arial"/>
          <w:color w:val="1C1A15"/>
          <w:lang w:val="nl-BE"/>
        </w:rPr>
        <w:t>,</w:t>
      </w:r>
      <w:r w:rsidR="00DA2D28" w:rsidRPr="005364F7">
        <w:rPr>
          <w:rFonts w:ascii="Arial" w:hAnsi="Arial" w:cs="Arial"/>
          <w:color w:val="1C1A15"/>
          <w:lang w:val="nl-BE"/>
        </w:rPr>
        <w:t xml:space="preserve"> </w:t>
      </w:r>
      <w:proofErr w:type="spellStart"/>
      <w:r w:rsidR="00DA2D28" w:rsidRPr="005364F7">
        <w:rPr>
          <w:rFonts w:ascii="Arial" w:hAnsi="Arial" w:cs="Arial"/>
          <w:color w:val="1C1A15"/>
          <w:lang w:val="nl-BE"/>
        </w:rPr>
        <w:t>enz</w:t>
      </w:r>
      <w:proofErr w:type="spellEnd"/>
      <w:r w:rsidRPr="005364F7">
        <w:rPr>
          <w:rFonts w:ascii="Arial" w:hAnsi="Arial" w:cs="Arial"/>
          <w:color w:val="1C1A15"/>
          <w:lang w:val="nl-BE"/>
        </w:rPr>
        <w:t>…</w:t>
      </w:r>
    </w:p>
    <w:p w14:paraId="4C6A6577" w14:textId="15A3D216" w:rsidR="00DA2D28" w:rsidRPr="005364F7" w:rsidRDefault="00DA2D28" w:rsidP="005364F7">
      <w:pPr>
        <w:autoSpaceDE w:val="0"/>
        <w:autoSpaceDN w:val="0"/>
        <w:adjustRightInd w:val="0"/>
        <w:spacing w:after="0" w:line="240" w:lineRule="auto"/>
        <w:jc w:val="both"/>
        <w:rPr>
          <w:rFonts w:ascii="Arial" w:hAnsi="Arial" w:cs="Arial"/>
          <w:color w:val="000000"/>
          <w:sz w:val="16"/>
          <w:szCs w:val="16"/>
          <w:lang w:val="nl-BE"/>
        </w:rPr>
      </w:pPr>
    </w:p>
    <w:p w14:paraId="68D974C3" w14:textId="77777777" w:rsidR="00DA2D28" w:rsidRPr="005364F7" w:rsidRDefault="00DA2D28" w:rsidP="005364F7">
      <w:pPr>
        <w:autoSpaceDE w:val="0"/>
        <w:autoSpaceDN w:val="0"/>
        <w:adjustRightInd w:val="0"/>
        <w:spacing w:after="0" w:line="240" w:lineRule="auto"/>
        <w:jc w:val="both"/>
        <w:rPr>
          <w:rFonts w:ascii="Arial" w:hAnsi="Arial" w:cs="Arial"/>
          <w:color w:val="000000"/>
          <w:sz w:val="16"/>
          <w:szCs w:val="16"/>
          <w:lang w:val="nl-BE"/>
        </w:rPr>
      </w:pPr>
    </w:p>
    <w:p w14:paraId="4F73C2BC" w14:textId="77777777" w:rsidR="00323E3E" w:rsidRDefault="00323E3E" w:rsidP="005364F7">
      <w:pPr>
        <w:autoSpaceDE w:val="0"/>
        <w:autoSpaceDN w:val="0"/>
        <w:adjustRightInd w:val="0"/>
        <w:spacing w:after="0" w:line="240" w:lineRule="auto"/>
        <w:jc w:val="both"/>
        <w:rPr>
          <w:rFonts w:ascii="Arial" w:hAnsi="Arial" w:cs="Arial"/>
          <w:b/>
          <w:color w:val="1C1A15"/>
          <w:u w:val="single"/>
          <w:lang w:val="nl-BE"/>
        </w:rPr>
      </w:pPr>
    </w:p>
    <w:p w14:paraId="3EAB3C04" w14:textId="1C464939" w:rsidR="008D04CC" w:rsidRPr="005364F7" w:rsidRDefault="00974A87" w:rsidP="005364F7">
      <w:pPr>
        <w:autoSpaceDE w:val="0"/>
        <w:autoSpaceDN w:val="0"/>
        <w:adjustRightInd w:val="0"/>
        <w:spacing w:after="0" w:line="240" w:lineRule="auto"/>
        <w:jc w:val="both"/>
        <w:rPr>
          <w:rFonts w:ascii="Arial" w:hAnsi="Arial" w:cs="Arial"/>
          <w:b/>
          <w:color w:val="1C1A15"/>
          <w:u w:val="single"/>
          <w:lang w:val="nl-BE"/>
        </w:rPr>
      </w:pPr>
      <w:r w:rsidRPr="005364F7">
        <w:rPr>
          <w:rFonts w:ascii="Arial" w:hAnsi="Arial" w:cs="Arial"/>
          <w:b/>
          <w:color w:val="1C1A15"/>
          <w:u w:val="single"/>
          <w:lang w:val="nl-BE"/>
        </w:rPr>
        <w:lastRenderedPageBreak/>
        <w:t>Voorbeeld van technische onhaalbaarheid</w:t>
      </w:r>
    </w:p>
    <w:p w14:paraId="2D470954" w14:textId="77777777" w:rsidR="00974A87" w:rsidRPr="005364F7" w:rsidRDefault="00974A87" w:rsidP="005364F7">
      <w:pPr>
        <w:autoSpaceDE w:val="0"/>
        <w:autoSpaceDN w:val="0"/>
        <w:adjustRightInd w:val="0"/>
        <w:spacing w:after="0" w:line="240" w:lineRule="auto"/>
        <w:jc w:val="both"/>
        <w:rPr>
          <w:rFonts w:ascii="Arial" w:hAnsi="Arial" w:cs="Arial"/>
          <w:color w:val="1C1A15"/>
          <w:lang w:val="nl-BE"/>
        </w:rPr>
      </w:pPr>
    </w:p>
    <w:p w14:paraId="79CF1B77" w14:textId="0851BE5F" w:rsidR="008D04CC" w:rsidRPr="005364F7" w:rsidRDefault="008D04CC"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Een installatie heeft één bronstroom, met name aardgas. Het aardgasverbruik op</w:t>
      </w:r>
      <w:r w:rsidR="00DA2D28" w:rsidRPr="005364F7">
        <w:rPr>
          <w:rFonts w:ascii="Arial" w:hAnsi="Arial" w:cs="Arial"/>
          <w:color w:val="1C1A15"/>
          <w:lang w:val="nl-BE"/>
        </w:rPr>
        <w:t xml:space="preserve"> i</w:t>
      </w:r>
      <w:r w:rsidRPr="005364F7">
        <w:rPr>
          <w:rFonts w:ascii="Arial" w:hAnsi="Arial" w:cs="Arial"/>
          <w:color w:val="1C1A15"/>
          <w:lang w:val="nl-BE"/>
        </w:rPr>
        <w:t>nstallatie</w:t>
      </w:r>
      <w:r w:rsidR="00DA2D28" w:rsidRPr="005364F7">
        <w:rPr>
          <w:rFonts w:ascii="Arial" w:hAnsi="Arial" w:cs="Arial"/>
          <w:color w:val="1C1A15"/>
          <w:lang w:val="nl-BE"/>
        </w:rPr>
        <w:t>-</w:t>
      </w:r>
      <w:r w:rsidRPr="005364F7">
        <w:rPr>
          <w:rFonts w:ascii="Arial" w:hAnsi="Arial" w:cs="Arial"/>
          <w:color w:val="1C1A15"/>
          <w:lang w:val="nl-BE"/>
        </w:rPr>
        <w:t>niveau</w:t>
      </w:r>
      <w:r w:rsidR="00DA2D28" w:rsidRPr="005364F7">
        <w:rPr>
          <w:rFonts w:ascii="Arial" w:hAnsi="Arial" w:cs="Arial"/>
          <w:color w:val="1C1A15"/>
          <w:lang w:val="nl-BE"/>
        </w:rPr>
        <w:t xml:space="preserve"> </w:t>
      </w:r>
      <w:r w:rsidRPr="005364F7">
        <w:rPr>
          <w:rFonts w:ascii="Arial" w:hAnsi="Arial" w:cs="Arial"/>
          <w:color w:val="1C1A15"/>
          <w:lang w:val="nl-BE"/>
        </w:rPr>
        <w:t>wordt gemeten door de hoofdteller, die ook is opgenomen in het monitoringplan. De</w:t>
      </w:r>
      <w:r w:rsidR="00DA2D28" w:rsidRPr="005364F7">
        <w:rPr>
          <w:rFonts w:ascii="Arial" w:hAnsi="Arial" w:cs="Arial"/>
          <w:color w:val="1C1A15"/>
          <w:lang w:val="nl-BE"/>
        </w:rPr>
        <w:t xml:space="preserve"> </w:t>
      </w:r>
      <w:r w:rsidRPr="005364F7">
        <w:rPr>
          <w:rFonts w:ascii="Arial" w:hAnsi="Arial" w:cs="Arial"/>
          <w:color w:val="1C1A15"/>
          <w:lang w:val="nl-BE"/>
        </w:rPr>
        <w:t>installatie beschikt echter over een warmtebenchmark sub-installatie en een brandstof</w:t>
      </w:r>
      <w:r w:rsidR="00004CEA" w:rsidRPr="005364F7">
        <w:rPr>
          <w:rFonts w:ascii="Arial" w:hAnsi="Arial" w:cs="Arial"/>
          <w:color w:val="1C1A15"/>
          <w:lang w:val="nl-BE"/>
        </w:rPr>
        <w:t>-</w:t>
      </w:r>
      <w:r w:rsidRPr="005364F7">
        <w:rPr>
          <w:rFonts w:ascii="Arial" w:hAnsi="Arial" w:cs="Arial"/>
          <w:color w:val="1C1A15"/>
          <w:lang w:val="nl-BE"/>
        </w:rPr>
        <w:t>benchmark</w:t>
      </w:r>
      <w:r w:rsidR="00DA2D28" w:rsidRPr="005364F7">
        <w:rPr>
          <w:rFonts w:ascii="Arial" w:hAnsi="Arial" w:cs="Arial"/>
          <w:color w:val="1C1A15"/>
          <w:lang w:val="nl-BE"/>
        </w:rPr>
        <w:t xml:space="preserve"> </w:t>
      </w:r>
      <w:r w:rsidRPr="005364F7">
        <w:rPr>
          <w:rFonts w:ascii="Arial" w:hAnsi="Arial" w:cs="Arial"/>
          <w:color w:val="1C1A15"/>
          <w:lang w:val="nl-BE"/>
        </w:rPr>
        <w:t>sub-installatie, waarvoor telkens het afzonderlijke aardgasverbruik per sub-installatie moet bepaald</w:t>
      </w:r>
      <w:r w:rsidR="00DA2D28" w:rsidRPr="005364F7">
        <w:rPr>
          <w:rFonts w:ascii="Arial" w:hAnsi="Arial" w:cs="Arial"/>
          <w:color w:val="1C1A15"/>
          <w:lang w:val="nl-BE"/>
        </w:rPr>
        <w:t xml:space="preserve"> </w:t>
      </w:r>
      <w:r w:rsidRPr="005364F7">
        <w:rPr>
          <w:rFonts w:ascii="Arial" w:hAnsi="Arial" w:cs="Arial"/>
          <w:color w:val="1C1A15"/>
          <w:lang w:val="nl-BE"/>
        </w:rPr>
        <w:t>worden.</w:t>
      </w:r>
    </w:p>
    <w:p w14:paraId="7722A4F9" w14:textId="77777777" w:rsidR="00DA2D28" w:rsidRPr="005364F7" w:rsidRDefault="00DA2D28" w:rsidP="005364F7">
      <w:pPr>
        <w:autoSpaceDE w:val="0"/>
        <w:autoSpaceDN w:val="0"/>
        <w:adjustRightInd w:val="0"/>
        <w:spacing w:after="0" w:line="240" w:lineRule="auto"/>
        <w:jc w:val="both"/>
        <w:rPr>
          <w:rFonts w:ascii="Arial" w:hAnsi="Arial" w:cs="Arial"/>
          <w:color w:val="1C1A15"/>
          <w:lang w:val="nl-BE"/>
        </w:rPr>
      </w:pPr>
    </w:p>
    <w:p w14:paraId="2B53546F" w14:textId="2F3C8556" w:rsidR="008D04CC" w:rsidRPr="005364F7" w:rsidRDefault="008D04CC"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Gezien in het monitoringplan enkel de hoofdteller voor aardgas is opgenomen, is methode</w:t>
      </w:r>
      <w:r w:rsidR="00DA2D28" w:rsidRPr="005364F7">
        <w:rPr>
          <w:rFonts w:ascii="Arial" w:hAnsi="Arial" w:cs="Arial"/>
          <w:color w:val="1C1A15"/>
          <w:lang w:val="nl-BE"/>
        </w:rPr>
        <w:t xml:space="preserve"> </w:t>
      </w:r>
      <w:r w:rsidRPr="005364F7">
        <w:rPr>
          <w:rFonts w:ascii="Arial" w:hAnsi="Arial" w:cs="Arial"/>
          <w:color w:val="1C1A15"/>
          <w:lang w:val="nl-BE"/>
        </w:rPr>
        <w:t>4.4 a) ‘technisch onhaalbaar’ voor de bepaling van het aardgasverbruik per sub-installatie, en mag</w:t>
      </w:r>
      <w:r w:rsidR="00DA2D28" w:rsidRPr="005364F7">
        <w:rPr>
          <w:rFonts w:ascii="Arial" w:hAnsi="Arial" w:cs="Arial"/>
          <w:color w:val="1C1A15"/>
          <w:lang w:val="nl-BE"/>
        </w:rPr>
        <w:t xml:space="preserve"> </w:t>
      </w:r>
      <w:r w:rsidRPr="005364F7">
        <w:rPr>
          <w:rFonts w:ascii="Arial" w:hAnsi="Arial" w:cs="Arial"/>
          <w:color w:val="1C1A15"/>
          <w:lang w:val="nl-BE"/>
        </w:rPr>
        <w:t xml:space="preserve">dus </w:t>
      </w:r>
      <w:r w:rsidR="006440EF" w:rsidRPr="005364F7">
        <w:rPr>
          <w:rFonts w:ascii="Arial" w:hAnsi="Arial" w:cs="Arial"/>
          <w:color w:val="1C1A15"/>
          <w:lang w:val="nl-BE"/>
        </w:rPr>
        <w:t>afgedaald</w:t>
      </w:r>
      <w:r w:rsidRPr="005364F7">
        <w:rPr>
          <w:rFonts w:ascii="Arial" w:hAnsi="Arial" w:cs="Arial"/>
          <w:color w:val="1C1A15"/>
          <w:lang w:val="nl-BE"/>
        </w:rPr>
        <w:t xml:space="preserve"> worden tot </w:t>
      </w:r>
      <w:r w:rsidRPr="005364F7">
        <w:rPr>
          <w:rFonts w:ascii="Arial" w:hAnsi="Arial" w:cs="Arial"/>
          <w:color w:val="1C1A15"/>
          <w:lang w:val="nl-BE"/>
        </w:rPr>
        <w:t>4.4</w:t>
      </w:r>
      <w:r w:rsidR="006440EF" w:rsidRPr="005364F7">
        <w:rPr>
          <w:rFonts w:ascii="Arial" w:hAnsi="Arial" w:cs="Arial"/>
          <w:color w:val="1C1A15"/>
          <w:lang w:val="nl-BE"/>
        </w:rPr>
        <w:t xml:space="preserve"> </w:t>
      </w:r>
      <w:r w:rsidRPr="005364F7">
        <w:rPr>
          <w:rFonts w:ascii="Arial" w:hAnsi="Arial" w:cs="Arial"/>
          <w:color w:val="1C1A15"/>
          <w:lang w:val="nl-BE"/>
        </w:rPr>
        <w:t>b</w:t>
      </w:r>
      <w:r w:rsidR="006440EF" w:rsidRPr="005364F7">
        <w:rPr>
          <w:rFonts w:ascii="Arial" w:hAnsi="Arial" w:cs="Arial"/>
          <w:color w:val="1C1A15"/>
          <w:lang w:val="nl-BE"/>
        </w:rPr>
        <w:t>)</w:t>
      </w:r>
      <w:r w:rsidRPr="005364F7">
        <w:rPr>
          <w:rFonts w:ascii="Arial" w:hAnsi="Arial" w:cs="Arial"/>
          <w:color w:val="1C1A15"/>
          <w:lang w:val="nl-BE"/>
        </w:rPr>
        <w:t>, met name de plaatsing van secundaire meters die voldoen aan de</w:t>
      </w:r>
      <w:r w:rsidR="00DA2D28" w:rsidRPr="005364F7">
        <w:rPr>
          <w:rFonts w:ascii="Arial" w:hAnsi="Arial" w:cs="Arial"/>
          <w:color w:val="1C1A15"/>
          <w:lang w:val="nl-BE"/>
        </w:rPr>
        <w:t xml:space="preserve"> </w:t>
      </w:r>
      <w:r w:rsidRPr="005364F7">
        <w:rPr>
          <w:rFonts w:ascii="Arial" w:hAnsi="Arial" w:cs="Arial"/>
          <w:color w:val="1C1A15"/>
          <w:lang w:val="nl-BE"/>
        </w:rPr>
        <w:t>bepalingen van richtlijn 2014/32/EU (m.a.w. voorzien van een CE label).</w:t>
      </w:r>
      <w:r w:rsidR="00DE52E1">
        <w:rPr>
          <w:rFonts w:ascii="Arial" w:hAnsi="Arial" w:cs="Arial"/>
          <w:color w:val="1C1A15"/>
          <w:lang w:val="nl-BE"/>
        </w:rPr>
        <w:t xml:space="preserve"> </w:t>
      </w:r>
      <w:r w:rsidR="00800753">
        <w:rPr>
          <w:rFonts w:ascii="Arial" w:hAnsi="Arial" w:cs="Arial"/>
          <w:color w:val="1C1A15"/>
          <w:lang w:val="nl-BE"/>
        </w:rPr>
        <w:t xml:space="preserve">Indien </w:t>
      </w:r>
      <w:r w:rsidR="001512B9">
        <w:rPr>
          <w:rFonts w:ascii="Arial" w:hAnsi="Arial" w:cs="Arial"/>
          <w:color w:val="1C1A15"/>
          <w:lang w:val="nl-BE"/>
        </w:rPr>
        <w:t xml:space="preserve">niet </w:t>
      </w:r>
      <w:r w:rsidR="00800753">
        <w:rPr>
          <w:rFonts w:ascii="Arial" w:hAnsi="Arial" w:cs="Arial"/>
          <w:color w:val="1C1A15"/>
          <w:lang w:val="nl-BE"/>
        </w:rPr>
        <w:t>aan 4.4</w:t>
      </w:r>
      <w:r w:rsidR="00E82691">
        <w:rPr>
          <w:rFonts w:ascii="Arial" w:hAnsi="Arial" w:cs="Arial"/>
          <w:color w:val="1C1A15"/>
          <w:lang w:val="nl-BE"/>
        </w:rPr>
        <w:t xml:space="preserve"> </w:t>
      </w:r>
      <w:r w:rsidR="00800753">
        <w:rPr>
          <w:rFonts w:ascii="Arial" w:hAnsi="Arial" w:cs="Arial"/>
          <w:color w:val="1C1A15"/>
          <w:lang w:val="nl-BE"/>
        </w:rPr>
        <w:t>b) kan voldaan worden, mag men afdalen naar 4.4 c) o</w:t>
      </w:r>
      <w:r w:rsidR="00DE52E1">
        <w:rPr>
          <w:rFonts w:ascii="Arial" w:hAnsi="Arial" w:cs="Arial"/>
          <w:color w:val="1C1A15"/>
          <w:lang w:val="nl-BE"/>
        </w:rPr>
        <w:t>f lager, mits men onredelijke kosten kan aantonen (zie hiervoor 4.2.2)</w:t>
      </w:r>
    </w:p>
    <w:p w14:paraId="2BFCD36C" w14:textId="6EAB3E01" w:rsidR="00DA2D28" w:rsidRPr="005364F7" w:rsidRDefault="00DA2D28" w:rsidP="005364F7">
      <w:pPr>
        <w:autoSpaceDE w:val="0"/>
        <w:autoSpaceDN w:val="0"/>
        <w:adjustRightInd w:val="0"/>
        <w:spacing w:after="0" w:line="240" w:lineRule="auto"/>
        <w:jc w:val="both"/>
        <w:rPr>
          <w:rFonts w:ascii="Arial" w:hAnsi="Arial" w:cs="Arial"/>
          <w:color w:val="1C1A15"/>
          <w:lang w:val="nl-BE"/>
        </w:rPr>
      </w:pPr>
    </w:p>
    <w:p w14:paraId="36DAF7B2" w14:textId="4FD18EDA" w:rsidR="008D04CC" w:rsidRPr="005364F7" w:rsidRDefault="00694991" w:rsidP="005364F7">
      <w:pPr>
        <w:autoSpaceDE w:val="0"/>
        <w:autoSpaceDN w:val="0"/>
        <w:adjustRightInd w:val="0"/>
        <w:spacing w:after="0" w:line="240" w:lineRule="auto"/>
        <w:jc w:val="both"/>
        <w:rPr>
          <w:rFonts w:ascii="Arial" w:hAnsi="Arial" w:cs="Arial"/>
          <w:b/>
          <w:color w:val="1C1A15"/>
          <w:sz w:val="24"/>
          <w:szCs w:val="24"/>
          <w:lang w:val="nl-BE"/>
        </w:rPr>
      </w:pPr>
      <w:r w:rsidRPr="005364F7">
        <w:rPr>
          <w:rFonts w:ascii="Arial" w:hAnsi="Arial" w:cs="Arial"/>
          <w:b/>
          <w:color w:val="1C1A15"/>
          <w:sz w:val="24"/>
          <w:szCs w:val="24"/>
          <w:lang w:val="nl-BE"/>
        </w:rPr>
        <w:t>4</w:t>
      </w:r>
      <w:r w:rsidR="00FE793A" w:rsidRPr="005364F7">
        <w:rPr>
          <w:rFonts w:ascii="Arial" w:hAnsi="Arial" w:cs="Arial"/>
          <w:b/>
          <w:color w:val="1C1A15"/>
          <w:sz w:val="24"/>
          <w:szCs w:val="24"/>
          <w:lang w:val="nl-BE"/>
        </w:rPr>
        <w:t xml:space="preserve">.2.2 </w:t>
      </w:r>
      <w:r w:rsidR="00B51C34" w:rsidRPr="005364F7">
        <w:rPr>
          <w:rFonts w:ascii="Arial" w:hAnsi="Arial" w:cs="Arial"/>
          <w:b/>
          <w:color w:val="1C1A15"/>
          <w:sz w:val="24"/>
          <w:szCs w:val="24"/>
          <w:lang w:val="nl-BE"/>
        </w:rPr>
        <w:t>Toetsing v</w:t>
      </w:r>
      <w:r w:rsidR="008D04CC" w:rsidRPr="005364F7">
        <w:rPr>
          <w:rFonts w:ascii="Arial" w:hAnsi="Arial" w:cs="Arial"/>
          <w:b/>
          <w:color w:val="1C1A15"/>
          <w:sz w:val="24"/>
          <w:szCs w:val="24"/>
          <w:lang w:val="nl-BE"/>
        </w:rPr>
        <w:t>an onredelijke kosten</w:t>
      </w:r>
    </w:p>
    <w:p w14:paraId="65F8A269" w14:textId="77777777" w:rsidR="0052231D" w:rsidRPr="005364F7" w:rsidRDefault="0052231D" w:rsidP="005364F7">
      <w:pPr>
        <w:autoSpaceDE w:val="0"/>
        <w:autoSpaceDN w:val="0"/>
        <w:adjustRightInd w:val="0"/>
        <w:spacing w:after="0" w:line="240" w:lineRule="auto"/>
        <w:jc w:val="both"/>
        <w:rPr>
          <w:rFonts w:ascii="Arial" w:hAnsi="Arial" w:cs="Arial"/>
          <w:color w:val="1C1A15"/>
          <w:lang w:val="nl-BE"/>
        </w:rPr>
      </w:pPr>
    </w:p>
    <w:p w14:paraId="00FD85FB" w14:textId="0B11EB5B" w:rsidR="00AE17C1" w:rsidRPr="005364F7" w:rsidRDefault="008D04CC"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Er is sprake van onredelijke kosten indien de verwachte voordelen van een nauwkeurigere</w:t>
      </w:r>
      <w:r w:rsidR="00CF2649" w:rsidRPr="005364F7">
        <w:rPr>
          <w:rFonts w:ascii="Arial" w:hAnsi="Arial" w:cs="Arial"/>
          <w:color w:val="1C1A15"/>
          <w:lang w:val="nl-BE"/>
        </w:rPr>
        <w:t xml:space="preserve"> </w:t>
      </w:r>
      <w:r w:rsidRPr="005364F7">
        <w:rPr>
          <w:rFonts w:ascii="Arial" w:hAnsi="Arial" w:cs="Arial"/>
          <w:color w:val="1C1A15"/>
          <w:lang w:val="nl-BE"/>
        </w:rPr>
        <w:t xml:space="preserve">monitoringmethode niet opwegen tegen verwachte kosten ervan. </w:t>
      </w:r>
    </w:p>
    <w:p w14:paraId="2683A582" w14:textId="4CED4BA1" w:rsidR="008D04CC" w:rsidRPr="005364F7" w:rsidRDefault="008D04CC"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Om te toetsen of dit het geval is,</w:t>
      </w:r>
      <w:r w:rsidR="00AE17C1" w:rsidRPr="005364F7">
        <w:rPr>
          <w:rFonts w:ascii="Arial" w:hAnsi="Arial" w:cs="Arial"/>
          <w:color w:val="1C1A15"/>
          <w:lang w:val="nl-BE"/>
        </w:rPr>
        <w:t xml:space="preserve"> </w:t>
      </w:r>
      <w:r w:rsidRPr="005364F7">
        <w:rPr>
          <w:rFonts w:ascii="Arial" w:hAnsi="Arial" w:cs="Arial"/>
          <w:color w:val="1C1A15"/>
          <w:lang w:val="nl-BE"/>
        </w:rPr>
        <w:t>moeten zowel de verwachte voordelen als de verwachte kosten vastgesteld worden.</w:t>
      </w:r>
    </w:p>
    <w:p w14:paraId="00DD16FC" w14:textId="77777777" w:rsidR="00AE17C1" w:rsidRPr="005364F7" w:rsidRDefault="00AE17C1" w:rsidP="005364F7">
      <w:pPr>
        <w:autoSpaceDE w:val="0"/>
        <w:autoSpaceDN w:val="0"/>
        <w:adjustRightInd w:val="0"/>
        <w:spacing w:after="0" w:line="240" w:lineRule="auto"/>
        <w:jc w:val="both"/>
        <w:rPr>
          <w:rFonts w:ascii="Arial" w:hAnsi="Arial" w:cs="Arial"/>
          <w:color w:val="1C1A15"/>
          <w:lang w:val="nl-BE"/>
        </w:rPr>
      </w:pPr>
    </w:p>
    <w:p w14:paraId="31015AE5" w14:textId="5BAE3FBF" w:rsidR="008D04CC" w:rsidRPr="005364F7" w:rsidRDefault="008D04CC"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De </w:t>
      </w:r>
      <w:r w:rsidRPr="005364F7">
        <w:rPr>
          <w:rFonts w:ascii="Arial" w:hAnsi="Arial" w:cs="Arial"/>
          <w:color w:val="1C1A15"/>
          <w:u w:val="single"/>
          <w:lang w:val="nl-BE"/>
        </w:rPr>
        <w:t>verwachte voordelen</w:t>
      </w:r>
      <w:r w:rsidRPr="005364F7">
        <w:rPr>
          <w:rFonts w:ascii="Arial" w:hAnsi="Arial" w:cs="Arial"/>
          <w:color w:val="1C1A15"/>
          <w:lang w:val="nl-BE"/>
        </w:rPr>
        <w:t xml:space="preserve"> moeten worden berekend door een ‘verbeteringsfactor’ te</w:t>
      </w:r>
      <w:r w:rsidR="00AE17C1" w:rsidRPr="005364F7">
        <w:rPr>
          <w:rFonts w:ascii="Arial" w:hAnsi="Arial" w:cs="Arial"/>
          <w:color w:val="1C1A15"/>
          <w:lang w:val="nl-BE"/>
        </w:rPr>
        <w:t xml:space="preserve"> </w:t>
      </w:r>
      <w:r w:rsidRPr="005364F7">
        <w:rPr>
          <w:rFonts w:ascii="Arial" w:hAnsi="Arial" w:cs="Arial"/>
          <w:color w:val="1C1A15"/>
          <w:lang w:val="nl-BE"/>
        </w:rPr>
        <w:t>vermenigvuldigen met een referentieprijs van € 20/ton CO</w:t>
      </w:r>
      <w:r w:rsidRPr="005364F7">
        <w:rPr>
          <w:rFonts w:ascii="Arial" w:hAnsi="Arial" w:cs="Arial"/>
          <w:color w:val="1C1A15"/>
          <w:sz w:val="14"/>
          <w:szCs w:val="14"/>
          <w:lang w:val="nl-BE"/>
        </w:rPr>
        <w:t>2</w:t>
      </w:r>
      <w:r w:rsidRPr="005364F7">
        <w:rPr>
          <w:rFonts w:ascii="Arial" w:hAnsi="Arial" w:cs="Arial"/>
          <w:color w:val="1C1A15"/>
          <w:lang w:val="nl-BE"/>
        </w:rPr>
        <w:t>. De ‘verbeteringsfactor’ is afhankelijk van</w:t>
      </w:r>
      <w:r w:rsidR="00AE17C1" w:rsidRPr="005364F7">
        <w:rPr>
          <w:rFonts w:ascii="Arial" w:hAnsi="Arial" w:cs="Arial"/>
          <w:color w:val="1C1A15"/>
          <w:lang w:val="nl-BE"/>
        </w:rPr>
        <w:t xml:space="preserve"> </w:t>
      </w:r>
      <w:r w:rsidRPr="005364F7">
        <w:rPr>
          <w:rFonts w:ascii="Arial" w:hAnsi="Arial" w:cs="Arial"/>
          <w:color w:val="1C1A15"/>
          <w:lang w:val="nl-BE"/>
        </w:rPr>
        <w:t>de</w:t>
      </w:r>
      <w:r w:rsidR="00AE17C1" w:rsidRPr="005364F7">
        <w:rPr>
          <w:rFonts w:ascii="Arial" w:hAnsi="Arial" w:cs="Arial"/>
          <w:color w:val="1C1A15"/>
          <w:lang w:val="nl-BE"/>
        </w:rPr>
        <w:t xml:space="preserve"> dataset, meer bepaald wat er juis</w:t>
      </w:r>
      <w:r w:rsidRPr="005364F7">
        <w:rPr>
          <w:rFonts w:ascii="Arial" w:hAnsi="Arial" w:cs="Arial"/>
          <w:color w:val="1C1A15"/>
          <w:lang w:val="nl-BE"/>
        </w:rPr>
        <w:t>t gemeten wordt, zoals weergegeven in onderstaande tabel.</w:t>
      </w:r>
    </w:p>
    <w:p w14:paraId="1A78E51E" w14:textId="77777777" w:rsidR="000A1071" w:rsidRPr="005364F7" w:rsidRDefault="000A1071" w:rsidP="005364F7">
      <w:pPr>
        <w:autoSpaceDE w:val="0"/>
        <w:autoSpaceDN w:val="0"/>
        <w:adjustRightInd w:val="0"/>
        <w:spacing w:after="0" w:line="240" w:lineRule="auto"/>
        <w:jc w:val="both"/>
        <w:rPr>
          <w:rFonts w:ascii="Arial" w:hAnsi="Arial" w:cs="Arial"/>
          <w:color w:val="1C1A15"/>
          <w:lang w:val="nl-BE"/>
        </w:rPr>
      </w:pPr>
    </w:p>
    <w:tbl>
      <w:tblPr>
        <w:tblStyle w:val="Tabelraster"/>
        <w:tblW w:w="9067" w:type="dxa"/>
        <w:tblLook w:val="04A0" w:firstRow="1" w:lastRow="0" w:firstColumn="1" w:lastColumn="0" w:noHBand="0" w:noVBand="1"/>
      </w:tblPr>
      <w:tblGrid>
        <w:gridCol w:w="2689"/>
        <w:gridCol w:w="6378"/>
      </w:tblGrid>
      <w:tr w:rsidR="00AE17C1" w:rsidRPr="005364F7" w14:paraId="3EB803E2" w14:textId="77777777" w:rsidTr="00B923C2">
        <w:trPr>
          <w:trHeight w:val="397"/>
        </w:trPr>
        <w:tc>
          <w:tcPr>
            <w:tcW w:w="2689" w:type="dxa"/>
            <w:vAlign w:val="center"/>
          </w:tcPr>
          <w:p w14:paraId="0709DC9B" w14:textId="212B3741" w:rsidR="00AE17C1" w:rsidRPr="005364F7" w:rsidRDefault="00AE17C1" w:rsidP="005364F7">
            <w:pPr>
              <w:autoSpaceDE w:val="0"/>
              <w:autoSpaceDN w:val="0"/>
              <w:adjustRightInd w:val="0"/>
              <w:jc w:val="both"/>
              <w:rPr>
                <w:rFonts w:ascii="Arial" w:hAnsi="Arial" w:cs="Arial"/>
                <w:b/>
                <w:color w:val="1C1A15"/>
                <w:lang w:val="nl-BE"/>
              </w:rPr>
            </w:pPr>
            <w:r w:rsidRPr="005364F7">
              <w:rPr>
                <w:rFonts w:ascii="Arial" w:hAnsi="Arial" w:cs="Arial"/>
                <w:b/>
                <w:color w:val="1C1A15"/>
                <w:lang w:val="nl-BE"/>
              </w:rPr>
              <w:t>Wat wordt gemeten?</w:t>
            </w:r>
          </w:p>
        </w:tc>
        <w:tc>
          <w:tcPr>
            <w:tcW w:w="6378" w:type="dxa"/>
            <w:vAlign w:val="center"/>
          </w:tcPr>
          <w:p w14:paraId="2060DAD6" w14:textId="497EC498" w:rsidR="00AE17C1" w:rsidRPr="005364F7" w:rsidRDefault="00AE17C1" w:rsidP="005364F7">
            <w:pPr>
              <w:autoSpaceDE w:val="0"/>
              <w:autoSpaceDN w:val="0"/>
              <w:adjustRightInd w:val="0"/>
              <w:jc w:val="both"/>
              <w:rPr>
                <w:rFonts w:ascii="Arial" w:hAnsi="Arial" w:cs="Arial"/>
                <w:b/>
                <w:color w:val="1C1A15"/>
                <w:lang w:val="nl-BE"/>
              </w:rPr>
            </w:pPr>
            <w:r w:rsidRPr="005364F7">
              <w:rPr>
                <w:rFonts w:ascii="Arial" w:hAnsi="Arial" w:cs="Arial"/>
                <w:b/>
                <w:color w:val="1C1A15"/>
                <w:lang w:val="nl-BE"/>
              </w:rPr>
              <w:t>Verbeteringsfactor</w:t>
            </w:r>
          </w:p>
        </w:tc>
      </w:tr>
      <w:tr w:rsidR="00AE17C1" w:rsidRPr="005364F7" w14:paraId="5971C1F6" w14:textId="77777777" w:rsidTr="00B923C2">
        <w:trPr>
          <w:trHeight w:val="1231"/>
        </w:trPr>
        <w:tc>
          <w:tcPr>
            <w:tcW w:w="2689" w:type="dxa"/>
            <w:vAlign w:val="center"/>
          </w:tcPr>
          <w:p w14:paraId="3479BB29" w14:textId="1C9CDB67" w:rsidR="00AE17C1" w:rsidRPr="005364F7" w:rsidRDefault="00AE17C1"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Meetbare warmte</w:t>
            </w:r>
          </w:p>
        </w:tc>
        <w:tc>
          <w:tcPr>
            <w:tcW w:w="6378" w:type="dxa"/>
            <w:vAlign w:val="center"/>
          </w:tcPr>
          <w:p w14:paraId="238FF1DD" w14:textId="33602856" w:rsidR="00AE17C1" w:rsidRPr="005364F7" w:rsidRDefault="00AE17C1"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1% van de meetbare warmte (jaargemiddelde uit 2014-2018) * de warmtebenchmarkwaarde</w:t>
            </w:r>
          </w:p>
          <w:p w14:paraId="3D0DE75D" w14:textId="1F48E073" w:rsidR="00AE17C1" w:rsidRPr="005364F7" w:rsidRDefault="00AE17C1"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Zolang de nieuwe benchmarkwaarde niet gekend is, mag gewerkt worden met de huidige benchmarkwaarde (62,3 ton CO</w:t>
            </w:r>
            <w:r w:rsidRPr="005364F7">
              <w:rPr>
                <w:rFonts w:ascii="Arial" w:hAnsi="Arial" w:cs="Arial"/>
                <w:color w:val="1C1A15"/>
                <w:sz w:val="14"/>
                <w:szCs w:val="14"/>
                <w:lang w:val="nl-BE"/>
              </w:rPr>
              <w:t>2</w:t>
            </w:r>
            <w:r w:rsidRPr="005364F7">
              <w:rPr>
                <w:rFonts w:ascii="Arial" w:hAnsi="Arial" w:cs="Arial"/>
                <w:color w:val="1C1A15"/>
                <w:lang w:val="nl-BE"/>
              </w:rPr>
              <w:t>/TJ)</w:t>
            </w:r>
          </w:p>
        </w:tc>
      </w:tr>
      <w:tr w:rsidR="00AE17C1" w:rsidRPr="005364F7" w14:paraId="157286E5" w14:textId="77777777" w:rsidTr="00B923C2">
        <w:tc>
          <w:tcPr>
            <w:tcW w:w="2689" w:type="dxa"/>
            <w:vAlign w:val="center"/>
          </w:tcPr>
          <w:p w14:paraId="7C2AD8C6" w14:textId="49D75E77" w:rsidR="00AE17C1" w:rsidRPr="005364F7" w:rsidRDefault="00AE17C1"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Niet</w:t>
            </w:r>
            <w:r w:rsidR="000A1071" w:rsidRPr="005364F7">
              <w:rPr>
                <w:rFonts w:ascii="Arial" w:hAnsi="Arial" w:cs="Arial"/>
                <w:color w:val="1C1A15"/>
                <w:lang w:val="nl-BE"/>
              </w:rPr>
              <w:t>-</w:t>
            </w:r>
            <w:r w:rsidRPr="005364F7">
              <w:rPr>
                <w:rFonts w:ascii="Arial" w:hAnsi="Arial" w:cs="Arial"/>
                <w:color w:val="1C1A15"/>
                <w:lang w:val="nl-BE"/>
              </w:rPr>
              <w:t>meetbare warmte</w:t>
            </w:r>
          </w:p>
        </w:tc>
        <w:tc>
          <w:tcPr>
            <w:tcW w:w="6378" w:type="dxa"/>
            <w:vAlign w:val="center"/>
          </w:tcPr>
          <w:p w14:paraId="338D809C" w14:textId="209019CD" w:rsidR="00AE17C1" w:rsidRPr="005364F7" w:rsidRDefault="00AE17C1"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1% van de niet-meetbare warmte (jaargemiddelde uit 2014-2018) * de brandstofbenchmarkwaarde</w:t>
            </w:r>
          </w:p>
          <w:p w14:paraId="12CB1F0A" w14:textId="664FC808" w:rsidR="00AE17C1" w:rsidRPr="005364F7" w:rsidRDefault="00AE17C1"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Zolang de nieuwe benchmarkwaarde niet gekend is, mag gewerkt worden met de huidige benchmarkwaarde (56.1 ton CO</w:t>
            </w:r>
            <w:r w:rsidRPr="005364F7">
              <w:rPr>
                <w:rFonts w:ascii="Arial" w:hAnsi="Arial" w:cs="Arial"/>
                <w:color w:val="1C1A15"/>
                <w:sz w:val="14"/>
                <w:szCs w:val="14"/>
                <w:lang w:val="nl-BE"/>
              </w:rPr>
              <w:t>2</w:t>
            </w:r>
            <w:r w:rsidRPr="005364F7">
              <w:rPr>
                <w:rFonts w:ascii="Arial" w:hAnsi="Arial" w:cs="Arial"/>
                <w:color w:val="1C1A15"/>
                <w:lang w:val="nl-BE"/>
              </w:rPr>
              <w:t>/TJ)</w:t>
            </w:r>
          </w:p>
        </w:tc>
      </w:tr>
      <w:tr w:rsidR="00AE17C1" w:rsidRPr="005364F7" w14:paraId="39899791" w14:textId="77777777" w:rsidTr="00B923C2">
        <w:tc>
          <w:tcPr>
            <w:tcW w:w="2689" w:type="dxa"/>
            <w:vAlign w:val="center"/>
          </w:tcPr>
          <w:p w14:paraId="21E1CB19" w14:textId="77777777" w:rsidR="00AE17C1" w:rsidRPr="005364F7" w:rsidRDefault="00AE17C1" w:rsidP="005364F7">
            <w:pPr>
              <w:autoSpaceDE w:val="0"/>
              <w:autoSpaceDN w:val="0"/>
              <w:adjustRightInd w:val="0"/>
              <w:jc w:val="both"/>
              <w:rPr>
                <w:rFonts w:ascii="Arial" w:hAnsi="Arial" w:cs="Arial"/>
                <w:color w:val="1C1A15"/>
                <w:lang w:val="nl-BE"/>
              </w:rPr>
            </w:pPr>
            <w:proofErr w:type="spellStart"/>
            <w:r w:rsidRPr="005364F7">
              <w:rPr>
                <w:rFonts w:ascii="Arial" w:hAnsi="Arial" w:cs="Arial"/>
                <w:color w:val="1C1A15"/>
                <w:lang w:val="nl-BE"/>
              </w:rPr>
              <w:t>Koolstofhoudende</w:t>
            </w:r>
            <w:proofErr w:type="spellEnd"/>
          </w:p>
          <w:p w14:paraId="65ADC4DF" w14:textId="1DB9BBB7" w:rsidR="00AE17C1" w:rsidRPr="005364F7" w:rsidRDefault="0076153E"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B</w:t>
            </w:r>
            <w:r w:rsidR="00AE17C1" w:rsidRPr="005364F7">
              <w:rPr>
                <w:rFonts w:ascii="Arial" w:hAnsi="Arial" w:cs="Arial"/>
                <w:color w:val="1C1A15"/>
                <w:lang w:val="nl-BE"/>
              </w:rPr>
              <w:t>ronstromen</w:t>
            </w:r>
          </w:p>
        </w:tc>
        <w:tc>
          <w:tcPr>
            <w:tcW w:w="6378" w:type="dxa"/>
            <w:vAlign w:val="center"/>
          </w:tcPr>
          <w:p w14:paraId="56669C5E" w14:textId="79632907" w:rsidR="00AE17C1" w:rsidRPr="005364F7" w:rsidRDefault="00AE17C1"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1% van de (inherente) CO</w:t>
            </w:r>
            <w:r w:rsidRPr="005364F7">
              <w:rPr>
                <w:rFonts w:ascii="Arial" w:hAnsi="Arial" w:cs="Arial"/>
                <w:color w:val="1C1A15"/>
                <w:sz w:val="14"/>
                <w:szCs w:val="14"/>
                <w:lang w:val="nl-BE"/>
              </w:rPr>
              <w:t>2</w:t>
            </w:r>
            <w:r w:rsidRPr="005364F7">
              <w:rPr>
                <w:rFonts w:ascii="Arial" w:hAnsi="Arial" w:cs="Arial"/>
                <w:color w:val="1C1A15"/>
                <w:lang w:val="nl-BE"/>
              </w:rPr>
              <w:t>-inhoud (jaargemiddelde uit 2014-2018)</w:t>
            </w:r>
          </w:p>
        </w:tc>
      </w:tr>
      <w:tr w:rsidR="00AE17C1" w:rsidRPr="005364F7" w14:paraId="22AB73BB" w14:textId="77777777" w:rsidTr="00B923C2">
        <w:tc>
          <w:tcPr>
            <w:tcW w:w="2689" w:type="dxa"/>
            <w:vAlign w:val="center"/>
          </w:tcPr>
          <w:p w14:paraId="6E887236" w14:textId="004C04F4" w:rsidR="00AE17C1" w:rsidRPr="005364F7" w:rsidRDefault="00AE17C1"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Elektriciteit</w:t>
            </w:r>
          </w:p>
        </w:tc>
        <w:tc>
          <w:tcPr>
            <w:tcW w:w="6378" w:type="dxa"/>
            <w:vAlign w:val="center"/>
          </w:tcPr>
          <w:p w14:paraId="039267F9" w14:textId="6C29F1AB" w:rsidR="00AE17C1" w:rsidRPr="005364F7" w:rsidRDefault="00AE17C1"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1% van de hoeveelheid elektriciteit (jaargemiddelde uit 2014-2018) * 0,376 ton CO</w:t>
            </w:r>
            <w:r w:rsidRPr="005364F7">
              <w:rPr>
                <w:rFonts w:ascii="Arial" w:hAnsi="Arial" w:cs="Arial"/>
                <w:color w:val="1C1A15"/>
                <w:sz w:val="14"/>
                <w:szCs w:val="14"/>
                <w:lang w:val="nl-BE"/>
              </w:rPr>
              <w:t>2</w:t>
            </w:r>
            <w:r w:rsidRPr="005364F7">
              <w:rPr>
                <w:rFonts w:ascii="Arial" w:hAnsi="Arial" w:cs="Arial"/>
                <w:color w:val="1C1A15"/>
                <w:lang w:val="nl-BE"/>
              </w:rPr>
              <w:t>/MWh</w:t>
            </w:r>
          </w:p>
        </w:tc>
      </w:tr>
      <w:tr w:rsidR="00AE17C1" w:rsidRPr="005364F7" w14:paraId="686A683C" w14:textId="77777777" w:rsidTr="00B923C2">
        <w:tc>
          <w:tcPr>
            <w:tcW w:w="2689" w:type="dxa"/>
            <w:vAlign w:val="center"/>
          </w:tcPr>
          <w:p w14:paraId="08C01205" w14:textId="77777777" w:rsidR="00AE17C1" w:rsidRPr="005364F7" w:rsidRDefault="00AE17C1"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Activiteitsniveau van een</w:t>
            </w:r>
          </w:p>
          <w:p w14:paraId="4B8000E3" w14:textId="647DB4C3" w:rsidR="00AE17C1" w:rsidRPr="005364F7" w:rsidRDefault="00AE17C1"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Product</w:t>
            </w:r>
            <w:r w:rsidR="000A1071" w:rsidRPr="005364F7">
              <w:rPr>
                <w:rFonts w:ascii="Arial" w:hAnsi="Arial" w:cs="Arial"/>
                <w:color w:val="1C1A15"/>
                <w:lang w:val="nl-BE"/>
              </w:rPr>
              <w:t>b</w:t>
            </w:r>
            <w:r w:rsidRPr="005364F7">
              <w:rPr>
                <w:rFonts w:ascii="Arial" w:hAnsi="Arial" w:cs="Arial"/>
                <w:color w:val="1C1A15"/>
                <w:lang w:val="nl-BE"/>
              </w:rPr>
              <w:t>enchmark</w:t>
            </w:r>
            <w:r w:rsidR="000A1071" w:rsidRPr="005364F7">
              <w:rPr>
                <w:rFonts w:ascii="Arial" w:hAnsi="Arial" w:cs="Arial"/>
                <w:color w:val="1C1A15"/>
                <w:lang w:val="nl-BE"/>
              </w:rPr>
              <w:br/>
            </w:r>
            <w:r w:rsidRPr="005364F7">
              <w:rPr>
                <w:rFonts w:ascii="Arial" w:hAnsi="Arial" w:cs="Arial"/>
                <w:color w:val="1C1A15"/>
                <w:lang w:val="nl-BE"/>
              </w:rPr>
              <w:t>sub</w:t>
            </w:r>
            <w:r w:rsidR="000A1071" w:rsidRPr="005364F7">
              <w:rPr>
                <w:rFonts w:ascii="Arial" w:hAnsi="Arial" w:cs="Arial"/>
                <w:color w:val="1C1A15"/>
                <w:lang w:val="nl-BE"/>
              </w:rPr>
              <w:t>-</w:t>
            </w:r>
            <w:r w:rsidRPr="005364F7">
              <w:rPr>
                <w:rFonts w:ascii="Arial" w:hAnsi="Arial" w:cs="Arial"/>
                <w:color w:val="1C1A15"/>
                <w:lang w:val="nl-BE"/>
              </w:rPr>
              <w:t>installatie</w:t>
            </w:r>
          </w:p>
          <w:p w14:paraId="699CAD97" w14:textId="77777777" w:rsidR="00AE17C1" w:rsidRPr="005364F7" w:rsidRDefault="00AE17C1" w:rsidP="005364F7">
            <w:pPr>
              <w:autoSpaceDE w:val="0"/>
              <w:autoSpaceDN w:val="0"/>
              <w:adjustRightInd w:val="0"/>
              <w:jc w:val="both"/>
              <w:rPr>
                <w:rFonts w:ascii="Arial" w:hAnsi="Arial" w:cs="Arial"/>
                <w:color w:val="1C1A15"/>
                <w:lang w:val="nl-BE"/>
              </w:rPr>
            </w:pPr>
          </w:p>
        </w:tc>
        <w:tc>
          <w:tcPr>
            <w:tcW w:w="6378" w:type="dxa"/>
            <w:vAlign w:val="center"/>
          </w:tcPr>
          <w:p w14:paraId="144CE07B" w14:textId="77777777" w:rsidR="00AE17C1" w:rsidRPr="005364F7" w:rsidRDefault="00AE17C1"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1% van het activiteitsniveau (jaargemiddelde uit 2014-2018)</w:t>
            </w:r>
          </w:p>
          <w:p w14:paraId="644C7A37" w14:textId="458C8FC8" w:rsidR="00AE17C1" w:rsidRPr="005364F7" w:rsidRDefault="00AE17C1"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vermenigvuldigd met de relevante productbenchmark.</w:t>
            </w:r>
          </w:p>
          <w:p w14:paraId="540BC99F" w14:textId="77777777" w:rsidR="0052231D" w:rsidRPr="005364F7" w:rsidRDefault="0052231D" w:rsidP="005364F7">
            <w:pPr>
              <w:autoSpaceDE w:val="0"/>
              <w:autoSpaceDN w:val="0"/>
              <w:adjustRightInd w:val="0"/>
              <w:jc w:val="both"/>
              <w:rPr>
                <w:rFonts w:ascii="Arial" w:hAnsi="Arial" w:cs="Arial"/>
                <w:color w:val="1C1A15"/>
                <w:lang w:val="nl-BE"/>
              </w:rPr>
            </w:pPr>
          </w:p>
          <w:p w14:paraId="3ABC648E" w14:textId="3C74B78F" w:rsidR="00AE17C1" w:rsidRPr="005364F7" w:rsidRDefault="00AE17C1"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Zolang de nieuwe benchmarkwaarde niet gekend is, mag gewerkt worden met de huidige benchmarkwaarde</w:t>
            </w:r>
          </w:p>
        </w:tc>
      </w:tr>
      <w:tr w:rsidR="00AE17C1" w:rsidRPr="005364F7" w14:paraId="707040B3" w14:textId="77777777" w:rsidTr="00B923C2">
        <w:tc>
          <w:tcPr>
            <w:tcW w:w="2689" w:type="dxa"/>
            <w:vAlign w:val="center"/>
          </w:tcPr>
          <w:p w14:paraId="158381F0" w14:textId="6DBFC000" w:rsidR="00AE17C1" w:rsidRPr="005364F7" w:rsidRDefault="00AE17C1"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Alle overige zaken</w:t>
            </w:r>
          </w:p>
        </w:tc>
        <w:tc>
          <w:tcPr>
            <w:tcW w:w="6378" w:type="dxa"/>
            <w:vAlign w:val="center"/>
          </w:tcPr>
          <w:p w14:paraId="68B7EC56" w14:textId="77777777" w:rsidR="00AE17C1" w:rsidRPr="005364F7" w:rsidRDefault="00AE17C1"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1% van de meest recente toewijzing voor de sub-installatie.</w:t>
            </w:r>
          </w:p>
          <w:p w14:paraId="5264C807" w14:textId="77777777" w:rsidR="0052231D" w:rsidRPr="005364F7" w:rsidRDefault="0052231D" w:rsidP="005364F7">
            <w:pPr>
              <w:autoSpaceDE w:val="0"/>
              <w:autoSpaceDN w:val="0"/>
              <w:adjustRightInd w:val="0"/>
              <w:jc w:val="both"/>
              <w:rPr>
                <w:rFonts w:ascii="Arial" w:hAnsi="Arial" w:cs="Arial"/>
                <w:color w:val="1C1A15"/>
                <w:lang w:val="nl-BE"/>
              </w:rPr>
            </w:pPr>
          </w:p>
          <w:p w14:paraId="711C9440" w14:textId="64B2C2DC" w:rsidR="00AE17C1" w:rsidRPr="005364F7" w:rsidRDefault="0052231D"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 xml:space="preserve">Zolang er nog geen definitieve toewijzing voor de periode 2021-2025 is vastgesteld, moet gewerkt worden met 1% van de minimum te verwachten toewijzing zoals opgenomen </w:t>
            </w:r>
            <w:r w:rsidR="000A1071" w:rsidRPr="005364F7">
              <w:rPr>
                <w:rFonts w:ascii="Arial" w:hAnsi="Arial" w:cs="Arial"/>
                <w:color w:val="1C1A15"/>
                <w:lang w:val="nl-BE"/>
              </w:rPr>
              <w:t xml:space="preserve">in </w:t>
            </w:r>
            <w:r w:rsidRPr="005364F7">
              <w:rPr>
                <w:rFonts w:ascii="Arial" w:hAnsi="Arial" w:cs="Arial"/>
                <w:color w:val="1C1A15"/>
                <w:lang w:val="nl-BE"/>
              </w:rPr>
              <w:t xml:space="preserve">sectie V.1 in tab </w:t>
            </w:r>
            <w:proofErr w:type="spellStart"/>
            <w:r w:rsidRPr="005364F7">
              <w:rPr>
                <w:rFonts w:ascii="Arial" w:hAnsi="Arial" w:cs="Arial"/>
                <w:color w:val="1C1A15"/>
                <w:lang w:val="nl-BE"/>
              </w:rPr>
              <w:t>K_Summary</w:t>
            </w:r>
            <w:proofErr w:type="spellEnd"/>
            <w:r w:rsidRPr="005364F7">
              <w:rPr>
                <w:rFonts w:ascii="Arial" w:hAnsi="Arial" w:cs="Arial"/>
                <w:color w:val="1C1A15"/>
                <w:lang w:val="nl-BE"/>
              </w:rPr>
              <w:t xml:space="preserve"> van het ingediende baseline rapport.</w:t>
            </w:r>
          </w:p>
        </w:tc>
      </w:tr>
    </w:tbl>
    <w:p w14:paraId="67C0614C" w14:textId="064F99D8" w:rsidR="0052231D" w:rsidRPr="005364F7" w:rsidRDefault="0052231D" w:rsidP="005364F7">
      <w:pPr>
        <w:autoSpaceDE w:val="0"/>
        <w:autoSpaceDN w:val="0"/>
        <w:adjustRightInd w:val="0"/>
        <w:spacing w:after="0" w:line="240" w:lineRule="auto"/>
        <w:jc w:val="both"/>
        <w:rPr>
          <w:rFonts w:ascii="Arial" w:hAnsi="Arial" w:cs="Arial"/>
          <w:color w:val="000000"/>
          <w:sz w:val="16"/>
          <w:szCs w:val="16"/>
          <w:lang w:val="nl-BE"/>
        </w:rPr>
      </w:pPr>
    </w:p>
    <w:p w14:paraId="04F6F503" w14:textId="118347AB" w:rsidR="00A66B0E" w:rsidRPr="005364F7" w:rsidRDefault="00A66B0E" w:rsidP="005364F7">
      <w:pPr>
        <w:autoSpaceDE w:val="0"/>
        <w:autoSpaceDN w:val="0"/>
        <w:adjustRightInd w:val="0"/>
        <w:spacing w:after="0" w:line="240" w:lineRule="auto"/>
        <w:jc w:val="both"/>
        <w:rPr>
          <w:rFonts w:ascii="Arial" w:hAnsi="Arial" w:cs="Arial"/>
          <w:lang w:val="nl-BE"/>
        </w:rPr>
      </w:pPr>
      <w:r w:rsidRPr="005364F7">
        <w:rPr>
          <w:rFonts w:ascii="Arial" w:hAnsi="Arial" w:cs="Arial"/>
          <w:color w:val="1C1A15"/>
          <w:lang w:val="nl-BE"/>
        </w:rPr>
        <w:lastRenderedPageBreak/>
        <w:t xml:space="preserve">Voor het bepalen van de </w:t>
      </w:r>
      <w:r w:rsidRPr="005364F7">
        <w:rPr>
          <w:rFonts w:ascii="Arial" w:hAnsi="Arial" w:cs="Arial"/>
          <w:color w:val="1C1A15"/>
          <w:u w:val="single"/>
          <w:lang w:val="nl-BE"/>
        </w:rPr>
        <w:t>verwachte kosten</w:t>
      </w:r>
      <w:r w:rsidRPr="005364F7">
        <w:rPr>
          <w:rFonts w:ascii="Arial" w:hAnsi="Arial" w:cs="Arial"/>
          <w:color w:val="1C1A15"/>
          <w:lang w:val="nl-BE"/>
        </w:rPr>
        <w:t xml:space="preserve"> moet gekeken worden naar de bijkomende kosten t.o.v</w:t>
      </w:r>
      <w:r w:rsidRPr="005364F7">
        <w:rPr>
          <w:rFonts w:ascii="Arial" w:hAnsi="Arial" w:cs="Arial"/>
          <w:lang w:val="nl-BE"/>
        </w:rPr>
        <w:t xml:space="preserve">. de reeds beschikbare gegevensbronnen. Daarbij mogen zowel investerings- als operationele kosten in rekening genomen worden, inclusief onderhoud, reserveonderdelen, personeelskosten, enz. … </w:t>
      </w:r>
    </w:p>
    <w:p w14:paraId="11221C1B" w14:textId="77777777" w:rsidR="00A66B0E" w:rsidRPr="005364F7" w:rsidRDefault="00A66B0E" w:rsidP="005364F7">
      <w:pPr>
        <w:autoSpaceDE w:val="0"/>
        <w:autoSpaceDN w:val="0"/>
        <w:adjustRightInd w:val="0"/>
        <w:spacing w:after="0" w:line="240" w:lineRule="auto"/>
        <w:ind w:left="709"/>
        <w:jc w:val="both"/>
        <w:rPr>
          <w:rFonts w:ascii="Arial" w:hAnsi="Arial" w:cs="Arial"/>
          <w:lang w:val="nl-BE"/>
        </w:rPr>
      </w:pPr>
      <w:r w:rsidRPr="005364F7">
        <w:rPr>
          <w:rFonts w:ascii="Arial" w:hAnsi="Arial" w:cs="Arial"/>
          <w:lang w:val="nl-BE"/>
        </w:rPr>
        <w:t xml:space="preserve">De investeringskosten moeten daarbij rekening houden met een passende afschrijvingsperiode rekening houdend met de economische levensduur van de apparatuur (minimaal 10 jaar voor meters). Tot operationele kosten behoren bijvoorbeeld ook de jaarlijkse controle van de meters en de vijfjaarlijkse kalibratie. </w:t>
      </w:r>
    </w:p>
    <w:p w14:paraId="021BF9ED" w14:textId="2D6C85E1" w:rsidR="008D04CC" w:rsidRPr="005364F7" w:rsidRDefault="008D04CC" w:rsidP="005364F7">
      <w:pPr>
        <w:autoSpaceDE w:val="0"/>
        <w:autoSpaceDN w:val="0"/>
        <w:adjustRightInd w:val="0"/>
        <w:spacing w:after="0" w:line="240" w:lineRule="auto"/>
        <w:jc w:val="both"/>
        <w:rPr>
          <w:rFonts w:ascii="Arial" w:hAnsi="Arial" w:cs="Arial"/>
          <w:sz w:val="16"/>
          <w:szCs w:val="16"/>
          <w:lang w:val="nl-BE"/>
        </w:rPr>
      </w:pPr>
    </w:p>
    <w:p w14:paraId="564DCCB8" w14:textId="77777777" w:rsidR="00A66B0E" w:rsidRPr="005364F7" w:rsidRDefault="00A66B0E" w:rsidP="005364F7">
      <w:pPr>
        <w:autoSpaceDE w:val="0"/>
        <w:autoSpaceDN w:val="0"/>
        <w:adjustRightInd w:val="0"/>
        <w:spacing w:after="0" w:line="240" w:lineRule="auto"/>
        <w:jc w:val="both"/>
        <w:rPr>
          <w:rFonts w:ascii="Arial" w:hAnsi="Arial" w:cs="Arial"/>
          <w:sz w:val="16"/>
          <w:szCs w:val="16"/>
          <w:lang w:val="nl-BE"/>
        </w:rPr>
      </w:pPr>
    </w:p>
    <w:p w14:paraId="5A61A156" w14:textId="452EAF96" w:rsidR="008D04CC" w:rsidRPr="005364F7" w:rsidRDefault="0052231D" w:rsidP="005364F7">
      <w:pPr>
        <w:autoSpaceDE w:val="0"/>
        <w:autoSpaceDN w:val="0"/>
        <w:adjustRightInd w:val="0"/>
        <w:spacing w:after="0" w:line="240" w:lineRule="auto"/>
        <w:jc w:val="both"/>
        <w:rPr>
          <w:rFonts w:ascii="Arial" w:hAnsi="Arial" w:cs="Arial"/>
          <w:u w:val="single"/>
          <w:lang w:val="nl-BE"/>
        </w:rPr>
      </w:pPr>
      <w:r w:rsidRPr="005364F7">
        <w:rPr>
          <w:rFonts w:ascii="Arial" w:hAnsi="Arial" w:cs="Arial"/>
          <w:u w:val="single"/>
          <w:lang w:val="nl-BE"/>
        </w:rPr>
        <w:t>Opmerking</w:t>
      </w:r>
      <w:r w:rsidR="00795E44" w:rsidRPr="005364F7">
        <w:rPr>
          <w:rFonts w:ascii="Arial" w:hAnsi="Arial" w:cs="Arial"/>
          <w:u w:val="single"/>
          <w:lang w:val="nl-BE"/>
        </w:rPr>
        <w:t>en</w:t>
      </w:r>
    </w:p>
    <w:p w14:paraId="75EEF96E" w14:textId="77777777" w:rsidR="00194A06" w:rsidRPr="005364F7" w:rsidRDefault="00194A06" w:rsidP="005364F7">
      <w:pPr>
        <w:autoSpaceDE w:val="0"/>
        <w:autoSpaceDN w:val="0"/>
        <w:adjustRightInd w:val="0"/>
        <w:spacing w:after="0" w:line="240" w:lineRule="auto"/>
        <w:ind w:left="709"/>
        <w:jc w:val="both"/>
        <w:rPr>
          <w:rFonts w:ascii="Arial" w:hAnsi="Arial" w:cs="Arial"/>
          <w:lang w:val="nl-BE"/>
        </w:rPr>
      </w:pPr>
    </w:p>
    <w:p w14:paraId="6F52456B" w14:textId="2DA63988" w:rsidR="008D04CC" w:rsidRPr="005364F7" w:rsidRDefault="008D04CC" w:rsidP="005364F7">
      <w:pPr>
        <w:pStyle w:val="Lijstalinea"/>
        <w:numPr>
          <w:ilvl w:val="0"/>
          <w:numId w:val="4"/>
        </w:numPr>
        <w:autoSpaceDE w:val="0"/>
        <w:autoSpaceDN w:val="0"/>
        <w:adjustRightInd w:val="0"/>
        <w:spacing w:after="0" w:line="240" w:lineRule="auto"/>
        <w:jc w:val="both"/>
        <w:rPr>
          <w:rFonts w:ascii="Arial" w:hAnsi="Arial" w:cs="Arial"/>
          <w:lang w:val="nl-BE"/>
        </w:rPr>
      </w:pPr>
      <w:r w:rsidRPr="005364F7">
        <w:rPr>
          <w:rFonts w:ascii="Arial" w:hAnsi="Arial" w:cs="Arial"/>
          <w:lang w:val="nl-BE"/>
        </w:rPr>
        <w:t xml:space="preserve">Voor het </w:t>
      </w:r>
      <w:r w:rsidRPr="005364F7">
        <w:rPr>
          <w:rFonts w:ascii="Arial" w:hAnsi="Arial" w:cs="Arial"/>
          <w:lang w:val="nl-BE"/>
        </w:rPr>
        <w:t xml:space="preserve">bepalen van de </w:t>
      </w:r>
      <w:r w:rsidRPr="005364F7">
        <w:rPr>
          <w:rFonts w:ascii="Arial" w:hAnsi="Arial" w:cs="Arial"/>
          <w:u w:val="single"/>
          <w:lang w:val="nl-BE"/>
        </w:rPr>
        <w:t>verwachte voordelen</w:t>
      </w:r>
      <w:r w:rsidRPr="005364F7">
        <w:rPr>
          <w:rFonts w:ascii="Arial" w:hAnsi="Arial" w:cs="Arial"/>
          <w:lang w:val="nl-BE"/>
        </w:rPr>
        <w:t xml:space="preserve"> wordt gewerkt met een ondergrens van €</w:t>
      </w:r>
      <w:r w:rsidR="00096EDD">
        <w:rPr>
          <w:rFonts w:ascii="Arial" w:hAnsi="Arial" w:cs="Arial"/>
          <w:lang w:val="nl-BE"/>
        </w:rPr>
        <w:t xml:space="preserve"> </w:t>
      </w:r>
      <w:r w:rsidRPr="005364F7">
        <w:rPr>
          <w:rFonts w:ascii="Arial" w:hAnsi="Arial" w:cs="Arial"/>
          <w:lang w:val="nl-BE"/>
        </w:rPr>
        <w:t>2</w:t>
      </w:r>
      <w:r w:rsidR="00096EDD">
        <w:rPr>
          <w:rFonts w:ascii="Arial" w:hAnsi="Arial" w:cs="Arial"/>
          <w:lang w:val="nl-BE"/>
        </w:rPr>
        <w:t>.</w:t>
      </w:r>
      <w:r w:rsidRPr="005364F7">
        <w:rPr>
          <w:rFonts w:ascii="Arial" w:hAnsi="Arial" w:cs="Arial"/>
          <w:lang w:val="nl-BE"/>
        </w:rPr>
        <w:t>000/jaar (€</w:t>
      </w:r>
      <w:r w:rsidR="00096EDD">
        <w:rPr>
          <w:rFonts w:ascii="Arial" w:hAnsi="Arial" w:cs="Arial"/>
          <w:lang w:val="nl-BE"/>
        </w:rPr>
        <w:t xml:space="preserve"> </w:t>
      </w:r>
      <w:r w:rsidRPr="005364F7">
        <w:rPr>
          <w:rFonts w:ascii="Arial" w:hAnsi="Arial" w:cs="Arial"/>
          <w:lang w:val="nl-BE"/>
        </w:rPr>
        <w:t>500/jaar voor ins</w:t>
      </w:r>
      <w:r w:rsidR="00795E44" w:rsidRPr="005364F7">
        <w:rPr>
          <w:rFonts w:ascii="Arial" w:hAnsi="Arial" w:cs="Arial"/>
          <w:lang w:val="nl-BE"/>
        </w:rPr>
        <w:t>tallaties met geringe emissies), d.w.z. de verwachte voordelen bedragen steeds tenminste €</w:t>
      </w:r>
      <w:r w:rsidR="00096EDD">
        <w:rPr>
          <w:rFonts w:ascii="Arial" w:hAnsi="Arial" w:cs="Arial"/>
          <w:lang w:val="nl-BE"/>
        </w:rPr>
        <w:t xml:space="preserve"> </w:t>
      </w:r>
      <w:r w:rsidR="00795E44" w:rsidRPr="005364F7">
        <w:rPr>
          <w:rFonts w:ascii="Arial" w:hAnsi="Arial" w:cs="Arial"/>
          <w:lang w:val="nl-BE"/>
        </w:rPr>
        <w:t>2</w:t>
      </w:r>
      <w:r w:rsidR="00096EDD">
        <w:rPr>
          <w:rFonts w:ascii="Arial" w:hAnsi="Arial" w:cs="Arial"/>
          <w:lang w:val="nl-BE"/>
        </w:rPr>
        <w:t>.</w:t>
      </w:r>
      <w:r w:rsidR="00795E44" w:rsidRPr="005364F7">
        <w:rPr>
          <w:rFonts w:ascii="Arial" w:hAnsi="Arial" w:cs="Arial"/>
          <w:lang w:val="nl-BE"/>
        </w:rPr>
        <w:t>000/jaar (€</w:t>
      </w:r>
      <w:r w:rsidR="00096EDD">
        <w:rPr>
          <w:rFonts w:ascii="Arial" w:hAnsi="Arial" w:cs="Arial"/>
          <w:lang w:val="nl-BE"/>
        </w:rPr>
        <w:t xml:space="preserve"> </w:t>
      </w:r>
      <w:r w:rsidR="00795E44" w:rsidRPr="005364F7">
        <w:rPr>
          <w:rFonts w:ascii="Arial" w:hAnsi="Arial" w:cs="Arial"/>
          <w:lang w:val="nl-BE"/>
        </w:rPr>
        <w:t>500</w:t>
      </w:r>
      <w:r w:rsidR="00130B91" w:rsidRPr="005364F7">
        <w:rPr>
          <w:rFonts w:ascii="Arial" w:hAnsi="Arial" w:cs="Arial"/>
          <w:lang w:val="nl-BE"/>
        </w:rPr>
        <w:t>/jaar voor installaties met geringe emissies)</w:t>
      </w:r>
      <w:r w:rsidR="00E201A0" w:rsidRPr="005364F7">
        <w:rPr>
          <w:rFonts w:ascii="Arial" w:hAnsi="Arial" w:cs="Arial"/>
          <w:lang w:val="nl-BE"/>
        </w:rPr>
        <w:t>.</w:t>
      </w:r>
      <w:r w:rsidR="00AD60C9" w:rsidRPr="005364F7">
        <w:rPr>
          <w:rFonts w:ascii="Arial" w:hAnsi="Arial" w:cs="Arial"/>
          <w:lang w:val="nl-BE"/>
        </w:rPr>
        <w:t xml:space="preserve"> Dit impliceert dat een verbetering met een totale kost lager dan €</w:t>
      </w:r>
      <w:r w:rsidR="00096EDD">
        <w:rPr>
          <w:rFonts w:ascii="Arial" w:hAnsi="Arial" w:cs="Arial"/>
          <w:lang w:val="nl-BE"/>
        </w:rPr>
        <w:t xml:space="preserve"> </w:t>
      </w:r>
      <w:r w:rsidR="00AD60C9" w:rsidRPr="005364F7">
        <w:rPr>
          <w:rFonts w:ascii="Arial" w:hAnsi="Arial" w:cs="Arial"/>
          <w:lang w:val="nl-BE"/>
        </w:rPr>
        <w:t>2</w:t>
      </w:r>
      <w:r w:rsidR="00096EDD">
        <w:rPr>
          <w:rFonts w:ascii="Arial" w:hAnsi="Arial" w:cs="Arial"/>
          <w:lang w:val="nl-BE"/>
        </w:rPr>
        <w:t>.</w:t>
      </w:r>
      <w:r w:rsidR="00AD60C9" w:rsidRPr="005364F7">
        <w:rPr>
          <w:rFonts w:ascii="Arial" w:hAnsi="Arial" w:cs="Arial"/>
          <w:lang w:val="nl-BE"/>
        </w:rPr>
        <w:t>000 (resp. €</w:t>
      </w:r>
      <w:r w:rsidR="00096EDD">
        <w:rPr>
          <w:rFonts w:ascii="Arial" w:hAnsi="Arial" w:cs="Arial"/>
          <w:lang w:val="nl-BE"/>
        </w:rPr>
        <w:t xml:space="preserve"> </w:t>
      </w:r>
      <w:r w:rsidR="00AD60C9" w:rsidRPr="005364F7">
        <w:rPr>
          <w:rFonts w:ascii="Arial" w:hAnsi="Arial" w:cs="Arial"/>
          <w:lang w:val="nl-BE"/>
        </w:rPr>
        <w:t>500)/jaar steeds dient uitgevoerd te worden (ook als de onredelijk</w:t>
      </w:r>
      <w:r w:rsidR="00F91143" w:rsidRPr="005364F7">
        <w:rPr>
          <w:rFonts w:ascii="Arial" w:hAnsi="Arial" w:cs="Arial"/>
          <w:lang w:val="nl-BE"/>
        </w:rPr>
        <w:t xml:space="preserve">e kost </w:t>
      </w:r>
      <w:proofErr w:type="spellStart"/>
      <w:r w:rsidR="00F91143" w:rsidRPr="005364F7">
        <w:rPr>
          <w:rFonts w:ascii="Arial" w:hAnsi="Arial" w:cs="Arial"/>
          <w:lang w:val="nl-BE"/>
        </w:rPr>
        <w:t>bvb</w:t>
      </w:r>
      <w:proofErr w:type="spellEnd"/>
      <w:r w:rsidR="00F91143" w:rsidRPr="005364F7">
        <w:rPr>
          <w:rFonts w:ascii="Arial" w:hAnsi="Arial" w:cs="Arial"/>
          <w:lang w:val="nl-BE"/>
        </w:rPr>
        <w:t xml:space="preserve">. slechts </w:t>
      </w:r>
      <w:r w:rsidR="00BC6802">
        <w:rPr>
          <w:rFonts w:ascii="Arial" w:hAnsi="Arial" w:cs="Arial"/>
          <w:lang w:val="nl-BE"/>
        </w:rPr>
        <w:t>€</w:t>
      </w:r>
      <w:r w:rsidR="00096EDD">
        <w:rPr>
          <w:rFonts w:ascii="Arial" w:hAnsi="Arial" w:cs="Arial"/>
          <w:lang w:val="nl-BE"/>
        </w:rPr>
        <w:t xml:space="preserve"> </w:t>
      </w:r>
      <w:r w:rsidR="00F91143" w:rsidRPr="005364F7">
        <w:rPr>
          <w:rFonts w:ascii="Arial" w:hAnsi="Arial" w:cs="Arial"/>
          <w:lang w:val="nl-BE"/>
        </w:rPr>
        <w:t>100</w:t>
      </w:r>
      <w:r w:rsidR="00BC6802">
        <w:rPr>
          <w:rFonts w:ascii="Arial" w:hAnsi="Arial" w:cs="Arial"/>
          <w:lang w:val="nl-BE"/>
        </w:rPr>
        <w:t>/jaar</w:t>
      </w:r>
      <w:r w:rsidR="001512B9">
        <w:rPr>
          <w:rFonts w:ascii="Arial" w:hAnsi="Arial" w:cs="Arial"/>
          <w:lang w:val="nl-BE"/>
        </w:rPr>
        <w:t xml:space="preserve"> is</w:t>
      </w:r>
      <w:r w:rsidR="00F91143" w:rsidRPr="005364F7">
        <w:rPr>
          <w:rFonts w:ascii="Arial" w:hAnsi="Arial" w:cs="Arial"/>
          <w:lang w:val="nl-BE"/>
        </w:rPr>
        <w:t>)</w:t>
      </w:r>
      <w:r w:rsidR="001512B9">
        <w:rPr>
          <w:rFonts w:ascii="Arial" w:hAnsi="Arial" w:cs="Arial"/>
          <w:lang w:val="nl-BE"/>
        </w:rPr>
        <w:t>.</w:t>
      </w:r>
      <w:r w:rsidR="00004CEA" w:rsidRPr="005364F7">
        <w:rPr>
          <w:rFonts w:ascii="Arial" w:hAnsi="Arial" w:cs="Arial"/>
          <w:lang w:val="nl-BE"/>
        </w:rPr>
        <w:t xml:space="preserve"> Concreet mag een exploitant dus </w:t>
      </w:r>
      <w:r w:rsidR="00096EDD">
        <w:rPr>
          <w:rFonts w:ascii="Arial" w:hAnsi="Arial" w:cs="Arial"/>
          <w:lang w:val="nl-BE"/>
        </w:rPr>
        <w:t xml:space="preserve">€ </w:t>
      </w:r>
      <w:r w:rsidR="00004CEA" w:rsidRPr="005364F7">
        <w:rPr>
          <w:rFonts w:ascii="Arial" w:hAnsi="Arial" w:cs="Arial"/>
          <w:lang w:val="nl-BE"/>
        </w:rPr>
        <w:t>20</w:t>
      </w:r>
      <w:r w:rsidR="00096EDD">
        <w:rPr>
          <w:rFonts w:ascii="Arial" w:hAnsi="Arial" w:cs="Arial"/>
          <w:lang w:val="nl-BE"/>
        </w:rPr>
        <w:t>.</w:t>
      </w:r>
      <w:r w:rsidR="00004CEA" w:rsidRPr="005364F7">
        <w:rPr>
          <w:rFonts w:ascii="Arial" w:hAnsi="Arial" w:cs="Arial"/>
          <w:lang w:val="nl-BE"/>
        </w:rPr>
        <w:t>000 (re</w:t>
      </w:r>
      <w:r w:rsidR="00BC6802">
        <w:rPr>
          <w:rFonts w:ascii="Arial" w:hAnsi="Arial" w:cs="Arial"/>
          <w:lang w:val="nl-BE"/>
        </w:rPr>
        <w:t>s</w:t>
      </w:r>
      <w:r w:rsidR="00004CEA" w:rsidRPr="005364F7">
        <w:rPr>
          <w:rFonts w:ascii="Arial" w:hAnsi="Arial" w:cs="Arial"/>
          <w:lang w:val="nl-BE"/>
        </w:rPr>
        <w:t xml:space="preserve">p. </w:t>
      </w:r>
      <w:r w:rsidR="00096EDD">
        <w:rPr>
          <w:rFonts w:ascii="Arial" w:hAnsi="Arial" w:cs="Arial"/>
          <w:lang w:val="nl-BE"/>
        </w:rPr>
        <w:t xml:space="preserve">€ </w:t>
      </w:r>
      <w:r w:rsidR="00004CEA" w:rsidRPr="005364F7">
        <w:rPr>
          <w:rFonts w:ascii="Arial" w:hAnsi="Arial" w:cs="Arial"/>
          <w:lang w:val="nl-BE"/>
        </w:rPr>
        <w:t>5</w:t>
      </w:r>
      <w:r w:rsidR="00096EDD">
        <w:rPr>
          <w:rFonts w:ascii="Arial" w:hAnsi="Arial" w:cs="Arial"/>
          <w:lang w:val="nl-BE"/>
        </w:rPr>
        <w:t>.</w:t>
      </w:r>
      <w:r w:rsidR="00004CEA" w:rsidRPr="005364F7">
        <w:rPr>
          <w:rFonts w:ascii="Arial" w:hAnsi="Arial" w:cs="Arial"/>
          <w:lang w:val="nl-BE"/>
        </w:rPr>
        <w:t xml:space="preserve">000) investeren voordat de kosten onredelijk </w:t>
      </w:r>
      <w:r w:rsidR="00004CEA" w:rsidRPr="005364F7">
        <w:rPr>
          <w:rFonts w:ascii="Arial" w:hAnsi="Arial" w:cs="Arial"/>
          <w:lang w:val="nl-BE"/>
        </w:rPr>
        <w:t>worden</w:t>
      </w:r>
      <w:r w:rsidR="00F91143" w:rsidRPr="005364F7">
        <w:rPr>
          <w:rFonts w:ascii="Arial" w:hAnsi="Arial" w:cs="Arial"/>
          <w:lang w:val="nl-BE"/>
        </w:rPr>
        <w:t xml:space="preserve">. </w:t>
      </w:r>
    </w:p>
    <w:p w14:paraId="6077D885" w14:textId="6BE3F428" w:rsidR="00795E44" w:rsidRPr="005364F7" w:rsidRDefault="00795E44" w:rsidP="005364F7">
      <w:pPr>
        <w:autoSpaceDE w:val="0"/>
        <w:autoSpaceDN w:val="0"/>
        <w:adjustRightInd w:val="0"/>
        <w:spacing w:after="0" w:line="240" w:lineRule="auto"/>
        <w:jc w:val="both"/>
        <w:rPr>
          <w:rFonts w:ascii="Arial" w:hAnsi="Arial" w:cs="Arial"/>
          <w:lang w:val="nl-BE"/>
        </w:rPr>
      </w:pPr>
    </w:p>
    <w:p w14:paraId="534FDF7F" w14:textId="12262A5A" w:rsidR="008D04CC" w:rsidRPr="005364F7" w:rsidRDefault="008D04CC" w:rsidP="005364F7">
      <w:pPr>
        <w:pStyle w:val="Lijstalinea"/>
        <w:numPr>
          <w:ilvl w:val="0"/>
          <w:numId w:val="4"/>
        </w:numPr>
        <w:autoSpaceDE w:val="0"/>
        <w:autoSpaceDN w:val="0"/>
        <w:adjustRightInd w:val="0"/>
        <w:spacing w:after="0" w:line="240" w:lineRule="auto"/>
        <w:jc w:val="both"/>
        <w:rPr>
          <w:rFonts w:ascii="Arial" w:hAnsi="Arial" w:cs="Arial"/>
          <w:lang w:val="nl-BE"/>
        </w:rPr>
      </w:pPr>
      <w:r w:rsidRPr="005364F7">
        <w:rPr>
          <w:rFonts w:ascii="Arial" w:hAnsi="Arial" w:cs="Arial"/>
          <w:lang w:val="nl-BE"/>
        </w:rPr>
        <w:t>Indien men zich beroept op onredelijke kosten, moeten alle corrigerende maatregelen uitgevoerd</w:t>
      </w:r>
      <w:r w:rsidR="00795E44" w:rsidRPr="005364F7">
        <w:rPr>
          <w:rFonts w:ascii="Arial" w:hAnsi="Arial" w:cs="Arial"/>
          <w:lang w:val="nl-BE"/>
        </w:rPr>
        <w:t xml:space="preserve"> </w:t>
      </w:r>
      <w:r w:rsidRPr="005364F7">
        <w:rPr>
          <w:rFonts w:ascii="Arial" w:hAnsi="Arial" w:cs="Arial"/>
          <w:lang w:val="nl-BE"/>
        </w:rPr>
        <w:t xml:space="preserve">worden tot op de </w:t>
      </w:r>
      <w:r w:rsidR="00E201A0" w:rsidRPr="005364F7">
        <w:rPr>
          <w:rFonts w:ascii="Arial" w:hAnsi="Arial" w:cs="Arial"/>
          <w:lang w:val="nl-BE"/>
        </w:rPr>
        <w:t xml:space="preserve">berekende </w:t>
      </w:r>
      <w:r w:rsidRPr="005364F7">
        <w:rPr>
          <w:rFonts w:ascii="Arial" w:hAnsi="Arial" w:cs="Arial"/>
          <w:lang w:val="nl-BE"/>
        </w:rPr>
        <w:t xml:space="preserve">grens van </w:t>
      </w:r>
      <w:r w:rsidR="00E201A0" w:rsidRPr="005364F7">
        <w:rPr>
          <w:rFonts w:ascii="Arial" w:hAnsi="Arial" w:cs="Arial"/>
          <w:lang w:val="nl-BE"/>
        </w:rPr>
        <w:t xml:space="preserve">deze </w:t>
      </w:r>
      <w:r w:rsidRPr="005364F7">
        <w:rPr>
          <w:rFonts w:ascii="Arial" w:hAnsi="Arial" w:cs="Arial"/>
          <w:lang w:val="nl-BE"/>
        </w:rPr>
        <w:t>onredelijke kosten. Daarbij moeten de verwachte voordelen en kosten</w:t>
      </w:r>
      <w:r w:rsidR="00795E44" w:rsidRPr="005364F7">
        <w:rPr>
          <w:rFonts w:ascii="Arial" w:hAnsi="Arial" w:cs="Arial"/>
          <w:lang w:val="nl-BE"/>
        </w:rPr>
        <w:t xml:space="preserve"> </w:t>
      </w:r>
      <w:r w:rsidRPr="005364F7">
        <w:rPr>
          <w:rFonts w:ascii="Arial" w:hAnsi="Arial" w:cs="Arial"/>
          <w:lang w:val="nl-BE"/>
        </w:rPr>
        <w:t>steeds bekeken worden op het niveau van de sub-installatie</w:t>
      </w:r>
      <w:r w:rsidR="00194A06" w:rsidRPr="005364F7">
        <w:rPr>
          <w:rFonts w:ascii="Arial" w:hAnsi="Arial" w:cs="Arial"/>
          <w:lang w:val="nl-BE"/>
        </w:rPr>
        <w:t xml:space="preserve">), </w:t>
      </w:r>
      <w:r w:rsidR="00004CEA" w:rsidRPr="005364F7">
        <w:rPr>
          <w:rFonts w:ascii="Arial" w:hAnsi="Arial" w:cs="Arial"/>
          <w:lang w:val="nl-BE"/>
        </w:rPr>
        <w:t xml:space="preserve">d.w.z. apart voor WBM, BBM en </w:t>
      </w:r>
      <w:proofErr w:type="spellStart"/>
      <w:r w:rsidR="00004CEA" w:rsidRPr="005364F7">
        <w:rPr>
          <w:rFonts w:ascii="Arial" w:hAnsi="Arial" w:cs="Arial"/>
          <w:lang w:val="nl-BE"/>
        </w:rPr>
        <w:t>PrEm</w:t>
      </w:r>
      <w:proofErr w:type="spellEnd"/>
      <w:r w:rsidR="00004CEA" w:rsidRPr="005364F7">
        <w:rPr>
          <w:rFonts w:ascii="Arial" w:hAnsi="Arial" w:cs="Arial"/>
          <w:lang w:val="nl-BE"/>
        </w:rPr>
        <w:t xml:space="preserve"> sub-installatie (zie ook onderstaand voorbeeld).</w:t>
      </w:r>
    </w:p>
    <w:p w14:paraId="42597537" w14:textId="77777777" w:rsidR="00F3402F" w:rsidRPr="005364F7" w:rsidRDefault="00F3402F" w:rsidP="005364F7">
      <w:pPr>
        <w:pStyle w:val="Lijstalinea"/>
        <w:jc w:val="both"/>
        <w:rPr>
          <w:rFonts w:ascii="Arial" w:hAnsi="Arial" w:cs="Arial"/>
          <w:lang w:val="nl-BE"/>
        </w:rPr>
      </w:pPr>
    </w:p>
    <w:p w14:paraId="284BE004" w14:textId="77777777" w:rsidR="00173F64" w:rsidRPr="005364F7" w:rsidRDefault="00173F64" w:rsidP="005364F7">
      <w:pPr>
        <w:pStyle w:val="Lijstalinea"/>
        <w:numPr>
          <w:ilvl w:val="0"/>
          <w:numId w:val="4"/>
        </w:numPr>
        <w:autoSpaceDE w:val="0"/>
        <w:autoSpaceDN w:val="0"/>
        <w:adjustRightInd w:val="0"/>
        <w:spacing w:after="0" w:line="240" w:lineRule="auto"/>
        <w:jc w:val="both"/>
        <w:rPr>
          <w:rFonts w:ascii="Arial" w:hAnsi="Arial" w:cs="Arial"/>
          <w:lang w:val="nl-BE"/>
        </w:rPr>
      </w:pPr>
      <w:r w:rsidRPr="005364F7">
        <w:rPr>
          <w:rFonts w:ascii="Arial" w:hAnsi="Arial" w:cs="Arial"/>
          <w:lang w:val="nl-BE"/>
        </w:rPr>
        <w:t xml:space="preserve">In sommige gevallen kan de grens van onredelijke kosten toelaten dat er twee of meer debietmeters geïnstalleerd worden, maar dan zonder </w:t>
      </w:r>
      <w:proofErr w:type="spellStart"/>
      <w:r w:rsidRPr="005364F7">
        <w:rPr>
          <w:rFonts w:ascii="Arial" w:hAnsi="Arial" w:cs="Arial"/>
          <w:lang w:val="nl-BE"/>
        </w:rPr>
        <w:t>pT</w:t>
      </w:r>
      <w:proofErr w:type="spellEnd"/>
      <w:r w:rsidRPr="005364F7">
        <w:rPr>
          <w:rFonts w:ascii="Arial" w:hAnsi="Arial" w:cs="Arial"/>
          <w:lang w:val="nl-BE"/>
        </w:rPr>
        <w:t xml:space="preserve">-compensatie (bij gassen of stoom) of T-compensatie (bij hete olie of warm water), zonder </w:t>
      </w:r>
      <w:proofErr w:type="spellStart"/>
      <w:r w:rsidRPr="005364F7">
        <w:rPr>
          <w:rFonts w:ascii="Arial" w:hAnsi="Arial" w:cs="Arial"/>
          <w:lang w:val="nl-BE"/>
        </w:rPr>
        <w:t>logging</w:t>
      </w:r>
      <w:proofErr w:type="spellEnd"/>
      <w:r w:rsidRPr="005364F7">
        <w:rPr>
          <w:rFonts w:ascii="Arial" w:hAnsi="Arial" w:cs="Arial"/>
          <w:lang w:val="nl-BE"/>
        </w:rPr>
        <w:t xml:space="preserve"> of zonder onderhoud. De exploitant dient dan na te gaan of één debietmeting met de juiste compensatie, </w:t>
      </w:r>
      <w:proofErr w:type="spellStart"/>
      <w:r w:rsidRPr="005364F7">
        <w:rPr>
          <w:rFonts w:ascii="Arial" w:hAnsi="Arial" w:cs="Arial"/>
          <w:lang w:val="nl-BE"/>
        </w:rPr>
        <w:t>logging</w:t>
      </w:r>
      <w:proofErr w:type="spellEnd"/>
      <w:r w:rsidRPr="005364F7">
        <w:rPr>
          <w:rFonts w:ascii="Arial" w:hAnsi="Arial" w:cs="Arial"/>
          <w:lang w:val="nl-BE"/>
        </w:rPr>
        <w:t xml:space="preserve"> en onderhoud wel binnen de grens van onredelijke kosten valt en hiervoor te kiezen.</w:t>
      </w:r>
    </w:p>
    <w:p w14:paraId="01DDB759" w14:textId="77777777" w:rsidR="00173F64" w:rsidRPr="005364F7" w:rsidRDefault="00173F64" w:rsidP="005364F7">
      <w:pPr>
        <w:autoSpaceDE w:val="0"/>
        <w:autoSpaceDN w:val="0"/>
        <w:adjustRightInd w:val="0"/>
        <w:spacing w:after="0" w:line="240" w:lineRule="auto"/>
        <w:jc w:val="both"/>
        <w:rPr>
          <w:rFonts w:ascii="Arial" w:hAnsi="Arial" w:cs="Arial"/>
          <w:lang w:val="nl-BE"/>
        </w:rPr>
      </w:pPr>
    </w:p>
    <w:p w14:paraId="31CF8628" w14:textId="77777777" w:rsidR="00173F64" w:rsidRPr="005364F7" w:rsidRDefault="00173F64" w:rsidP="005364F7">
      <w:pPr>
        <w:pStyle w:val="Lijstalinea"/>
        <w:numPr>
          <w:ilvl w:val="0"/>
          <w:numId w:val="4"/>
        </w:numPr>
        <w:autoSpaceDE w:val="0"/>
        <w:autoSpaceDN w:val="0"/>
        <w:adjustRightInd w:val="0"/>
        <w:spacing w:after="0" w:line="240" w:lineRule="auto"/>
        <w:jc w:val="both"/>
        <w:rPr>
          <w:rFonts w:ascii="Arial" w:hAnsi="Arial" w:cs="Arial"/>
          <w:lang w:val="nl-BE"/>
        </w:rPr>
      </w:pPr>
      <w:r w:rsidRPr="005364F7">
        <w:rPr>
          <w:rFonts w:ascii="Arial" w:hAnsi="Arial" w:cs="Arial"/>
          <w:lang w:val="nl-BE"/>
        </w:rPr>
        <w:t xml:space="preserve">Indien er geen of geen betrouwbare warmtemeting beschikbaar is aan de gemeenschappelijke uitgang van de warmtegeneratoren (stoomketels, warm water generatoren) is dit de plaats waar de eerste meter moet geplaatst worden. Pas daarna kan methode 6.12 uit </w:t>
      </w:r>
      <w:proofErr w:type="spellStart"/>
      <w:r w:rsidRPr="005364F7">
        <w:rPr>
          <w:rFonts w:ascii="Arial" w:hAnsi="Arial" w:cs="Arial"/>
          <w:lang w:val="nl-BE"/>
        </w:rPr>
        <w:t>guidance</w:t>
      </w:r>
      <w:proofErr w:type="spellEnd"/>
      <w:r w:rsidRPr="005364F7">
        <w:rPr>
          <w:rFonts w:ascii="Arial" w:hAnsi="Arial" w:cs="Arial"/>
          <w:lang w:val="nl-BE"/>
        </w:rPr>
        <w:t xml:space="preserve"> 5 (zie verder) betrouwbaar toegepast worden.</w:t>
      </w:r>
    </w:p>
    <w:p w14:paraId="4E3CECBD" w14:textId="29A8D0DA" w:rsidR="00130B91" w:rsidRPr="005364F7" w:rsidRDefault="00130B91" w:rsidP="005364F7">
      <w:pPr>
        <w:autoSpaceDE w:val="0"/>
        <w:autoSpaceDN w:val="0"/>
        <w:adjustRightInd w:val="0"/>
        <w:spacing w:after="0" w:line="240" w:lineRule="auto"/>
        <w:jc w:val="both"/>
        <w:rPr>
          <w:rFonts w:ascii="Arial" w:hAnsi="Arial" w:cs="Arial"/>
          <w:color w:val="1C1A15"/>
          <w:lang w:val="nl-BE"/>
        </w:rPr>
      </w:pPr>
    </w:p>
    <w:p w14:paraId="4C610320" w14:textId="77777777" w:rsidR="008D1B84" w:rsidRPr="005364F7" w:rsidRDefault="008D1B84" w:rsidP="005364F7">
      <w:pPr>
        <w:autoSpaceDE w:val="0"/>
        <w:autoSpaceDN w:val="0"/>
        <w:adjustRightInd w:val="0"/>
        <w:spacing w:after="0" w:line="240" w:lineRule="auto"/>
        <w:jc w:val="both"/>
        <w:rPr>
          <w:rFonts w:ascii="Arial" w:hAnsi="Arial" w:cs="Arial"/>
          <w:color w:val="1C1A15"/>
          <w:lang w:val="nl-BE"/>
        </w:rPr>
      </w:pPr>
    </w:p>
    <w:p w14:paraId="1422641B" w14:textId="77777777" w:rsidR="008D1B84" w:rsidRPr="005364F7" w:rsidRDefault="008D1B84" w:rsidP="005364F7">
      <w:pPr>
        <w:autoSpaceDE w:val="0"/>
        <w:autoSpaceDN w:val="0"/>
        <w:adjustRightInd w:val="0"/>
        <w:spacing w:after="0" w:line="240" w:lineRule="auto"/>
        <w:jc w:val="both"/>
        <w:rPr>
          <w:rFonts w:ascii="Arial" w:hAnsi="Arial" w:cs="Arial"/>
          <w:b/>
          <w:color w:val="1C1A15"/>
          <w:u w:val="single"/>
          <w:lang w:val="nl-BE"/>
        </w:rPr>
      </w:pPr>
      <w:r w:rsidRPr="005364F7">
        <w:rPr>
          <w:rFonts w:ascii="Arial" w:hAnsi="Arial" w:cs="Arial"/>
          <w:b/>
          <w:color w:val="1C1A15"/>
          <w:u w:val="single"/>
          <w:lang w:val="nl-BE"/>
        </w:rPr>
        <w:t>Voorbeeld van onredelijke kosten</w:t>
      </w:r>
    </w:p>
    <w:p w14:paraId="066709C6" w14:textId="77777777" w:rsidR="008D1B84" w:rsidRPr="005364F7" w:rsidRDefault="008D1B84" w:rsidP="005364F7">
      <w:pPr>
        <w:autoSpaceDE w:val="0"/>
        <w:autoSpaceDN w:val="0"/>
        <w:adjustRightInd w:val="0"/>
        <w:spacing w:after="0" w:line="240" w:lineRule="auto"/>
        <w:jc w:val="both"/>
        <w:rPr>
          <w:rFonts w:ascii="Arial" w:hAnsi="Arial" w:cs="Arial"/>
          <w:color w:val="1C1A15"/>
          <w:lang w:val="nl-BE"/>
        </w:rPr>
      </w:pPr>
    </w:p>
    <w:p w14:paraId="3A5F6CD8" w14:textId="77777777" w:rsidR="00694991" w:rsidRPr="005364F7" w:rsidRDefault="008D1B84"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Een installatie heeft een warmtebenchmark sub-installatie waarbij er vijf stromen van meetbare warmte zijn. </w:t>
      </w:r>
      <w:r w:rsidR="00694991" w:rsidRPr="005364F7">
        <w:rPr>
          <w:rFonts w:ascii="Arial" w:hAnsi="Arial" w:cs="Arial"/>
          <w:color w:val="1C1A15"/>
          <w:lang w:val="nl-BE"/>
        </w:rPr>
        <w:t xml:space="preserve">Het historische activiteitsniveau (HAL-waarde) van de </w:t>
      </w:r>
      <w:r w:rsidR="00694991" w:rsidRPr="005364F7">
        <w:rPr>
          <w:rFonts w:ascii="Arial" w:hAnsi="Arial" w:cs="Arial"/>
          <w:color w:val="1C1A15"/>
          <w:lang w:val="nl-BE"/>
        </w:rPr>
        <w:t>warmtebenchmark sub-installatie (jaargemiddelde 2014-2018) bedraagt 500 TJ.</w:t>
      </w:r>
    </w:p>
    <w:p w14:paraId="11880E14" w14:textId="77777777" w:rsidR="008D1B84" w:rsidRPr="005364F7" w:rsidRDefault="008D1B84" w:rsidP="005364F7">
      <w:pPr>
        <w:autoSpaceDE w:val="0"/>
        <w:autoSpaceDN w:val="0"/>
        <w:adjustRightInd w:val="0"/>
        <w:spacing w:after="0" w:line="240" w:lineRule="auto"/>
        <w:jc w:val="both"/>
        <w:rPr>
          <w:rFonts w:ascii="Arial" w:hAnsi="Arial" w:cs="Arial"/>
          <w:color w:val="1C1A15"/>
          <w:lang w:val="nl-BE"/>
        </w:rPr>
      </w:pPr>
    </w:p>
    <w:p w14:paraId="2B90DA47" w14:textId="0C182CA6" w:rsidR="008D1B84" w:rsidRPr="005364F7" w:rsidRDefault="008D1B84"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Er zijn (nog) geen warmtemeters voorzien (</w:t>
      </w:r>
      <w:r w:rsidR="00E201A0" w:rsidRPr="005364F7">
        <w:rPr>
          <w:rFonts w:ascii="Arial" w:hAnsi="Arial" w:cs="Arial"/>
          <w:color w:val="1C1A15"/>
          <w:lang w:val="nl-BE"/>
        </w:rPr>
        <w:t xml:space="preserve">zoals </w:t>
      </w:r>
      <w:r w:rsidRPr="005364F7">
        <w:rPr>
          <w:rFonts w:ascii="Arial" w:hAnsi="Arial" w:cs="Arial"/>
          <w:color w:val="1C1A15"/>
          <w:lang w:val="nl-BE"/>
        </w:rPr>
        <w:t>methode 4.5</w:t>
      </w:r>
      <w:r w:rsidR="00E201A0" w:rsidRPr="005364F7">
        <w:rPr>
          <w:rFonts w:ascii="Arial" w:hAnsi="Arial" w:cs="Arial"/>
          <w:color w:val="1C1A15"/>
          <w:lang w:val="nl-BE"/>
        </w:rPr>
        <w:t xml:space="preserve"> </w:t>
      </w:r>
      <w:r w:rsidRPr="005364F7">
        <w:rPr>
          <w:rFonts w:ascii="Arial" w:hAnsi="Arial" w:cs="Arial"/>
          <w:color w:val="1C1A15"/>
          <w:lang w:val="nl-BE"/>
        </w:rPr>
        <w:t>a</w:t>
      </w:r>
      <w:r w:rsidR="00E201A0" w:rsidRPr="005364F7">
        <w:rPr>
          <w:rFonts w:ascii="Arial" w:hAnsi="Arial" w:cs="Arial"/>
          <w:color w:val="1C1A15"/>
          <w:lang w:val="nl-BE"/>
        </w:rPr>
        <w:t>)</w:t>
      </w:r>
      <w:r w:rsidRPr="005364F7">
        <w:rPr>
          <w:rFonts w:ascii="Arial" w:hAnsi="Arial" w:cs="Arial"/>
          <w:color w:val="1C1A15"/>
          <w:lang w:val="nl-BE"/>
        </w:rPr>
        <w:t xml:space="preserve"> </w:t>
      </w:r>
      <w:r w:rsidR="00E201A0" w:rsidRPr="005364F7">
        <w:rPr>
          <w:rFonts w:ascii="Arial" w:hAnsi="Arial" w:cs="Arial"/>
          <w:color w:val="1C1A15"/>
          <w:lang w:val="nl-BE"/>
        </w:rPr>
        <w:t xml:space="preserve">of </w:t>
      </w:r>
      <w:r w:rsidRPr="005364F7">
        <w:rPr>
          <w:rFonts w:ascii="Arial" w:hAnsi="Arial" w:cs="Arial"/>
          <w:color w:val="1C1A15"/>
          <w:lang w:val="nl-BE"/>
        </w:rPr>
        <w:t>b)</w:t>
      </w:r>
      <w:r w:rsidR="00E201A0" w:rsidRPr="005364F7">
        <w:rPr>
          <w:rFonts w:ascii="Arial" w:hAnsi="Arial" w:cs="Arial"/>
          <w:color w:val="1C1A15"/>
          <w:lang w:val="nl-BE"/>
        </w:rPr>
        <w:t xml:space="preserve"> voorschrijft)</w:t>
      </w:r>
      <w:r w:rsidRPr="005364F7">
        <w:rPr>
          <w:rFonts w:ascii="Arial" w:hAnsi="Arial" w:cs="Arial"/>
          <w:color w:val="1C1A15"/>
          <w:lang w:val="nl-BE"/>
        </w:rPr>
        <w:t>; voor het baseline rapport werd de hoeveelheid meetbare warmte afgeleid op basis van brandstofinput vermenigvuldigd met een rendement</w:t>
      </w:r>
      <w:r w:rsidR="00E201A0" w:rsidRPr="005364F7">
        <w:rPr>
          <w:rFonts w:ascii="Arial" w:hAnsi="Arial" w:cs="Arial"/>
          <w:color w:val="1C1A15"/>
          <w:lang w:val="nl-BE"/>
        </w:rPr>
        <w:t>,</w:t>
      </w:r>
      <w:r w:rsidRPr="005364F7">
        <w:rPr>
          <w:rFonts w:ascii="Arial" w:hAnsi="Arial" w:cs="Arial"/>
          <w:color w:val="1C1A15"/>
          <w:lang w:val="nl-BE"/>
        </w:rPr>
        <w:t xml:space="preserve"> </w:t>
      </w:r>
      <w:proofErr w:type="spellStart"/>
      <w:r w:rsidR="00E201A0" w:rsidRPr="005364F7">
        <w:rPr>
          <w:rFonts w:ascii="Arial" w:hAnsi="Arial" w:cs="Arial"/>
          <w:color w:val="1C1A15"/>
          <w:lang w:val="nl-BE"/>
        </w:rPr>
        <w:t>cfr</w:t>
      </w:r>
      <w:proofErr w:type="spellEnd"/>
      <w:r w:rsidR="00E201A0" w:rsidRPr="005364F7">
        <w:rPr>
          <w:rFonts w:ascii="Arial" w:hAnsi="Arial" w:cs="Arial"/>
          <w:color w:val="1C1A15"/>
          <w:lang w:val="nl-BE"/>
        </w:rPr>
        <w:t xml:space="preserve">. </w:t>
      </w:r>
      <w:r w:rsidRPr="005364F7">
        <w:rPr>
          <w:rFonts w:ascii="Arial" w:hAnsi="Arial" w:cs="Arial"/>
          <w:color w:val="1C1A15"/>
          <w:lang w:val="nl-BE"/>
        </w:rPr>
        <w:t>methode 4.5</w:t>
      </w:r>
      <w:r w:rsidR="00E201A0" w:rsidRPr="005364F7">
        <w:rPr>
          <w:rFonts w:ascii="Arial" w:hAnsi="Arial" w:cs="Arial"/>
          <w:color w:val="1C1A15"/>
          <w:lang w:val="nl-BE"/>
        </w:rPr>
        <w:t xml:space="preserve"> </w:t>
      </w:r>
      <w:r w:rsidR="007E553A">
        <w:rPr>
          <w:rFonts w:ascii="Arial" w:hAnsi="Arial" w:cs="Arial"/>
          <w:color w:val="1C1A15"/>
          <w:lang w:val="nl-BE"/>
        </w:rPr>
        <w:t>e) of f)</w:t>
      </w:r>
      <w:r w:rsidRPr="005364F7">
        <w:rPr>
          <w:rFonts w:ascii="Arial" w:hAnsi="Arial" w:cs="Arial"/>
          <w:color w:val="1C1A15"/>
          <w:lang w:val="nl-BE"/>
        </w:rPr>
        <w:t>.</w:t>
      </w:r>
    </w:p>
    <w:p w14:paraId="6F12946E" w14:textId="24C2AFC2" w:rsidR="008D1B84" w:rsidRPr="005364F7" w:rsidRDefault="008D1B84" w:rsidP="005364F7">
      <w:pPr>
        <w:autoSpaceDE w:val="0"/>
        <w:autoSpaceDN w:val="0"/>
        <w:adjustRightInd w:val="0"/>
        <w:spacing w:after="0" w:line="240" w:lineRule="auto"/>
        <w:jc w:val="both"/>
        <w:rPr>
          <w:rFonts w:ascii="Arial" w:hAnsi="Arial" w:cs="Arial"/>
          <w:color w:val="1C1A15"/>
          <w:lang w:val="nl-BE"/>
        </w:rPr>
      </w:pPr>
    </w:p>
    <w:p w14:paraId="7B6D129B" w14:textId="146FFD0B" w:rsidR="00563017" w:rsidRPr="005364F7" w:rsidRDefault="00563017"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De </w:t>
      </w:r>
      <w:r w:rsidRPr="005364F7">
        <w:rPr>
          <w:rFonts w:ascii="Arial" w:hAnsi="Arial" w:cs="Arial"/>
          <w:color w:val="1C1A15"/>
          <w:u w:val="single"/>
          <w:lang w:val="nl-BE"/>
        </w:rPr>
        <w:t>kosten voor de installatie</w:t>
      </w:r>
      <w:r w:rsidRPr="005364F7">
        <w:rPr>
          <w:rFonts w:ascii="Arial" w:hAnsi="Arial" w:cs="Arial"/>
          <w:color w:val="1C1A15"/>
          <w:lang w:val="nl-BE"/>
        </w:rPr>
        <w:t xml:space="preserve"> van één warmtemeter </w:t>
      </w:r>
      <w:r w:rsidRPr="005364F7">
        <w:rPr>
          <w:rFonts w:ascii="Arial" w:hAnsi="Arial" w:cs="Arial"/>
          <w:lang w:val="nl-BE"/>
        </w:rPr>
        <w:t xml:space="preserve">(debietmeter plus </w:t>
      </w:r>
      <w:proofErr w:type="spellStart"/>
      <w:r w:rsidRPr="005364F7">
        <w:rPr>
          <w:rFonts w:ascii="Arial" w:hAnsi="Arial" w:cs="Arial"/>
          <w:lang w:val="nl-BE"/>
        </w:rPr>
        <w:t>pT-compensator</w:t>
      </w:r>
      <w:proofErr w:type="spellEnd"/>
      <w:r w:rsidRPr="005364F7">
        <w:rPr>
          <w:rFonts w:ascii="Arial" w:hAnsi="Arial" w:cs="Arial"/>
          <w:lang w:val="nl-BE"/>
        </w:rPr>
        <w:t xml:space="preserve"> met </w:t>
      </w:r>
      <w:proofErr w:type="spellStart"/>
      <w:r w:rsidRPr="005364F7">
        <w:rPr>
          <w:rFonts w:ascii="Arial" w:hAnsi="Arial" w:cs="Arial"/>
          <w:lang w:val="nl-BE"/>
        </w:rPr>
        <w:t>logging</w:t>
      </w:r>
      <w:proofErr w:type="spellEnd"/>
      <w:r w:rsidRPr="005364F7">
        <w:rPr>
          <w:rFonts w:ascii="Arial" w:hAnsi="Arial" w:cs="Arial"/>
          <w:lang w:val="nl-BE"/>
        </w:rPr>
        <w:t xml:space="preserve">) </w:t>
      </w:r>
      <w:r w:rsidRPr="005364F7">
        <w:rPr>
          <w:rFonts w:ascii="Arial" w:hAnsi="Arial" w:cs="Arial"/>
          <w:color w:val="1C1A15"/>
          <w:lang w:val="nl-BE"/>
        </w:rPr>
        <w:t>bedragen éénmalig €</w:t>
      </w:r>
      <w:r w:rsidR="00096EDD">
        <w:rPr>
          <w:rFonts w:ascii="Arial" w:hAnsi="Arial" w:cs="Arial"/>
          <w:color w:val="1C1A15"/>
          <w:lang w:val="nl-BE"/>
        </w:rPr>
        <w:t xml:space="preserve"> </w:t>
      </w:r>
      <w:r w:rsidRPr="005364F7">
        <w:rPr>
          <w:rFonts w:ascii="Arial" w:hAnsi="Arial" w:cs="Arial"/>
          <w:color w:val="1C1A15"/>
          <w:lang w:val="nl-BE"/>
        </w:rPr>
        <w:t>10.000, terwijl er €</w:t>
      </w:r>
      <w:r w:rsidR="00096EDD">
        <w:rPr>
          <w:rFonts w:ascii="Arial" w:hAnsi="Arial" w:cs="Arial"/>
          <w:color w:val="1C1A15"/>
          <w:lang w:val="nl-BE"/>
        </w:rPr>
        <w:t xml:space="preserve"> </w:t>
      </w:r>
      <w:r w:rsidRPr="005364F7">
        <w:rPr>
          <w:rFonts w:ascii="Arial" w:hAnsi="Arial" w:cs="Arial"/>
          <w:color w:val="1C1A15"/>
          <w:lang w:val="nl-BE"/>
        </w:rPr>
        <w:t xml:space="preserve">2.000/jaar operationele </w:t>
      </w:r>
      <w:r w:rsidRPr="005364F7">
        <w:rPr>
          <w:rFonts w:ascii="Arial" w:hAnsi="Arial" w:cs="Arial"/>
          <w:color w:val="1C1A15"/>
          <w:lang w:val="nl-BE"/>
        </w:rPr>
        <w:t xml:space="preserve">kosten zijn voor de jaarlijkse controle en vijfjaarlijkse kalibratie. De investering wordt afgeschreven op 10 jaar, en </w:t>
      </w:r>
      <w:r w:rsidRPr="005364F7">
        <w:rPr>
          <w:rFonts w:ascii="Arial" w:hAnsi="Arial" w:cs="Arial"/>
          <w:color w:val="1C1A15"/>
          <w:lang w:val="nl-BE"/>
        </w:rPr>
        <w:t>dus bedraagt de kost per jaar € (</w:t>
      </w:r>
      <w:r w:rsidRPr="005364F7">
        <w:rPr>
          <w:rFonts w:ascii="Arial" w:hAnsi="Arial" w:cs="Arial"/>
          <w:lang w:val="nl-BE"/>
        </w:rPr>
        <w:t>10</w:t>
      </w:r>
      <w:r w:rsidR="00096EDD">
        <w:rPr>
          <w:rFonts w:ascii="Arial" w:hAnsi="Arial" w:cs="Arial"/>
          <w:lang w:val="nl-BE"/>
        </w:rPr>
        <w:t>.</w:t>
      </w:r>
      <w:r w:rsidRPr="005364F7">
        <w:rPr>
          <w:rFonts w:ascii="Arial" w:hAnsi="Arial" w:cs="Arial"/>
          <w:lang w:val="nl-BE"/>
        </w:rPr>
        <w:t>000/10 + 2000)  = €</w:t>
      </w:r>
      <w:r w:rsidR="00096EDD">
        <w:rPr>
          <w:rFonts w:ascii="Arial" w:hAnsi="Arial" w:cs="Arial"/>
          <w:lang w:val="nl-BE"/>
        </w:rPr>
        <w:t xml:space="preserve"> </w:t>
      </w:r>
      <w:r w:rsidRPr="005364F7">
        <w:rPr>
          <w:rFonts w:ascii="Arial" w:hAnsi="Arial" w:cs="Arial"/>
          <w:color w:val="1C1A15"/>
          <w:lang w:val="nl-BE"/>
        </w:rPr>
        <w:t>3</w:t>
      </w:r>
      <w:r w:rsidR="00096EDD">
        <w:rPr>
          <w:rFonts w:ascii="Arial" w:hAnsi="Arial" w:cs="Arial"/>
          <w:color w:val="1C1A15"/>
          <w:lang w:val="nl-BE"/>
        </w:rPr>
        <w:t>.</w:t>
      </w:r>
      <w:r w:rsidRPr="005364F7">
        <w:rPr>
          <w:rFonts w:ascii="Arial" w:hAnsi="Arial" w:cs="Arial"/>
          <w:color w:val="1C1A15"/>
          <w:lang w:val="nl-BE"/>
        </w:rPr>
        <w:t>000.</w:t>
      </w:r>
    </w:p>
    <w:p w14:paraId="5BDD7A98" w14:textId="77777777" w:rsidR="00563017" w:rsidRPr="005364F7" w:rsidRDefault="00563017" w:rsidP="005364F7">
      <w:pPr>
        <w:autoSpaceDE w:val="0"/>
        <w:autoSpaceDN w:val="0"/>
        <w:adjustRightInd w:val="0"/>
        <w:spacing w:after="0" w:line="240" w:lineRule="auto"/>
        <w:jc w:val="both"/>
        <w:rPr>
          <w:rFonts w:ascii="Arial" w:hAnsi="Arial" w:cs="Arial"/>
          <w:color w:val="1C1A15"/>
          <w:lang w:val="nl-BE"/>
        </w:rPr>
      </w:pPr>
    </w:p>
    <w:p w14:paraId="470AF725" w14:textId="5E2FB113" w:rsidR="008D1B84" w:rsidRPr="005364F7" w:rsidRDefault="008D1B84"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lastRenderedPageBreak/>
        <w:t xml:space="preserve">De grens van onredelijke </w:t>
      </w:r>
      <w:r w:rsidRPr="005364F7">
        <w:rPr>
          <w:rFonts w:ascii="Arial" w:hAnsi="Arial" w:cs="Arial"/>
          <w:color w:val="1C1A15"/>
          <w:lang w:val="nl-BE"/>
        </w:rPr>
        <w:t>kosten wordt bepaald als 1% * 500 TJ * 62,3 ton CO</w:t>
      </w:r>
      <w:r w:rsidRPr="005364F7">
        <w:rPr>
          <w:rFonts w:ascii="Arial" w:hAnsi="Arial" w:cs="Arial"/>
          <w:color w:val="1C1A15"/>
          <w:sz w:val="14"/>
          <w:szCs w:val="14"/>
          <w:lang w:val="nl-BE"/>
        </w:rPr>
        <w:t>2</w:t>
      </w:r>
      <w:r w:rsidRPr="005364F7">
        <w:rPr>
          <w:rFonts w:ascii="Arial" w:hAnsi="Arial" w:cs="Arial"/>
          <w:color w:val="1C1A15"/>
          <w:lang w:val="nl-BE"/>
        </w:rPr>
        <w:t xml:space="preserve">/TJ * </w:t>
      </w:r>
      <w:r w:rsidR="00E201A0" w:rsidRPr="005364F7">
        <w:rPr>
          <w:rFonts w:ascii="Arial" w:hAnsi="Arial" w:cs="Arial"/>
          <w:color w:val="1C1A15"/>
          <w:lang w:val="nl-BE"/>
        </w:rPr>
        <w:br/>
      </w:r>
      <w:r w:rsidRPr="005364F7">
        <w:rPr>
          <w:rFonts w:ascii="Arial" w:hAnsi="Arial" w:cs="Arial"/>
          <w:color w:val="1C1A15"/>
          <w:lang w:val="nl-BE"/>
        </w:rPr>
        <w:t>€ 20/ton CO</w:t>
      </w:r>
      <w:r w:rsidRPr="005364F7">
        <w:rPr>
          <w:rFonts w:ascii="Arial" w:hAnsi="Arial" w:cs="Arial"/>
          <w:color w:val="1C1A15"/>
          <w:sz w:val="14"/>
          <w:szCs w:val="14"/>
          <w:lang w:val="nl-BE"/>
        </w:rPr>
        <w:t xml:space="preserve">2 </w:t>
      </w:r>
      <w:r w:rsidRPr="005364F7">
        <w:rPr>
          <w:rFonts w:ascii="Arial" w:hAnsi="Arial" w:cs="Arial"/>
          <w:color w:val="1C1A15"/>
          <w:lang w:val="nl-BE"/>
        </w:rPr>
        <w:t>= €6</w:t>
      </w:r>
      <w:r w:rsidR="00096EDD">
        <w:rPr>
          <w:rFonts w:ascii="Arial" w:hAnsi="Arial" w:cs="Arial"/>
          <w:color w:val="1C1A15"/>
          <w:lang w:val="nl-BE"/>
        </w:rPr>
        <w:t>.</w:t>
      </w:r>
      <w:r w:rsidRPr="005364F7">
        <w:rPr>
          <w:rFonts w:ascii="Arial" w:hAnsi="Arial" w:cs="Arial"/>
          <w:color w:val="1C1A15"/>
          <w:lang w:val="nl-BE"/>
        </w:rPr>
        <w:t xml:space="preserve">230 (= </w:t>
      </w:r>
      <w:r w:rsidRPr="005364F7">
        <w:rPr>
          <w:rFonts w:ascii="Arial" w:hAnsi="Arial" w:cs="Arial"/>
          <w:color w:val="1C1A15"/>
          <w:u w:val="single"/>
          <w:lang w:val="nl-BE"/>
        </w:rPr>
        <w:t>verwachte voordelen</w:t>
      </w:r>
      <w:r w:rsidRPr="005364F7">
        <w:rPr>
          <w:rFonts w:ascii="Arial" w:hAnsi="Arial" w:cs="Arial"/>
          <w:color w:val="1C1A15"/>
          <w:lang w:val="nl-BE"/>
        </w:rPr>
        <w:t>)</w:t>
      </w:r>
      <w:r w:rsidR="00E201A0" w:rsidRPr="005364F7">
        <w:rPr>
          <w:rFonts w:ascii="Arial" w:hAnsi="Arial" w:cs="Arial"/>
          <w:color w:val="1C1A15"/>
          <w:lang w:val="nl-BE"/>
        </w:rPr>
        <w:t>.</w:t>
      </w:r>
    </w:p>
    <w:p w14:paraId="00DA8C7B" w14:textId="77777777" w:rsidR="00694991" w:rsidRPr="005364F7" w:rsidRDefault="00694991" w:rsidP="005364F7">
      <w:pPr>
        <w:autoSpaceDE w:val="0"/>
        <w:autoSpaceDN w:val="0"/>
        <w:adjustRightInd w:val="0"/>
        <w:spacing w:after="0" w:line="240" w:lineRule="auto"/>
        <w:jc w:val="both"/>
        <w:rPr>
          <w:rFonts w:ascii="Arial" w:hAnsi="Arial" w:cs="Arial"/>
          <w:color w:val="1C1A15"/>
          <w:lang w:val="nl-BE"/>
        </w:rPr>
      </w:pPr>
    </w:p>
    <w:p w14:paraId="0AB82E5F" w14:textId="66A8FFD0" w:rsidR="008D1B84" w:rsidRPr="005364F7" w:rsidRDefault="008D1B84"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De exploitant mag dus in </w:t>
      </w:r>
      <w:r w:rsidR="00E201A0" w:rsidRPr="005364F7">
        <w:rPr>
          <w:rFonts w:ascii="Arial" w:hAnsi="Arial" w:cs="Arial"/>
          <w:color w:val="1C1A15"/>
          <w:lang w:val="nl-BE"/>
        </w:rPr>
        <w:t xml:space="preserve">deze </w:t>
      </w:r>
      <w:r w:rsidRPr="005364F7">
        <w:rPr>
          <w:rFonts w:ascii="Arial" w:hAnsi="Arial" w:cs="Arial"/>
          <w:color w:val="1C1A15"/>
          <w:lang w:val="nl-BE"/>
        </w:rPr>
        <w:t>warmtebenchmark sub-installatie tot € 6</w:t>
      </w:r>
      <w:r w:rsidR="00096EDD">
        <w:rPr>
          <w:rFonts w:ascii="Arial" w:hAnsi="Arial" w:cs="Arial"/>
          <w:color w:val="1C1A15"/>
          <w:lang w:val="nl-BE"/>
        </w:rPr>
        <w:t>.</w:t>
      </w:r>
      <w:r w:rsidRPr="005364F7">
        <w:rPr>
          <w:rFonts w:ascii="Arial" w:hAnsi="Arial" w:cs="Arial"/>
          <w:color w:val="1C1A15"/>
          <w:lang w:val="nl-BE"/>
        </w:rPr>
        <w:t>230 kosten maken voordat deze onredelijk worden.</w:t>
      </w:r>
    </w:p>
    <w:p w14:paraId="5A7F1FA9" w14:textId="77777777" w:rsidR="00694991" w:rsidRPr="005364F7" w:rsidRDefault="00694991" w:rsidP="005364F7">
      <w:pPr>
        <w:autoSpaceDE w:val="0"/>
        <w:autoSpaceDN w:val="0"/>
        <w:adjustRightInd w:val="0"/>
        <w:spacing w:after="0" w:line="240" w:lineRule="auto"/>
        <w:jc w:val="both"/>
        <w:rPr>
          <w:rFonts w:ascii="Arial" w:hAnsi="Arial" w:cs="Arial"/>
          <w:color w:val="1C1A15"/>
          <w:lang w:val="nl-BE"/>
        </w:rPr>
      </w:pPr>
    </w:p>
    <w:p w14:paraId="56D7A384" w14:textId="142CFAAB" w:rsidR="008D1B84" w:rsidRPr="005364F7" w:rsidRDefault="008D1B84"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Bijgevolg moet de exploitant voor 2 van de 5 stromen meetbare warmte een warmtemeter installeren (jaarlijkse kost = €</w:t>
      </w:r>
      <w:r w:rsidR="00096EDD">
        <w:rPr>
          <w:rFonts w:ascii="Arial" w:hAnsi="Arial" w:cs="Arial"/>
          <w:color w:val="1C1A15"/>
          <w:lang w:val="nl-BE"/>
        </w:rPr>
        <w:t xml:space="preserve"> </w:t>
      </w:r>
      <w:r w:rsidRPr="005364F7">
        <w:rPr>
          <w:rFonts w:ascii="Arial" w:hAnsi="Arial" w:cs="Arial"/>
          <w:color w:val="1C1A15"/>
          <w:lang w:val="nl-BE"/>
        </w:rPr>
        <w:t>6</w:t>
      </w:r>
      <w:r w:rsidR="00096EDD">
        <w:rPr>
          <w:rFonts w:ascii="Arial" w:hAnsi="Arial" w:cs="Arial"/>
          <w:color w:val="1C1A15"/>
          <w:lang w:val="nl-BE"/>
        </w:rPr>
        <w:t>.</w:t>
      </w:r>
      <w:r w:rsidRPr="005364F7">
        <w:rPr>
          <w:rFonts w:ascii="Arial" w:hAnsi="Arial" w:cs="Arial"/>
          <w:color w:val="1C1A15"/>
          <w:lang w:val="nl-BE"/>
        </w:rPr>
        <w:t xml:space="preserve">000, onder de grens van onredelijke kosten), te vertrekken van die warmtestromen die het meeste bijdragen </w:t>
      </w:r>
      <w:r w:rsidRPr="005364F7">
        <w:rPr>
          <w:rFonts w:ascii="Arial" w:hAnsi="Arial" w:cs="Arial"/>
          <w:color w:val="1C1A15"/>
          <w:lang w:val="nl-BE"/>
        </w:rPr>
        <w:t>aan het activiteitsniveau van de warmtebenchmark sub</w:t>
      </w:r>
      <w:r w:rsidR="00E201A0" w:rsidRPr="005364F7">
        <w:rPr>
          <w:rFonts w:ascii="Arial" w:hAnsi="Arial" w:cs="Arial"/>
          <w:color w:val="1C1A15"/>
          <w:lang w:val="nl-BE"/>
        </w:rPr>
        <w:t>-</w:t>
      </w:r>
      <w:r w:rsidRPr="005364F7">
        <w:rPr>
          <w:rFonts w:ascii="Arial" w:hAnsi="Arial" w:cs="Arial"/>
          <w:color w:val="1C1A15"/>
          <w:lang w:val="nl-BE"/>
        </w:rPr>
        <w:t>installatie.</w:t>
      </w:r>
    </w:p>
    <w:p w14:paraId="3C9BF409" w14:textId="77777777" w:rsidR="004C3981" w:rsidRPr="005364F7" w:rsidRDefault="004C3981" w:rsidP="005364F7">
      <w:pPr>
        <w:autoSpaceDE w:val="0"/>
        <w:autoSpaceDN w:val="0"/>
        <w:adjustRightInd w:val="0"/>
        <w:spacing w:after="0" w:line="240" w:lineRule="auto"/>
        <w:jc w:val="both"/>
        <w:rPr>
          <w:rFonts w:ascii="Arial" w:hAnsi="Arial" w:cs="Arial"/>
          <w:color w:val="1C1A15"/>
          <w:lang w:val="nl-BE"/>
        </w:rPr>
      </w:pPr>
    </w:p>
    <w:p w14:paraId="7AD512D2" w14:textId="77777777" w:rsidR="008D1B84" w:rsidRPr="005364F7" w:rsidRDefault="008D1B84" w:rsidP="005364F7">
      <w:pPr>
        <w:autoSpaceDE w:val="0"/>
        <w:autoSpaceDN w:val="0"/>
        <w:adjustRightInd w:val="0"/>
        <w:spacing w:after="0" w:line="240" w:lineRule="auto"/>
        <w:jc w:val="both"/>
        <w:rPr>
          <w:rFonts w:ascii="Arial" w:hAnsi="Arial" w:cs="Arial"/>
          <w:color w:val="1C1A15"/>
          <w:lang w:val="nl-BE"/>
        </w:rPr>
      </w:pPr>
    </w:p>
    <w:p w14:paraId="316C4FA9" w14:textId="35D90429" w:rsidR="0076153E" w:rsidRPr="005364F7" w:rsidRDefault="00694991" w:rsidP="005364F7">
      <w:pPr>
        <w:autoSpaceDE w:val="0"/>
        <w:autoSpaceDN w:val="0"/>
        <w:adjustRightInd w:val="0"/>
        <w:spacing w:after="0" w:line="240" w:lineRule="auto"/>
        <w:ind w:left="567" w:hanging="567"/>
        <w:jc w:val="both"/>
        <w:rPr>
          <w:rFonts w:ascii="Arial" w:hAnsi="Arial" w:cs="Arial"/>
          <w:b/>
          <w:color w:val="1C1A15"/>
          <w:sz w:val="28"/>
          <w:szCs w:val="28"/>
          <w:u w:val="single"/>
          <w:lang w:val="nl-BE"/>
        </w:rPr>
      </w:pPr>
      <w:r w:rsidRPr="005364F7">
        <w:rPr>
          <w:rFonts w:ascii="Arial" w:hAnsi="Arial" w:cs="Arial"/>
          <w:b/>
          <w:color w:val="1C1A15"/>
          <w:sz w:val="28"/>
          <w:szCs w:val="28"/>
          <w:lang w:val="nl-BE"/>
        </w:rPr>
        <w:t>4</w:t>
      </w:r>
      <w:r w:rsidR="00FE793A" w:rsidRPr="005364F7">
        <w:rPr>
          <w:rFonts w:ascii="Arial" w:hAnsi="Arial" w:cs="Arial"/>
          <w:b/>
          <w:color w:val="1C1A15"/>
          <w:sz w:val="28"/>
          <w:szCs w:val="28"/>
          <w:lang w:val="nl-BE"/>
        </w:rPr>
        <w:t xml:space="preserve">.3 </w:t>
      </w:r>
      <w:r w:rsidR="00795E44" w:rsidRPr="005364F7">
        <w:rPr>
          <w:rFonts w:ascii="Arial" w:hAnsi="Arial" w:cs="Arial"/>
          <w:b/>
          <w:color w:val="1C1A15"/>
          <w:sz w:val="28"/>
          <w:szCs w:val="28"/>
          <w:u w:val="single"/>
          <w:lang w:val="nl-BE"/>
        </w:rPr>
        <w:t>Frequentie van bepaling technische onhaalbaarheid/onredelijk</w:t>
      </w:r>
    </w:p>
    <w:p w14:paraId="42FFF3EA" w14:textId="7E20A5AA" w:rsidR="00795E44" w:rsidRPr="005364F7" w:rsidRDefault="00795E44" w:rsidP="005364F7">
      <w:pPr>
        <w:autoSpaceDE w:val="0"/>
        <w:autoSpaceDN w:val="0"/>
        <w:adjustRightInd w:val="0"/>
        <w:spacing w:after="0" w:line="240" w:lineRule="auto"/>
        <w:ind w:left="567" w:hanging="207"/>
        <w:jc w:val="both"/>
        <w:rPr>
          <w:rFonts w:ascii="Arial" w:hAnsi="Arial" w:cs="Arial"/>
          <w:b/>
          <w:color w:val="1C1A15"/>
          <w:sz w:val="28"/>
          <w:szCs w:val="28"/>
          <w:lang w:val="nl-BE"/>
        </w:rPr>
      </w:pPr>
      <w:r w:rsidRPr="005364F7">
        <w:rPr>
          <w:rFonts w:ascii="Arial" w:hAnsi="Arial" w:cs="Arial"/>
          <w:b/>
          <w:color w:val="1C1A15"/>
          <w:sz w:val="28"/>
          <w:szCs w:val="28"/>
          <w:lang w:val="nl-BE"/>
        </w:rPr>
        <w:t xml:space="preserve"> </w:t>
      </w:r>
      <w:r w:rsidRPr="005364F7">
        <w:rPr>
          <w:rFonts w:ascii="Arial" w:hAnsi="Arial" w:cs="Arial"/>
          <w:b/>
          <w:color w:val="1C1A15"/>
          <w:sz w:val="28"/>
          <w:szCs w:val="28"/>
          <w:u w:val="single"/>
          <w:lang w:val="nl-BE"/>
        </w:rPr>
        <w:t>kosten</w:t>
      </w:r>
    </w:p>
    <w:p w14:paraId="55831EC3" w14:textId="77777777" w:rsidR="008D1B84" w:rsidRPr="005364F7" w:rsidRDefault="008D1B84" w:rsidP="005364F7">
      <w:pPr>
        <w:autoSpaceDE w:val="0"/>
        <w:autoSpaceDN w:val="0"/>
        <w:adjustRightInd w:val="0"/>
        <w:spacing w:after="0" w:line="240" w:lineRule="auto"/>
        <w:jc w:val="both"/>
        <w:rPr>
          <w:rFonts w:ascii="Arial" w:hAnsi="Arial" w:cs="Arial"/>
          <w:b/>
          <w:color w:val="1C1A15"/>
          <w:sz w:val="28"/>
          <w:szCs w:val="28"/>
          <w:u w:val="single"/>
          <w:lang w:val="nl-BE"/>
        </w:rPr>
      </w:pPr>
    </w:p>
    <w:p w14:paraId="1DAF262B" w14:textId="766B8731" w:rsidR="00795E44" w:rsidRPr="005364F7" w:rsidRDefault="00795E44"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De bepaling van technische onhaalbaarheid/onredelijke kosten moet </w:t>
      </w:r>
      <w:r w:rsidRPr="005364F7">
        <w:rPr>
          <w:rFonts w:ascii="Arial" w:hAnsi="Arial" w:cs="Arial"/>
          <w:color w:val="1C1A15"/>
          <w:u w:val="single"/>
          <w:lang w:val="nl-BE"/>
        </w:rPr>
        <w:t xml:space="preserve">éénmaal </w:t>
      </w:r>
      <w:r w:rsidRPr="005364F7">
        <w:rPr>
          <w:rFonts w:ascii="Arial" w:hAnsi="Arial" w:cs="Arial"/>
          <w:color w:val="1C1A15"/>
          <w:lang w:val="nl-BE"/>
        </w:rPr>
        <w:t xml:space="preserve">gebeuren voor de toewijzingsperiode 2021-2025, en dit tegen 31 december 2019. Indien er op basis van deze analyse een niveauverlaging </w:t>
      </w:r>
      <w:r w:rsidR="00065D50" w:rsidRPr="005364F7">
        <w:rPr>
          <w:rFonts w:ascii="Arial" w:hAnsi="Arial" w:cs="Arial"/>
          <w:color w:val="1C1A15"/>
          <w:lang w:val="nl-BE"/>
        </w:rPr>
        <w:t xml:space="preserve">in de hiërarchie </w:t>
      </w:r>
      <w:r w:rsidRPr="005364F7">
        <w:rPr>
          <w:rFonts w:ascii="Arial" w:hAnsi="Arial" w:cs="Arial"/>
          <w:color w:val="1C1A15"/>
          <w:lang w:val="nl-BE"/>
        </w:rPr>
        <w:t>wordt toegestaan, is het niet nodig om nadien elk jaar opnieuw te controleren of de ingeroepen technische onhaalbaarheid/onredelijke kosten nog van toepassing zijn.</w:t>
      </w:r>
    </w:p>
    <w:p w14:paraId="162E4C4D" w14:textId="77777777" w:rsidR="00065D50" w:rsidRPr="005364F7" w:rsidRDefault="00065D50" w:rsidP="005364F7">
      <w:pPr>
        <w:autoSpaceDE w:val="0"/>
        <w:autoSpaceDN w:val="0"/>
        <w:adjustRightInd w:val="0"/>
        <w:spacing w:after="0" w:line="240" w:lineRule="auto"/>
        <w:jc w:val="both"/>
        <w:rPr>
          <w:rFonts w:ascii="Arial" w:hAnsi="Arial" w:cs="Arial"/>
          <w:color w:val="1C1A15"/>
          <w:lang w:val="nl-BE"/>
        </w:rPr>
      </w:pPr>
    </w:p>
    <w:p w14:paraId="4388500D" w14:textId="085EC673" w:rsidR="00795E44" w:rsidRPr="005364F7" w:rsidRDefault="00795E44"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Bij wijze van uitzondering hierop moet een exploitant wel opnieuw nagaan of de ingeroepen technische onhaalbaarheid en/of onredelijke kosten nog van toepassing zijn in één van onderstaande gevallen:</w:t>
      </w:r>
    </w:p>
    <w:p w14:paraId="263827B6" w14:textId="4BAF0527" w:rsidR="00795E44" w:rsidRPr="005364F7" w:rsidRDefault="00795E44" w:rsidP="005364F7">
      <w:pPr>
        <w:pStyle w:val="Lijstalinea"/>
        <w:numPr>
          <w:ilvl w:val="0"/>
          <w:numId w:val="6"/>
        </w:numPr>
        <w:autoSpaceDE w:val="0"/>
        <w:autoSpaceDN w:val="0"/>
        <w:adjustRightInd w:val="0"/>
        <w:spacing w:after="0" w:line="240" w:lineRule="auto"/>
        <w:ind w:left="1260"/>
        <w:jc w:val="both"/>
        <w:rPr>
          <w:rFonts w:ascii="Arial" w:hAnsi="Arial" w:cs="Arial"/>
          <w:color w:val="1C1A15"/>
          <w:lang w:val="nl-BE"/>
        </w:rPr>
      </w:pPr>
      <w:r w:rsidRPr="005364F7">
        <w:rPr>
          <w:rFonts w:ascii="Arial" w:hAnsi="Arial" w:cs="Arial"/>
          <w:color w:val="1C1A15"/>
          <w:lang w:val="nl-BE"/>
        </w:rPr>
        <w:t>De externe verificateur van het baseline/activiteit</w:t>
      </w:r>
      <w:r w:rsidR="00065D50" w:rsidRPr="005364F7">
        <w:rPr>
          <w:rFonts w:ascii="Arial" w:hAnsi="Arial" w:cs="Arial"/>
          <w:color w:val="1C1A15"/>
          <w:lang w:val="nl-BE"/>
        </w:rPr>
        <w:t>s</w:t>
      </w:r>
      <w:r w:rsidRPr="005364F7">
        <w:rPr>
          <w:rFonts w:ascii="Arial" w:hAnsi="Arial" w:cs="Arial"/>
          <w:color w:val="1C1A15"/>
          <w:lang w:val="nl-BE"/>
        </w:rPr>
        <w:t>niveaurapport neemt als opmerking in het verificatierapport op dat technische onhaalbaarheid</w:t>
      </w:r>
      <w:r w:rsidR="00065D50" w:rsidRPr="005364F7">
        <w:rPr>
          <w:rFonts w:ascii="Arial" w:hAnsi="Arial" w:cs="Arial"/>
          <w:color w:val="1C1A15"/>
          <w:lang w:val="nl-BE"/>
        </w:rPr>
        <w:t xml:space="preserve"> of </w:t>
      </w:r>
      <w:r w:rsidRPr="005364F7">
        <w:rPr>
          <w:rFonts w:ascii="Arial" w:hAnsi="Arial" w:cs="Arial"/>
          <w:color w:val="1C1A15"/>
          <w:lang w:val="nl-BE"/>
        </w:rPr>
        <w:t>onredelijke kosten niet (langer) van toepassing zijn</w:t>
      </w:r>
    </w:p>
    <w:p w14:paraId="165A0BF1" w14:textId="49DF2A58" w:rsidR="00795E44" w:rsidRPr="005364F7" w:rsidRDefault="00795E44" w:rsidP="005364F7">
      <w:pPr>
        <w:pStyle w:val="Lijstalinea"/>
        <w:numPr>
          <w:ilvl w:val="0"/>
          <w:numId w:val="6"/>
        </w:numPr>
        <w:autoSpaceDE w:val="0"/>
        <w:autoSpaceDN w:val="0"/>
        <w:adjustRightInd w:val="0"/>
        <w:spacing w:after="0" w:line="240" w:lineRule="auto"/>
        <w:ind w:left="1260"/>
        <w:jc w:val="both"/>
        <w:rPr>
          <w:rFonts w:ascii="Arial" w:hAnsi="Arial" w:cs="Arial"/>
          <w:color w:val="1C1A15"/>
          <w:lang w:val="nl-BE"/>
        </w:rPr>
      </w:pPr>
      <w:r w:rsidRPr="005364F7">
        <w:rPr>
          <w:rFonts w:ascii="Arial" w:hAnsi="Arial" w:cs="Arial"/>
          <w:color w:val="1C1A15"/>
          <w:lang w:val="nl-BE"/>
        </w:rPr>
        <w:t>De toewijzing voor de betrokken sub-installatie(s) wordt aangepast tijdens de periode 2021-2025</w:t>
      </w:r>
    </w:p>
    <w:p w14:paraId="36EFD9F5" w14:textId="77777777" w:rsidR="00795E44" w:rsidRPr="005364F7" w:rsidRDefault="00795E44" w:rsidP="005364F7">
      <w:pPr>
        <w:autoSpaceDE w:val="0"/>
        <w:autoSpaceDN w:val="0"/>
        <w:adjustRightInd w:val="0"/>
        <w:spacing w:after="0" w:line="240" w:lineRule="auto"/>
        <w:jc w:val="both"/>
        <w:rPr>
          <w:rFonts w:ascii="Arial" w:hAnsi="Arial" w:cs="Arial"/>
          <w:color w:val="1C1A15"/>
          <w:lang w:val="nl-BE"/>
        </w:rPr>
      </w:pPr>
    </w:p>
    <w:p w14:paraId="779F0D86" w14:textId="77777777" w:rsidR="00795E44" w:rsidRPr="005364F7" w:rsidRDefault="00795E44" w:rsidP="005364F7">
      <w:pPr>
        <w:autoSpaceDE w:val="0"/>
        <w:autoSpaceDN w:val="0"/>
        <w:adjustRightInd w:val="0"/>
        <w:spacing w:after="0" w:line="240" w:lineRule="auto"/>
        <w:jc w:val="both"/>
        <w:rPr>
          <w:rFonts w:ascii="Arial" w:hAnsi="Arial" w:cs="Arial"/>
          <w:color w:val="1C1A15"/>
          <w:lang w:val="nl-BE"/>
        </w:rPr>
      </w:pPr>
    </w:p>
    <w:p w14:paraId="71CF43C1" w14:textId="6F62A4C8" w:rsidR="00795E44" w:rsidRPr="005364F7" w:rsidRDefault="00694991" w:rsidP="005364F7">
      <w:pPr>
        <w:autoSpaceDE w:val="0"/>
        <w:autoSpaceDN w:val="0"/>
        <w:adjustRightInd w:val="0"/>
        <w:spacing w:after="0" w:line="240" w:lineRule="auto"/>
        <w:jc w:val="both"/>
        <w:rPr>
          <w:rFonts w:ascii="Arial" w:hAnsi="Arial" w:cs="Arial"/>
          <w:b/>
          <w:color w:val="1C1A15"/>
          <w:sz w:val="28"/>
          <w:szCs w:val="28"/>
          <w:lang w:val="nl-BE"/>
        </w:rPr>
      </w:pPr>
      <w:r w:rsidRPr="005364F7">
        <w:rPr>
          <w:rFonts w:ascii="Arial" w:hAnsi="Arial" w:cs="Arial"/>
          <w:b/>
          <w:color w:val="1C1A15"/>
          <w:sz w:val="28"/>
          <w:szCs w:val="28"/>
          <w:lang w:val="nl-BE"/>
        </w:rPr>
        <w:t>4</w:t>
      </w:r>
      <w:r w:rsidR="00FE793A" w:rsidRPr="005364F7">
        <w:rPr>
          <w:rFonts w:ascii="Arial" w:hAnsi="Arial" w:cs="Arial"/>
          <w:b/>
          <w:color w:val="1C1A15"/>
          <w:sz w:val="28"/>
          <w:szCs w:val="28"/>
          <w:lang w:val="nl-BE"/>
        </w:rPr>
        <w:t xml:space="preserve">.4 </w:t>
      </w:r>
      <w:r w:rsidR="009D6BE5" w:rsidRPr="005364F7">
        <w:rPr>
          <w:rFonts w:ascii="Arial" w:hAnsi="Arial" w:cs="Arial"/>
          <w:b/>
          <w:color w:val="1C1A15"/>
          <w:sz w:val="28"/>
          <w:szCs w:val="28"/>
          <w:u w:val="single"/>
          <w:lang w:val="nl-BE"/>
        </w:rPr>
        <w:t>Praktische uitvoering van de verbetering van de gegevens</w:t>
      </w:r>
      <w:r w:rsidR="00FE793A" w:rsidRPr="005364F7">
        <w:rPr>
          <w:rFonts w:ascii="Arial" w:hAnsi="Arial" w:cs="Arial"/>
          <w:b/>
          <w:color w:val="1C1A15"/>
          <w:sz w:val="28"/>
          <w:szCs w:val="28"/>
          <w:u w:val="single"/>
          <w:lang w:val="nl-BE"/>
        </w:rPr>
        <w:t xml:space="preserve">- </w:t>
      </w:r>
      <w:r w:rsidR="00D0209F" w:rsidRPr="005364F7">
        <w:rPr>
          <w:rFonts w:ascii="Arial" w:hAnsi="Arial" w:cs="Arial"/>
          <w:b/>
          <w:color w:val="1C1A15"/>
          <w:sz w:val="28"/>
          <w:szCs w:val="28"/>
          <w:u w:val="single"/>
          <w:lang w:val="nl-BE"/>
        </w:rPr>
        <w:t xml:space="preserve">   </w:t>
      </w:r>
      <w:r w:rsidR="00D0209F" w:rsidRPr="005364F7">
        <w:rPr>
          <w:rFonts w:ascii="Arial" w:hAnsi="Arial" w:cs="Arial"/>
          <w:b/>
          <w:color w:val="1C1A15"/>
          <w:sz w:val="28"/>
          <w:szCs w:val="28"/>
          <w:u w:val="single"/>
          <w:lang w:val="nl-BE"/>
        </w:rPr>
        <w:br/>
      </w:r>
      <w:r w:rsidR="00D0209F" w:rsidRPr="005364F7">
        <w:rPr>
          <w:rFonts w:ascii="Arial" w:hAnsi="Arial" w:cs="Arial"/>
          <w:b/>
          <w:color w:val="1C1A15"/>
          <w:sz w:val="28"/>
          <w:szCs w:val="28"/>
          <w:lang w:val="nl-BE"/>
        </w:rPr>
        <w:t xml:space="preserve">      </w:t>
      </w:r>
      <w:r w:rsidR="00314A3F">
        <w:rPr>
          <w:rFonts w:ascii="Arial" w:hAnsi="Arial" w:cs="Arial"/>
          <w:b/>
          <w:color w:val="1C1A15"/>
          <w:sz w:val="28"/>
          <w:szCs w:val="28"/>
          <w:lang w:val="nl-BE"/>
        </w:rPr>
        <w:t xml:space="preserve"> </w:t>
      </w:r>
      <w:r w:rsidR="009D6BE5" w:rsidRPr="005364F7">
        <w:rPr>
          <w:rFonts w:ascii="Arial" w:hAnsi="Arial" w:cs="Arial"/>
          <w:b/>
          <w:color w:val="1C1A15"/>
          <w:sz w:val="28"/>
          <w:szCs w:val="28"/>
          <w:u w:val="single"/>
          <w:lang w:val="nl-BE"/>
        </w:rPr>
        <w:t>bronnen</w:t>
      </w:r>
      <w:r w:rsidR="009D6BE5" w:rsidRPr="005364F7">
        <w:rPr>
          <w:rFonts w:ascii="Arial" w:hAnsi="Arial" w:cs="Arial"/>
          <w:b/>
          <w:color w:val="1C1A15"/>
          <w:sz w:val="28"/>
          <w:szCs w:val="28"/>
          <w:lang w:val="nl-BE"/>
        </w:rPr>
        <w:t xml:space="preserve"> </w:t>
      </w:r>
    </w:p>
    <w:p w14:paraId="1EF4B0EB" w14:textId="77777777" w:rsidR="009D6BE5" w:rsidRPr="005364F7" w:rsidRDefault="009D6BE5" w:rsidP="005364F7">
      <w:pPr>
        <w:spacing w:after="0"/>
        <w:jc w:val="both"/>
        <w:rPr>
          <w:rFonts w:ascii="Arial" w:hAnsi="Arial" w:cs="Arial"/>
          <w:lang w:val="nl-BE"/>
        </w:rPr>
      </w:pPr>
    </w:p>
    <w:p w14:paraId="104FF749" w14:textId="7411B39B" w:rsidR="00994BE2" w:rsidRPr="005364F7" w:rsidRDefault="009D6BE5" w:rsidP="005364F7">
      <w:pPr>
        <w:jc w:val="both"/>
        <w:rPr>
          <w:rFonts w:ascii="Arial" w:hAnsi="Arial" w:cs="Arial"/>
          <w:lang w:val="nl-BE"/>
        </w:rPr>
      </w:pPr>
      <w:r w:rsidRPr="005364F7">
        <w:rPr>
          <w:rFonts w:ascii="Arial" w:hAnsi="Arial" w:cs="Arial"/>
          <w:lang w:val="nl-BE"/>
        </w:rPr>
        <w:t>Om een goed, volledig en</w:t>
      </w:r>
      <w:r w:rsidR="0043165D" w:rsidRPr="005364F7">
        <w:rPr>
          <w:rFonts w:ascii="Arial" w:hAnsi="Arial" w:cs="Arial"/>
          <w:lang w:val="nl-BE"/>
        </w:rPr>
        <w:t xml:space="preserve"> snel overzicht te hebben van alle gegevensbronnen,</w:t>
      </w:r>
      <w:r w:rsidRPr="005364F7">
        <w:rPr>
          <w:rFonts w:ascii="Arial" w:hAnsi="Arial" w:cs="Arial"/>
          <w:lang w:val="nl-BE"/>
        </w:rPr>
        <w:t xml:space="preserve"> hun nauwkeurigheid</w:t>
      </w:r>
      <w:r w:rsidR="0043165D" w:rsidRPr="005364F7">
        <w:rPr>
          <w:rFonts w:ascii="Arial" w:hAnsi="Arial" w:cs="Arial"/>
          <w:lang w:val="nl-BE"/>
        </w:rPr>
        <w:t>, onderhoud, enz.</w:t>
      </w:r>
      <w:r w:rsidR="00D2236C" w:rsidRPr="005364F7">
        <w:rPr>
          <w:rFonts w:ascii="Arial" w:hAnsi="Arial" w:cs="Arial"/>
          <w:lang w:val="nl-BE"/>
        </w:rPr>
        <w:t xml:space="preserve"> </w:t>
      </w:r>
      <w:r w:rsidR="0043165D" w:rsidRPr="005364F7">
        <w:rPr>
          <w:rFonts w:ascii="Arial" w:hAnsi="Arial" w:cs="Arial"/>
          <w:lang w:val="nl-BE"/>
        </w:rPr>
        <w:t>kan men best</w:t>
      </w:r>
      <w:r w:rsidRPr="005364F7">
        <w:rPr>
          <w:rFonts w:ascii="Arial" w:hAnsi="Arial" w:cs="Arial"/>
          <w:lang w:val="nl-BE"/>
        </w:rPr>
        <w:t xml:space="preserve"> Exceltabel</w:t>
      </w:r>
      <w:r w:rsidR="00D2236C" w:rsidRPr="005364F7">
        <w:rPr>
          <w:rFonts w:ascii="Arial" w:hAnsi="Arial" w:cs="Arial"/>
          <w:lang w:val="nl-BE"/>
        </w:rPr>
        <w:t>len</w:t>
      </w:r>
      <w:r w:rsidR="0043165D" w:rsidRPr="005364F7">
        <w:rPr>
          <w:rFonts w:ascii="Arial" w:hAnsi="Arial" w:cs="Arial"/>
          <w:lang w:val="nl-BE"/>
        </w:rPr>
        <w:t xml:space="preserve"> maken</w:t>
      </w:r>
      <w:r w:rsidRPr="005364F7">
        <w:rPr>
          <w:rFonts w:ascii="Arial" w:hAnsi="Arial" w:cs="Arial"/>
          <w:lang w:val="nl-BE"/>
        </w:rPr>
        <w:t xml:space="preserve"> </w:t>
      </w:r>
      <w:r w:rsidR="00065D50" w:rsidRPr="005364F7">
        <w:rPr>
          <w:rFonts w:ascii="Arial" w:hAnsi="Arial" w:cs="Arial"/>
          <w:lang w:val="nl-BE"/>
        </w:rPr>
        <w:t>–</w:t>
      </w:r>
      <w:r w:rsidR="00D2236C" w:rsidRPr="005364F7">
        <w:rPr>
          <w:rFonts w:ascii="Arial" w:hAnsi="Arial" w:cs="Arial"/>
          <w:lang w:val="nl-BE"/>
        </w:rPr>
        <w:t xml:space="preserve"> in</w:t>
      </w:r>
      <w:r w:rsidR="00065D50" w:rsidRPr="005364F7">
        <w:rPr>
          <w:rFonts w:ascii="Arial" w:hAnsi="Arial" w:cs="Arial"/>
          <w:lang w:val="nl-BE"/>
        </w:rPr>
        <w:t xml:space="preserve"> </w:t>
      </w:r>
      <w:r w:rsidR="00D2236C" w:rsidRPr="005364F7">
        <w:rPr>
          <w:rFonts w:ascii="Arial" w:hAnsi="Arial" w:cs="Arial"/>
          <w:lang w:val="nl-BE"/>
        </w:rPr>
        <w:t xml:space="preserve">overeenstemming met de rubrieken in de tabbladen van het MMP </w:t>
      </w:r>
      <w:r w:rsidR="00065D50" w:rsidRPr="005364F7">
        <w:rPr>
          <w:rFonts w:ascii="Arial" w:hAnsi="Arial" w:cs="Arial"/>
          <w:lang w:val="nl-BE"/>
        </w:rPr>
        <w:t>–</w:t>
      </w:r>
      <w:r w:rsidR="00D2236C" w:rsidRPr="005364F7">
        <w:rPr>
          <w:rFonts w:ascii="Arial" w:hAnsi="Arial" w:cs="Arial"/>
          <w:lang w:val="nl-BE"/>
        </w:rPr>
        <w:t xml:space="preserve"> </w:t>
      </w:r>
      <w:r w:rsidRPr="005364F7">
        <w:rPr>
          <w:rFonts w:ascii="Arial" w:hAnsi="Arial" w:cs="Arial"/>
          <w:lang w:val="nl-BE"/>
        </w:rPr>
        <w:t>met</w:t>
      </w:r>
      <w:r w:rsidR="00065D50" w:rsidRPr="005364F7">
        <w:rPr>
          <w:rFonts w:ascii="Arial" w:hAnsi="Arial" w:cs="Arial"/>
          <w:lang w:val="nl-BE"/>
        </w:rPr>
        <w:t xml:space="preserve"> </w:t>
      </w:r>
      <w:r w:rsidRPr="005364F7">
        <w:rPr>
          <w:rFonts w:ascii="Arial" w:hAnsi="Arial" w:cs="Arial"/>
          <w:lang w:val="nl-BE"/>
        </w:rPr>
        <w:t xml:space="preserve">daarin de gegevensbronnen </w:t>
      </w:r>
      <w:r w:rsidR="00D2236C" w:rsidRPr="005364F7">
        <w:rPr>
          <w:rFonts w:ascii="Arial" w:hAnsi="Arial" w:cs="Arial"/>
          <w:lang w:val="nl-BE"/>
        </w:rPr>
        <w:t>en hun</w:t>
      </w:r>
      <w:r w:rsidRPr="005364F7">
        <w:rPr>
          <w:rFonts w:ascii="Arial" w:hAnsi="Arial" w:cs="Arial"/>
          <w:lang w:val="nl-BE"/>
        </w:rPr>
        <w:t xml:space="preserve"> eigenschappen. </w:t>
      </w:r>
    </w:p>
    <w:p w14:paraId="688970A3" w14:textId="7E288909" w:rsidR="00494DB5" w:rsidRPr="005364F7" w:rsidRDefault="00494DB5" w:rsidP="005364F7">
      <w:pPr>
        <w:jc w:val="both"/>
        <w:rPr>
          <w:rFonts w:ascii="Arial" w:hAnsi="Arial" w:cs="Arial"/>
          <w:lang w:val="nl-BE"/>
        </w:rPr>
      </w:pPr>
      <w:r w:rsidRPr="005364F7">
        <w:rPr>
          <w:rFonts w:ascii="Arial" w:hAnsi="Arial" w:cs="Arial"/>
          <w:lang w:val="nl-BE"/>
        </w:rPr>
        <w:t xml:space="preserve">In bijlage </w:t>
      </w:r>
      <w:r w:rsidR="003D48EE" w:rsidRPr="005364F7">
        <w:rPr>
          <w:rFonts w:ascii="Arial" w:hAnsi="Arial" w:cs="Arial"/>
          <w:lang w:val="nl-BE"/>
        </w:rPr>
        <w:t xml:space="preserve">1 </w:t>
      </w:r>
      <w:r w:rsidR="00694991" w:rsidRPr="005364F7">
        <w:rPr>
          <w:rFonts w:ascii="Arial" w:hAnsi="Arial" w:cs="Arial"/>
          <w:lang w:val="nl-BE"/>
        </w:rPr>
        <w:t xml:space="preserve">hieronder </w:t>
      </w:r>
      <w:r w:rsidRPr="005364F7">
        <w:rPr>
          <w:rFonts w:ascii="Arial" w:hAnsi="Arial" w:cs="Arial"/>
          <w:lang w:val="nl-BE"/>
        </w:rPr>
        <w:t xml:space="preserve">vindt men een </w:t>
      </w:r>
      <w:r w:rsidR="00D26F2E" w:rsidRPr="005364F7">
        <w:rPr>
          <w:rFonts w:ascii="Arial" w:hAnsi="Arial" w:cs="Arial"/>
          <w:lang w:val="nl-BE"/>
        </w:rPr>
        <w:t>voorstel/</w:t>
      </w:r>
      <w:r w:rsidRPr="005364F7">
        <w:rPr>
          <w:rFonts w:ascii="Arial" w:hAnsi="Arial" w:cs="Arial"/>
          <w:lang w:val="nl-BE"/>
        </w:rPr>
        <w:t xml:space="preserve">voorbeeld van dergelijke tabellen. Het gaat hier </w:t>
      </w:r>
      <w:r w:rsidR="00E82E7E" w:rsidRPr="005364F7">
        <w:rPr>
          <w:rFonts w:ascii="Arial" w:hAnsi="Arial" w:cs="Arial"/>
          <w:lang w:val="nl-BE"/>
        </w:rPr>
        <w:t xml:space="preserve">voor alle </w:t>
      </w:r>
      <w:r w:rsidRPr="005364F7">
        <w:rPr>
          <w:rFonts w:ascii="Arial" w:hAnsi="Arial" w:cs="Arial"/>
          <w:lang w:val="nl-BE"/>
        </w:rPr>
        <w:t>duidelijk</w:t>
      </w:r>
      <w:r w:rsidR="00E82E7E" w:rsidRPr="005364F7">
        <w:rPr>
          <w:rFonts w:ascii="Arial" w:hAnsi="Arial" w:cs="Arial"/>
          <w:lang w:val="nl-BE"/>
        </w:rPr>
        <w:t>heid</w:t>
      </w:r>
      <w:r w:rsidRPr="005364F7">
        <w:rPr>
          <w:rFonts w:ascii="Arial" w:hAnsi="Arial" w:cs="Arial"/>
          <w:lang w:val="nl-BE"/>
        </w:rPr>
        <w:t xml:space="preserve"> over een voorbeeld, waarvan het stramien best overgenomen wordt, maar niet de inhoud als dusdanig.</w:t>
      </w:r>
    </w:p>
    <w:bookmarkStart w:id="0" w:name="_MON_1633254296"/>
    <w:bookmarkEnd w:id="0"/>
    <w:p w14:paraId="6CF1F3C0" w14:textId="2FAC73BB" w:rsidR="00694991" w:rsidRPr="005364F7" w:rsidRDefault="009A6BDD" w:rsidP="005364F7">
      <w:pPr>
        <w:jc w:val="both"/>
        <w:rPr>
          <w:rFonts w:ascii="Arial" w:hAnsi="Arial" w:cs="Arial"/>
          <w:lang w:val="nl-BE"/>
        </w:rPr>
      </w:pPr>
      <w:r w:rsidRPr="005364F7">
        <w:rPr>
          <w:rFonts w:ascii="Arial" w:hAnsi="Arial" w:cs="Arial"/>
          <w:lang w:val="nl-BE"/>
        </w:rPr>
        <w:object w:dxaOrig="1376" w:dyaOrig="893" w14:anchorId="7DA00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13" o:title=""/>
          </v:shape>
          <o:OLEObject Type="Embed" ProgID="Excel.Sheet.12" ShapeID="_x0000_i1025" DrawAspect="Icon" ObjectID="_1633334568" r:id="rId14"/>
        </w:object>
      </w:r>
    </w:p>
    <w:p w14:paraId="26A0200C" w14:textId="77777777" w:rsidR="00494DB5" w:rsidRPr="005364F7" w:rsidRDefault="00494DB5" w:rsidP="005364F7">
      <w:pPr>
        <w:jc w:val="both"/>
        <w:rPr>
          <w:rFonts w:ascii="Arial" w:hAnsi="Arial" w:cs="Arial"/>
          <w:lang w:val="nl-BE"/>
        </w:rPr>
      </w:pPr>
      <w:r w:rsidRPr="005364F7">
        <w:rPr>
          <w:rFonts w:ascii="Arial" w:hAnsi="Arial" w:cs="Arial"/>
          <w:lang w:val="nl-BE"/>
        </w:rPr>
        <w:t>Bedrijven die veel brandstoffen en energiegeneraties en -verbruiken hebben, beschikken meestal over dergelijke tabellen, maar dienen ze wellicht aan te vullen met informatie over kalibratie en onderhoud van meters en zo nodig met actiepunten om te voldoen aan de hoogst vereiste nauwkeurigheden of uitzonderingen daarop aan te vragen.</w:t>
      </w:r>
    </w:p>
    <w:p w14:paraId="1963A8AD" w14:textId="77777777" w:rsidR="00994BE2" w:rsidRPr="005364F7" w:rsidRDefault="00494DB5" w:rsidP="005364F7">
      <w:pPr>
        <w:jc w:val="both"/>
        <w:rPr>
          <w:rFonts w:ascii="Arial" w:hAnsi="Arial" w:cs="Arial"/>
          <w:lang w:val="nl-BE"/>
        </w:rPr>
      </w:pPr>
      <w:r w:rsidRPr="005364F7">
        <w:rPr>
          <w:rFonts w:ascii="Arial" w:hAnsi="Arial" w:cs="Arial"/>
          <w:lang w:val="nl-BE"/>
        </w:rPr>
        <w:lastRenderedPageBreak/>
        <w:t>Voor kleinere bedrijven die niet over dergelijke tabellen beschikken kunnen de voorbeeldtabellen een hulpmiddel zijn</w:t>
      </w:r>
      <w:r w:rsidR="00994BE2" w:rsidRPr="005364F7">
        <w:rPr>
          <w:rFonts w:ascii="Arial" w:hAnsi="Arial" w:cs="Arial"/>
          <w:lang w:val="nl-BE"/>
        </w:rPr>
        <w:t>.</w:t>
      </w:r>
    </w:p>
    <w:p w14:paraId="12587997" w14:textId="77777777" w:rsidR="00994BE2" w:rsidRPr="005364F7" w:rsidRDefault="00994BE2" w:rsidP="005364F7">
      <w:pPr>
        <w:jc w:val="both"/>
        <w:rPr>
          <w:rFonts w:ascii="Arial" w:hAnsi="Arial" w:cs="Arial"/>
          <w:lang w:val="nl-BE"/>
        </w:rPr>
      </w:pPr>
    </w:p>
    <w:p w14:paraId="541FF39F" w14:textId="23B9C809" w:rsidR="00795E44" w:rsidRPr="005364F7" w:rsidRDefault="00C64C29" w:rsidP="005364F7">
      <w:pPr>
        <w:pStyle w:val="Lijstalinea"/>
        <w:numPr>
          <w:ilvl w:val="0"/>
          <w:numId w:val="23"/>
        </w:numPr>
        <w:ind w:left="426" w:hanging="426"/>
        <w:jc w:val="both"/>
        <w:rPr>
          <w:rFonts w:ascii="Arial" w:hAnsi="Arial" w:cs="Arial"/>
          <w:b/>
          <w:sz w:val="32"/>
          <w:szCs w:val="32"/>
          <w:u w:val="single"/>
          <w:lang w:val="nl-BE"/>
        </w:rPr>
      </w:pPr>
      <w:r w:rsidRPr="005364F7">
        <w:rPr>
          <w:rFonts w:ascii="Arial" w:hAnsi="Arial" w:cs="Arial"/>
          <w:b/>
          <w:sz w:val="32"/>
          <w:szCs w:val="32"/>
          <w:u w:val="single"/>
          <w:lang w:val="nl-BE"/>
        </w:rPr>
        <w:t>Verduidelijking methodiek</w:t>
      </w:r>
    </w:p>
    <w:p w14:paraId="7685842C" w14:textId="41073CEB" w:rsidR="00206356" w:rsidRPr="005364F7" w:rsidRDefault="00134A67"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Het MMP moet </w:t>
      </w:r>
      <w:r w:rsidRPr="005364F7">
        <w:rPr>
          <w:rFonts w:ascii="Arial" w:hAnsi="Arial" w:cs="Arial"/>
          <w:color w:val="1C1A15"/>
          <w:lang w:val="nl-BE"/>
        </w:rPr>
        <w:t>beschrijven hoe de gegevens</w:t>
      </w:r>
      <w:r w:rsidR="009A6BDD">
        <w:rPr>
          <w:rFonts w:ascii="Arial" w:hAnsi="Arial" w:cs="Arial"/>
          <w:color w:val="1C1A15"/>
          <w:lang w:val="nl-BE"/>
        </w:rPr>
        <w:t>,</w:t>
      </w:r>
      <w:r w:rsidRPr="005364F7">
        <w:rPr>
          <w:rFonts w:ascii="Arial" w:hAnsi="Arial" w:cs="Arial"/>
          <w:color w:val="1C1A15"/>
          <w:lang w:val="nl-BE"/>
        </w:rPr>
        <w:t xml:space="preserve"> </w:t>
      </w:r>
      <w:r w:rsidR="009A6BDD" w:rsidRPr="005364F7">
        <w:rPr>
          <w:rFonts w:ascii="Arial" w:hAnsi="Arial" w:cs="Arial"/>
          <w:color w:val="1C1A15"/>
          <w:lang w:val="nl-BE"/>
        </w:rPr>
        <w:t>die dienen voor de bepaling van de toewijzing</w:t>
      </w:r>
      <w:r w:rsidR="00314A3F">
        <w:rPr>
          <w:rFonts w:ascii="Arial" w:hAnsi="Arial" w:cs="Arial"/>
          <w:color w:val="1C1A15"/>
          <w:lang w:val="nl-BE"/>
        </w:rPr>
        <w:t>,</w:t>
      </w:r>
      <w:r w:rsidR="009A6BDD" w:rsidRPr="005364F7">
        <w:rPr>
          <w:rFonts w:ascii="Arial" w:hAnsi="Arial" w:cs="Arial"/>
          <w:color w:val="1C1A15"/>
          <w:lang w:val="nl-BE"/>
        </w:rPr>
        <w:t xml:space="preserve"> </w:t>
      </w:r>
      <w:r w:rsidRPr="005364F7">
        <w:rPr>
          <w:rFonts w:ascii="Arial" w:hAnsi="Arial" w:cs="Arial"/>
          <w:color w:val="1C1A15"/>
          <w:lang w:val="nl-BE"/>
        </w:rPr>
        <w:t>zullen worden verzameld en verwerkt</w:t>
      </w:r>
      <w:r w:rsidR="009A6BDD">
        <w:rPr>
          <w:rFonts w:ascii="Arial" w:hAnsi="Arial" w:cs="Arial"/>
          <w:color w:val="1C1A15"/>
          <w:lang w:val="nl-BE"/>
        </w:rPr>
        <w:t>.</w:t>
      </w:r>
      <w:r w:rsidRPr="005364F7">
        <w:rPr>
          <w:rFonts w:ascii="Arial" w:hAnsi="Arial" w:cs="Arial"/>
          <w:color w:val="1C1A15"/>
          <w:lang w:val="nl-BE"/>
        </w:rPr>
        <w:t xml:space="preserve"> De vuistregel daarbij is dat een externe lezer die nog niet vertrouwd is met de installatie enkel op basis van de inhoud van het MMP (en duidelijke bijlagen) kan begrijpen hoe de verschillende gegevens die uiteindelijk worden ingevuld in het baseline rapport of het jaarlijkse activiteitgegevensrapport</w:t>
      </w:r>
      <w:r w:rsidR="00330402" w:rsidRPr="00330402">
        <w:rPr>
          <w:rFonts w:ascii="Arial" w:hAnsi="Arial" w:cs="Arial"/>
          <w:color w:val="1C1A15"/>
          <w:lang w:val="nl-BE"/>
        </w:rPr>
        <w:t xml:space="preserve"> </w:t>
      </w:r>
      <w:r w:rsidR="00330402" w:rsidRPr="005364F7">
        <w:rPr>
          <w:rFonts w:ascii="Arial" w:hAnsi="Arial" w:cs="Arial"/>
          <w:color w:val="1C1A15"/>
          <w:lang w:val="nl-BE"/>
        </w:rPr>
        <w:t>worden verzameld en berekend</w:t>
      </w:r>
      <w:r w:rsidR="00314A3F">
        <w:rPr>
          <w:rFonts w:ascii="Arial" w:hAnsi="Arial" w:cs="Arial"/>
          <w:color w:val="1C1A15"/>
          <w:lang w:val="nl-BE"/>
        </w:rPr>
        <w:t>.</w:t>
      </w:r>
    </w:p>
    <w:p w14:paraId="73C664BE" w14:textId="1F70B3EB" w:rsidR="00206356" w:rsidRPr="005364F7" w:rsidRDefault="00206356" w:rsidP="005364F7">
      <w:pPr>
        <w:autoSpaceDE w:val="0"/>
        <w:autoSpaceDN w:val="0"/>
        <w:adjustRightInd w:val="0"/>
        <w:spacing w:after="0" w:line="240" w:lineRule="auto"/>
        <w:jc w:val="both"/>
        <w:rPr>
          <w:rFonts w:ascii="Arial" w:hAnsi="Arial" w:cs="Arial"/>
          <w:color w:val="1C1A15"/>
          <w:lang w:val="nl-BE"/>
        </w:rPr>
      </w:pPr>
    </w:p>
    <w:p w14:paraId="7AD0D83E" w14:textId="4D4AEECF" w:rsidR="00134A67" w:rsidRPr="005364F7" w:rsidRDefault="00134A67" w:rsidP="005364F7">
      <w:pPr>
        <w:spacing w:after="0"/>
        <w:jc w:val="both"/>
        <w:rPr>
          <w:rFonts w:ascii="Arial" w:hAnsi="Arial" w:cs="Arial"/>
          <w:color w:val="1C1A15"/>
          <w:lang w:val="nl-BE"/>
        </w:rPr>
      </w:pPr>
      <w:r w:rsidRPr="005364F7">
        <w:rPr>
          <w:rFonts w:ascii="Arial" w:hAnsi="Arial" w:cs="Arial"/>
          <w:color w:val="1C1A15"/>
          <w:lang w:val="nl-BE"/>
        </w:rPr>
        <w:t>Er is dus een groot verschil tussen het MMP enerzijds en het baseline rapport en AAL rapport anderzijds: het baseline en AAL rapport bevatten data - meestal in hard gecodeerde vorm - terwijl het MMP de methodiek beschrijft vanwaar die data komen, hoe ze berekend en samengesteld worden.  Dit betekent dat het MMP – zoals een monitoringplan – de methode en formules moet bevatten hoe men vanuit een debietmeting, een calorische waarde, een emissiefactor enz. komt tot energieverbruiken en emissies met een verwijzing naar de locatie in het baseline rapport (en in de toekomst het AAL rapport) waar men deze data terug kan vinden.</w:t>
      </w:r>
    </w:p>
    <w:p w14:paraId="41B2FA8A" w14:textId="0A425481" w:rsidR="00134A67" w:rsidRPr="005364F7" w:rsidRDefault="00134A67" w:rsidP="005364F7">
      <w:pPr>
        <w:autoSpaceDE w:val="0"/>
        <w:autoSpaceDN w:val="0"/>
        <w:adjustRightInd w:val="0"/>
        <w:spacing w:after="0" w:line="240" w:lineRule="auto"/>
        <w:jc w:val="both"/>
        <w:rPr>
          <w:rFonts w:ascii="Arial" w:hAnsi="Arial" w:cs="Arial"/>
          <w:color w:val="1C1A15"/>
          <w:lang w:val="nl-BE"/>
        </w:rPr>
      </w:pPr>
    </w:p>
    <w:p w14:paraId="67479B11" w14:textId="53DCE5AD" w:rsidR="00134A67" w:rsidRPr="005364F7" w:rsidRDefault="00AA13AE"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Bij de beschrijving van methodieken</w:t>
      </w:r>
      <w:r w:rsidR="00694991" w:rsidRPr="005364F7">
        <w:rPr>
          <w:rFonts w:ascii="Arial" w:hAnsi="Arial" w:cs="Arial"/>
          <w:color w:val="1C1A15"/>
          <w:lang w:val="nl-BE"/>
        </w:rPr>
        <w:t xml:space="preserve"> in </w:t>
      </w:r>
      <w:r w:rsidR="00134A67" w:rsidRPr="005364F7">
        <w:rPr>
          <w:rFonts w:ascii="Arial" w:hAnsi="Arial" w:cs="Arial"/>
          <w:color w:val="1C1A15"/>
          <w:lang w:val="nl-BE"/>
        </w:rPr>
        <w:t xml:space="preserve">secties D.I en secties E t.e.m. H van </w:t>
      </w:r>
      <w:r w:rsidR="00694991" w:rsidRPr="005364F7">
        <w:rPr>
          <w:rFonts w:ascii="Arial" w:hAnsi="Arial" w:cs="Arial"/>
          <w:color w:val="1C1A15"/>
          <w:lang w:val="nl-BE"/>
        </w:rPr>
        <w:t>het MMP</w:t>
      </w:r>
      <w:r w:rsidRPr="005364F7">
        <w:rPr>
          <w:rFonts w:ascii="Arial" w:hAnsi="Arial" w:cs="Arial"/>
          <w:color w:val="1C1A15"/>
          <w:lang w:val="nl-BE"/>
        </w:rPr>
        <w:t xml:space="preserve"> </w:t>
      </w:r>
      <w:r w:rsidR="00134A67" w:rsidRPr="005364F7">
        <w:rPr>
          <w:rFonts w:ascii="Arial" w:hAnsi="Arial" w:cs="Arial"/>
          <w:color w:val="1C1A15"/>
          <w:lang w:val="nl-BE"/>
        </w:rPr>
        <w:t xml:space="preserve">dat werd voorgelegd i.k.v. de datacollectie 2014-2018 </w:t>
      </w:r>
      <w:r w:rsidRPr="005364F7">
        <w:rPr>
          <w:rFonts w:ascii="Arial" w:hAnsi="Arial" w:cs="Arial"/>
          <w:color w:val="1C1A15"/>
          <w:lang w:val="nl-BE"/>
        </w:rPr>
        <w:t xml:space="preserve">is vaak vastgesteld dat deze onvolledig zijn en dat het verband tussen het MMP met eventuele bijlagen en het baseline rapport ontbreekt of onduidelijk is. </w:t>
      </w:r>
      <w:r w:rsidR="00134A67" w:rsidRPr="005364F7">
        <w:rPr>
          <w:rFonts w:ascii="Arial" w:hAnsi="Arial" w:cs="Arial"/>
          <w:color w:val="1C1A15"/>
          <w:lang w:val="nl-BE"/>
        </w:rPr>
        <w:t>In onderstaande sectie wordt daarom nog eens overlopen:</w:t>
      </w:r>
    </w:p>
    <w:p w14:paraId="0A75FC58" w14:textId="5C752FD3" w:rsidR="00134A67" w:rsidRPr="005364F7" w:rsidRDefault="00134A67" w:rsidP="005364F7">
      <w:pPr>
        <w:pStyle w:val="Lijstalinea"/>
        <w:numPr>
          <w:ilvl w:val="0"/>
          <w:numId w:val="30"/>
        </w:num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Wat de specifieke vereisten zijn m.b.t. het MMP;</w:t>
      </w:r>
    </w:p>
    <w:p w14:paraId="171D415B" w14:textId="41340053" w:rsidR="00134A67" w:rsidRPr="005364F7" w:rsidRDefault="00134A67" w:rsidP="005364F7">
      <w:pPr>
        <w:pStyle w:val="Lijstalinea"/>
        <w:numPr>
          <w:ilvl w:val="0"/>
          <w:numId w:val="30"/>
        </w:num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Op welke vlakken de reeds goedgekeurde MMP’s niet altijd tegemoet kwamen aan deze vereisten (en wat er dus moet worden nagekeken en waar nodig verbeterd bij de herwerking tegen eind dit jaar);</w:t>
      </w:r>
    </w:p>
    <w:p w14:paraId="744457E6" w14:textId="620AFE3B" w:rsidR="00134A67" w:rsidRPr="005364F7" w:rsidRDefault="00134A67" w:rsidP="005364F7">
      <w:pPr>
        <w:pStyle w:val="Lijstalinea"/>
        <w:numPr>
          <w:ilvl w:val="0"/>
          <w:numId w:val="30"/>
        </w:num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Welke verdere zaken verwerkt moeten worden bij de herwerking van het MMP tegen eind dit jaar.</w:t>
      </w:r>
    </w:p>
    <w:p w14:paraId="374F73FE" w14:textId="77777777" w:rsidR="00D16F4C" w:rsidRPr="005364F7" w:rsidRDefault="00134A67"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Ten slotte worden er een aantal voorbeelden toegevoegd voor verdere verduidelijking.</w:t>
      </w:r>
    </w:p>
    <w:p w14:paraId="01E03A9E" w14:textId="21579081" w:rsidR="00134A67" w:rsidRPr="005364F7" w:rsidRDefault="00134A67"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 </w:t>
      </w:r>
    </w:p>
    <w:p w14:paraId="0EBB7153" w14:textId="47F735A6" w:rsidR="00134A67" w:rsidRPr="005364F7" w:rsidRDefault="00134A67" w:rsidP="005364F7">
      <w:pPr>
        <w:autoSpaceDE w:val="0"/>
        <w:autoSpaceDN w:val="0"/>
        <w:adjustRightInd w:val="0"/>
        <w:spacing w:after="0" w:line="240" w:lineRule="auto"/>
        <w:jc w:val="both"/>
        <w:rPr>
          <w:rFonts w:ascii="Arial" w:hAnsi="Arial" w:cs="Arial"/>
          <w:color w:val="1C1A15"/>
          <w:lang w:val="nl-BE"/>
        </w:rPr>
      </w:pPr>
    </w:p>
    <w:p w14:paraId="24353316" w14:textId="77777777" w:rsidR="00D16F4C" w:rsidRPr="005364F7" w:rsidRDefault="00D16F4C" w:rsidP="005364F7">
      <w:pPr>
        <w:pStyle w:val="Lijstalinea"/>
        <w:numPr>
          <w:ilvl w:val="1"/>
          <w:numId w:val="31"/>
        </w:numPr>
        <w:spacing w:after="0"/>
        <w:jc w:val="both"/>
        <w:rPr>
          <w:rFonts w:ascii="Arial" w:hAnsi="Arial" w:cs="Arial"/>
          <w:b/>
          <w:color w:val="1C1A15"/>
          <w:sz w:val="28"/>
          <w:szCs w:val="28"/>
          <w:u w:val="single"/>
          <w:lang w:val="nl-BE"/>
        </w:rPr>
      </w:pPr>
      <w:r w:rsidRPr="005364F7">
        <w:rPr>
          <w:rFonts w:ascii="Arial" w:hAnsi="Arial" w:cs="Arial"/>
          <w:b/>
          <w:color w:val="1C1A15"/>
          <w:sz w:val="28"/>
          <w:szCs w:val="28"/>
          <w:u w:val="single"/>
          <w:lang w:val="nl-BE"/>
        </w:rPr>
        <w:t>Wat zijn de specifieke vereisten voor het MMP?</w:t>
      </w:r>
    </w:p>
    <w:p w14:paraId="768E8656" w14:textId="77777777" w:rsidR="00134A67" w:rsidRPr="005364F7" w:rsidRDefault="00134A67" w:rsidP="005364F7">
      <w:pPr>
        <w:spacing w:after="0"/>
        <w:jc w:val="both"/>
        <w:rPr>
          <w:rFonts w:ascii="Arial" w:hAnsi="Arial" w:cs="Arial"/>
          <w:color w:val="1C1A15"/>
          <w:lang w:val="nl-BE"/>
        </w:rPr>
      </w:pPr>
    </w:p>
    <w:p w14:paraId="3257EA4D" w14:textId="4EC81D5A" w:rsidR="0017470B" w:rsidRPr="005364F7" w:rsidRDefault="008525CE" w:rsidP="005364F7">
      <w:pPr>
        <w:spacing w:after="0"/>
        <w:jc w:val="both"/>
        <w:rPr>
          <w:rFonts w:ascii="Arial" w:hAnsi="Arial" w:cs="Arial"/>
          <w:color w:val="1C1A15"/>
          <w:lang w:val="nl-BE"/>
        </w:rPr>
      </w:pPr>
      <w:r w:rsidRPr="005364F7">
        <w:rPr>
          <w:rFonts w:ascii="Arial" w:hAnsi="Arial" w:cs="Arial"/>
          <w:color w:val="1C1A15"/>
          <w:lang w:val="nl-BE"/>
        </w:rPr>
        <w:t>In het algemeen bevat het MMP voldoende toelichtingsteksten over wat men waar moet invullen. Voor wat betreft de methodiek geeft de</w:t>
      </w:r>
      <w:r w:rsidR="00D45E11" w:rsidRPr="005364F7">
        <w:rPr>
          <w:rFonts w:ascii="Arial" w:hAnsi="Arial" w:cs="Arial"/>
          <w:color w:val="1C1A15"/>
          <w:lang w:val="nl-BE"/>
        </w:rPr>
        <w:t xml:space="preserve"> tekst met blauwe achtergrond die men bovenaan de tabbladen E, F en</w:t>
      </w:r>
      <w:r w:rsidR="00EE6386" w:rsidRPr="005364F7">
        <w:rPr>
          <w:rFonts w:ascii="Arial" w:hAnsi="Arial" w:cs="Arial"/>
          <w:color w:val="1C1A15"/>
          <w:lang w:val="nl-BE"/>
        </w:rPr>
        <w:t xml:space="preserve"> G terugvindt </w:t>
      </w:r>
      <w:r w:rsidRPr="005364F7">
        <w:rPr>
          <w:rFonts w:ascii="Arial" w:hAnsi="Arial" w:cs="Arial"/>
          <w:color w:val="1C1A15"/>
          <w:lang w:val="nl-BE"/>
        </w:rPr>
        <w:t xml:space="preserve">– en hieronder overgenomen in blauwe tekst </w:t>
      </w:r>
      <w:r w:rsidR="00B07B3E" w:rsidRPr="005364F7">
        <w:rPr>
          <w:rFonts w:ascii="Arial" w:hAnsi="Arial" w:cs="Arial"/>
          <w:color w:val="1C1A15"/>
          <w:lang w:val="nl-BE"/>
        </w:rPr>
        <w:t>–</w:t>
      </w:r>
      <w:r w:rsidRPr="005364F7">
        <w:rPr>
          <w:rFonts w:ascii="Arial" w:hAnsi="Arial" w:cs="Arial"/>
          <w:color w:val="1C1A15"/>
          <w:lang w:val="nl-BE"/>
        </w:rPr>
        <w:t xml:space="preserve"> </w:t>
      </w:r>
      <w:r w:rsidR="00B07B3E" w:rsidRPr="005364F7">
        <w:rPr>
          <w:rFonts w:ascii="Arial" w:hAnsi="Arial" w:cs="Arial"/>
          <w:color w:val="1C1A15"/>
          <w:lang w:val="nl-BE"/>
        </w:rPr>
        <w:t>duidelijk weer</w:t>
      </w:r>
      <w:r w:rsidR="00EE6386" w:rsidRPr="005364F7">
        <w:rPr>
          <w:rFonts w:ascii="Arial" w:hAnsi="Arial" w:cs="Arial"/>
          <w:color w:val="1C1A15"/>
          <w:lang w:val="nl-BE"/>
        </w:rPr>
        <w:t xml:space="preserve"> welke informatie</w:t>
      </w:r>
      <w:r w:rsidR="00D45E11" w:rsidRPr="005364F7">
        <w:rPr>
          <w:rFonts w:ascii="Arial" w:hAnsi="Arial" w:cs="Arial"/>
          <w:color w:val="1C1A15"/>
          <w:lang w:val="nl-BE"/>
        </w:rPr>
        <w:t xml:space="preserve"> er </w:t>
      </w:r>
      <w:r w:rsidRPr="005364F7">
        <w:rPr>
          <w:rFonts w:ascii="Arial" w:hAnsi="Arial" w:cs="Arial"/>
          <w:color w:val="1C1A15"/>
          <w:lang w:val="nl-BE"/>
        </w:rPr>
        <w:t>over de toegepaste methodieken</w:t>
      </w:r>
      <w:r w:rsidR="00806934" w:rsidRPr="005364F7">
        <w:rPr>
          <w:rFonts w:ascii="Arial" w:hAnsi="Arial" w:cs="Arial"/>
          <w:color w:val="1C1A15"/>
          <w:lang w:val="nl-BE"/>
        </w:rPr>
        <w:t xml:space="preserve"> </w:t>
      </w:r>
      <w:r w:rsidRPr="005364F7">
        <w:rPr>
          <w:rFonts w:ascii="Arial" w:hAnsi="Arial" w:cs="Arial"/>
          <w:color w:val="1C1A15"/>
          <w:lang w:val="nl-BE"/>
        </w:rPr>
        <w:t xml:space="preserve">in deze tabbladen </w:t>
      </w:r>
      <w:r w:rsidR="00D45E11" w:rsidRPr="005364F7">
        <w:rPr>
          <w:rFonts w:ascii="Arial" w:hAnsi="Arial" w:cs="Arial"/>
          <w:color w:val="1C1A15"/>
          <w:lang w:val="nl-BE"/>
        </w:rPr>
        <w:t>verwacht wordt</w:t>
      </w:r>
      <w:r w:rsidR="00EE6386" w:rsidRPr="005364F7">
        <w:rPr>
          <w:rFonts w:ascii="Arial" w:hAnsi="Arial" w:cs="Arial"/>
          <w:color w:val="1C1A15"/>
          <w:lang w:val="nl-BE"/>
        </w:rPr>
        <w:t xml:space="preserve">. De laatste zin van deze tekst vraagt </w:t>
      </w:r>
      <w:r w:rsidR="00B07B3E" w:rsidRPr="005364F7">
        <w:rPr>
          <w:rFonts w:ascii="Arial" w:hAnsi="Arial" w:cs="Arial"/>
          <w:color w:val="1C1A15"/>
          <w:lang w:val="nl-BE"/>
        </w:rPr>
        <w:t>daarbij n</w:t>
      </w:r>
      <w:r w:rsidR="00EE6386" w:rsidRPr="005364F7">
        <w:rPr>
          <w:rFonts w:ascii="Arial" w:hAnsi="Arial" w:cs="Arial"/>
          <w:color w:val="1C1A15"/>
          <w:lang w:val="nl-BE"/>
        </w:rPr>
        <w:t>aar tenminste één rekenvoorbeeld met werkel</w:t>
      </w:r>
      <w:r w:rsidRPr="005364F7">
        <w:rPr>
          <w:rFonts w:ascii="Arial" w:hAnsi="Arial" w:cs="Arial"/>
          <w:color w:val="1C1A15"/>
          <w:lang w:val="nl-BE"/>
        </w:rPr>
        <w:t>ijke gegevens om de methodiek te verduidelijken. D</w:t>
      </w:r>
      <w:r w:rsidR="00EE6386" w:rsidRPr="005364F7">
        <w:rPr>
          <w:rFonts w:ascii="Arial" w:hAnsi="Arial" w:cs="Arial"/>
          <w:color w:val="1C1A15"/>
          <w:lang w:val="nl-BE"/>
        </w:rPr>
        <w:t xml:space="preserve">eze zin </w:t>
      </w:r>
      <w:r w:rsidRPr="005364F7">
        <w:rPr>
          <w:rFonts w:ascii="Arial" w:hAnsi="Arial" w:cs="Arial"/>
          <w:color w:val="1C1A15"/>
          <w:lang w:val="nl-BE"/>
        </w:rPr>
        <w:t xml:space="preserve">is hier </w:t>
      </w:r>
      <w:r w:rsidR="00134A67" w:rsidRPr="005364F7">
        <w:rPr>
          <w:rFonts w:ascii="Arial" w:hAnsi="Arial" w:cs="Arial"/>
          <w:color w:val="1C1A15"/>
          <w:lang w:val="nl-BE"/>
        </w:rPr>
        <w:t>vetgedrukt</w:t>
      </w:r>
      <w:r w:rsidR="00EE6386" w:rsidRPr="005364F7">
        <w:rPr>
          <w:rFonts w:ascii="Arial" w:hAnsi="Arial" w:cs="Arial"/>
          <w:color w:val="1C1A15"/>
          <w:lang w:val="nl-BE"/>
        </w:rPr>
        <w:t xml:space="preserve"> om het belang ervan aan te geven.</w:t>
      </w:r>
    </w:p>
    <w:p w14:paraId="02BE94D3" w14:textId="77777777" w:rsidR="00EE6386" w:rsidRPr="005364F7" w:rsidRDefault="00EE6386" w:rsidP="005364F7">
      <w:pPr>
        <w:spacing w:after="0" w:line="240" w:lineRule="auto"/>
        <w:jc w:val="both"/>
        <w:rPr>
          <w:rFonts w:ascii="Arial" w:eastAsia="Times New Roman" w:hAnsi="Arial" w:cs="Arial"/>
          <w:bCs/>
          <w:i/>
          <w:color w:val="0070C0"/>
          <w:lang w:val="nl-BE"/>
        </w:rPr>
      </w:pPr>
    </w:p>
    <w:p w14:paraId="46D3537A" w14:textId="11ABB154" w:rsidR="0017470B" w:rsidRPr="005364F7" w:rsidRDefault="0017470B" w:rsidP="005364F7">
      <w:pPr>
        <w:spacing w:after="0" w:line="240" w:lineRule="auto"/>
        <w:jc w:val="both"/>
        <w:rPr>
          <w:rFonts w:ascii="Arial" w:eastAsia="Times New Roman" w:hAnsi="Arial" w:cs="Arial"/>
          <w:bCs/>
          <w:i/>
          <w:color w:val="0070C0"/>
          <w:lang w:val="nl-BE"/>
        </w:rPr>
      </w:pPr>
      <w:r w:rsidRPr="005364F7">
        <w:rPr>
          <w:rFonts w:ascii="Arial" w:eastAsia="Times New Roman" w:hAnsi="Arial" w:cs="Arial"/>
          <w:bCs/>
          <w:i/>
          <w:color w:val="0070C0"/>
          <w:lang w:val="nl-BE"/>
        </w:rPr>
        <w:t>Alle omschrijvingen van de gebruikte methoden in onderstaande rubrieken voor het kwantificeren van parameters die moeten worden gemonitord en gerapporteerd, omvatten, voor zover van toepassing:</w:t>
      </w:r>
    </w:p>
    <w:p w14:paraId="6CBA1B55" w14:textId="77777777" w:rsidR="0017470B" w:rsidRPr="005364F7" w:rsidRDefault="0017470B" w:rsidP="005364F7">
      <w:pPr>
        <w:pStyle w:val="Lijstalinea"/>
        <w:numPr>
          <w:ilvl w:val="0"/>
          <w:numId w:val="8"/>
        </w:numPr>
        <w:spacing w:after="0" w:line="240" w:lineRule="auto"/>
        <w:ind w:left="709" w:hanging="283"/>
        <w:jc w:val="both"/>
        <w:rPr>
          <w:rFonts w:ascii="Arial" w:eastAsia="Times New Roman" w:hAnsi="Arial" w:cs="Arial"/>
          <w:i/>
          <w:iCs/>
          <w:color w:val="0070C0"/>
          <w:lang w:val="nl-BE"/>
        </w:rPr>
      </w:pPr>
      <w:r w:rsidRPr="005364F7">
        <w:rPr>
          <w:rFonts w:ascii="Arial" w:eastAsia="Times New Roman" w:hAnsi="Arial" w:cs="Arial"/>
          <w:i/>
          <w:iCs/>
          <w:color w:val="0070C0"/>
          <w:lang w:val="nl-BE"/>
        </w:rPr>
        <w:t>berekeningsstappen;</w:t>
      </w:r>
    </w:p>
    <w:p w14:paraId="5AF8CE71" w14:textId="77777777" w:rsidR="0017470B" w:rsidRPr="005364F7" w:rsidRDefault="0017470B" w:rsidP="005364F7">
      <w:pPr>
        <w:pStyle w:val="Lijstalinea"/>
        <w:numPr>
          <w:ilvl w:val="0"/>
          <w:numId w:val="8"/>
        </w:numPr>
        <w:spacing w:after="0"/>
        <w:ind w:left="709" w:hanging="283"/>
        <w:jc w:val="both"/>
        <w:rPr>
          <w:rFonts w:ascii="Arial" w:hAnsi="Arial" w:cs="Arial"/>
          <w:i/>
          <w:color w:val="0070C0"/>
          <w:lang w:val="nl-BE"/>
        </w:rPr>
      </w:pPr>
      <w:r w:rsidRPr="005364F7">
        <w:rPr>
          <w:rFonts w:ascii="Arial" w:hAnsi="Arial" w:cs="Arial"/>
          <w:i/>
          <w:color w:val="0070C0"/>
          <w:lang w:val="nl-BE"/>
        </w:rPr>
        <w:t>gegevensbronnen</w:t>
      </w:r>
    </w:p>
    <w:p w14:paraId="36E6AAC5" w14:textId="77777777" w:rsidR="0017470B" w:rsidRPr="005364F7" w:rsidRDefault="0017470B" w:rsidP="005364F7">
      <w:pPr>
        <w:pStyle w:val="Lijstalinea"/>
        <w:numPr>
          <w:ilvl w:val="0"/>
          <w:numId w:val="8"/>
        </w:numPr>
        <w:spacing w:after="0"/>
        <w:ind w:left="709" w:hanging="283"/>
        <w:jc w:val="both"/>
        <w:rPr>
          <w:rFonts w:ascii="Arial" w:hAnsi="Arial" w:cs="Arial"/>
          <w:i/>
          <w:color w:val="0070C0"/>
          <w:lang w:val="nl-BE"/>
        </w:rPr>
      </w:pPr>
      <w:r w:rsidRPr="005364F7">
        <w:rPr>
          <w:rFonts w:ascii="Arial" w:hAnsi="Arial" w:cs="Arial"/>
          <w:i/>
          <w:color w:val="0070C0"/>
          <w:lang w:val="nl-BE"/>
        </w:rPr>
        <w:t>berekeningsformules</w:t>
      </w:r>
    </w:p>
    <w:p w14:paraId="30A7F5AC" w14:textId="77777777" w:rsidR="0017470B" w:rsidRPr="005364F7" w:rsidRDefault="0017470B" w:rsidP="005364F7">
      <w:pPr>
        <w:pStyle w:val="Lijstalinea"/>
        <w:numPr>
          <w:ilvl w:val="0"/>
          <w:numId w:val="8"/>
        </w:numPr>
        <w:spacing w:after="0" w:line="240" w:lineRule="auto"/>
        <w:ind w:left="709" w:hanging="283"/>
        <w:jc w:val="both"/>
        <w:rPr>
          <w:rFonts w:ascii="Arial" w:eastAsia="Times New Roman" w:hAnsi="Arial" w:cs="Arial"/>
          <w:i/>
          <w:iCs/>
          <w:color w:val="0070C0"/>
          <w:lang w:val="nl-BE"/>
        </w:rPr>
      </w:pPr>
      <w:r w:rsidRPr="005364F7">
        <w:rPr>
          <w:rFonts w:ascii="Arial" w:eastAsia="Times New Roman" w:hAnsi="Arial" w:cs="Arial"/>
          <w:i/>
          <w:iCs/>
          <w:color w:val="0070C0"/>
          <w:lang w:val="nl-BE"/>
        </w:rPr>
        <w:t xml:space="preserve">relevante berekeningsfactoren met inbegrip van de meeteenheid; </w:t>
      </w:r>
    </w:p>
    <w:p w14:paraId="1FC81423" w14:textId="77777777" w:rsidR="0017470B" w:rsidRPr="005364F7" w:rsidRDefault="0017470B" w:rsidP="005364F7">
      <w:pPr>
        <w:pStyle w:val="Lijstalinea"/>
        <w:numPr>
          <w:ilvl w:val="0"/>
          <w:numId w:val="8"/>
        </w:numPr>
        <w:spacing w:after="0" w:line="240" w:lineRule="auto"/>
        <w:ind w:left="709" w:hanging="283"/>
        <w:jc w:val="both"/>
        <w:rPr>
          <w:rFonts w:ascii="Arial" w:eastAsia="Times New Roman" w:hAnsi="Arial" w:cs="Arial"/>
          <w:i/>
          <w:iCs/>
          <w:color w:val="0070C0"/>
          <w:lang w:val="nl-BE"/>
        </w:rPr>
      </w:pPr>
      <w:r w:rsidRPr="005364F7">
        <w:rPr>
          <w:rFonts w:ascii="Arial" w:eastAsia="Times New Roman" w:hAnsi="Arial" w:cs="Arial"/>
          <w:i/>
          <w:iCs/>
          <w:color w:val="0070C0"/>
          <w:lang w:val="nl-BE"/>
        </w:rPr>
        <w:t xml:space="preserve">horizontale en verticale controles van ondersteunende gegevens; </w:t>
      </w:r>
    </w:p>
    <w:p w14:paraId="3B29D5AE" w14:textId="77777777" w:rsidR="0017470B" w:rsidRPr="005364F7" w:rsidRDefault="0017470B" w:rsidP="005364F7">
      <w:pPr>
        <w:pStyle w:val="Lijstalinea"/>
        <w:numPr>
          <w:ilvl w:val="0"/>
          <w:numId w:val="8"/>
        </w:numPr>
        <w:spacing w:after="0" w:line="240" w:lineRule="auto"/>
        <w:ind w:left="709" w:hanging="283"/>
        <w:jc w:val="both"/>
        <w:rPr>
          <w:rFonts w:ascii="Arial" w:eastAsia="Times New Roman" w:hAnsi="Arial" w:cs="Arial"/>
          <w:i/>
          <w:iCs/>
          <w:color w:val="0070C0"/>
          <w:lang w:val="nl-BE"/>
        </w:rPr>
      </w:pPr>
      <w:r w:rsidRPr="005364F7">
        <w:rPr>
          <w:rFonts w:ascii="Arial" w:eastAsia="Times New Roman" w:hAnsi="Arial" w:cs="Arial"/>
          <w:i/>
          <w:iCs/>
          <w:color w:val="0070C0"/>
          <w:lang w:val="nl-BE"/>
        </w:rPr>
        <w:lastRenderedPageBreak/>
        <w:t>onderliggende procedures voor de steekproefplannen;</w:t>
      </w:r>
    </w:p>
    <w:p w14:paraId="59FD9DC1" w14:textId="77777777" w:rsidR="0017470B" w:rsidRPr="005364F7" w:rsidRDefault="0017470B" w:rsidP="005364F7">
      <w:pPr>
        <w:pStyle w:val="Lijstalinea"/>
        <w:numPr>
          <w:ilvl w:val="0"/>
          <w:numId w:val="8"/>
        </w:numPr>
        <w:spacing w:after="0" w:line="240" w:lineRule="auto"/>
        <w:ind w:left="709" w:hanging="283"/>
        <w:jc w:val="both"/>
        <w:rPr>
          <w:rFonts w:ascii="Arial" w:eastAsia="Times New Roman" w:hAnsi="Arial" w:cs="Arial"/>
          <w:i/>
          <w:iCs/>
          <w:color w:val="0070C0"/>
          <w:lang w:val="nl-BE"/>
        </w:rPr>
      </w:pPr>
      <w:r w:rsidRPr="005364F7">
        <w:rPr>
          <w:rFonts w:ascii="Arial" w:eastAsia="Times New Roman" w:hAnsi="Arial" w:cs="Arial"/>
          <w:i/>
          <w:iCs/>
          <w:color w:val="0070C0"/>
          <w:lang w:val="nl-BE"/>
        </w:rPr>
        <w:t>gebruikte meetapparatuur met verwijzing naar het desbetreffende schema en een beschrijving van de wijze van installatie en onderhoud;</w:t>
      </w:r>
    </w:p>
    <w:p w14:paraId="469B82FD" w14:textId="77777777" w:rsidR="0017470B" w:rsidRPr="005364F7" w:rsidRDefault="0017470B" w:rsidP="005364F7">
      <w:pPr>
        <w:pStyle w:val="Lijstalinea"/>
        <w:numPr>
          <w:ilvl w:val="0"/>
          <w:numId w:val="8"/>
        </w:numPr>
        <w:spacing w:after="0" w:line="240" w:lineRule="auto"/>
        <w:ind w:left="709" w:hanging="283"/>
        <w:jc w:val="both"/>
        <w:rPr>
          <w:rFonts w:ascii="Arial" w:eastAsia="Times New Roman" w:hAnsi="Arial" w:cs="Arial"/>
          <w:i/>
          <w:iCs/>
          <w:color w:val="0070C0"/>
          <w:lang w:val="nl-BE"/>
        </w:rPr>
      </w:pPr>
      <w:r w:rsidRPr="005364F7">
        <w:rPr>
          <w:rFonts w:ascii="Arial" w:eastAsia="Times New Roman" w:hAnsi="Arial" w:cs="Arial"/>
          <w:i/>
          <w:iCs/>
          <w:color w:val="0070C0"/>
          <w:lang w:val="nl-BE"/>
        </w:rPr>
        <w:t>een lijst van laboratoria die zijn ingeschakeld voor het uitvoeren van toegepaste analytische procedures.</w:t>
      </w:r>
    </w:p>
    <w:p w14:paraId="029121B5" w14:textId="77777777" w:rsidR="0017470B" w:rsidRPr="005364F7" w:rsidRDefault="0017470B" w:rsidP="005364F7">
      <w:pPr>
        <w:spacing w:after="0" w:line="240" w:lineRule="auto"/>
        <w:jc w:val="both"/>
        <w:rPr>
          <w:rFonts w:ascii="Arial" w:eastAsia="Times New Roman" w:hAnsi="Arial" w:cs="Arial"/>
          <w:bCs/>
          <w:i/>
          <w:color w:val="0070C0"/>
          <w:lang w:val="nl-BE"/>
        </w:rPr>
      </w:pPr>
      <w:r w:rsidRPr="005364F7">
        <w:rPr>
          <w:rFonts w:ascii="Arial" w:eastAsia="Times New Roman" w:hAnsi="Arial" w:cs="Arial"/>
          <w:bCs/>
          <w:i/>
          <w:color w:val="0070C0"/>
          <w:lang w:val="nl-BE"/>
        </w:rPr>
        <w:t>Indien vereist bevat de omschrijving de uitkomst van een vereenvoudigde onzekerheidsbeoordeling in overeenstemming met artikel 7, lid 2.</w:t>
      </w:r>
    </w:p>
    <w:p w14:paraId="34D83BDE" w14:textId="77777777" w:rsidR="0017470B" w:rsidRPr="005364F7" w:rsidRDefault="0017470B" w:rsidP="005364F7">
      <w:pPr>
        <w:spacing w:after="0" w:line="240" w:lineRule="auto"/>
        <w:jc w:val="both"/>
        <w:rPr>
          <w:rFonts w:ascii="Arial" w:eastAsia="Times New Roman" w:hAnsi="Arial" w:cs="Arial"/>
          <w:b/>
          <w:bCs/>
          <w:i/>
          <w:color w:val="0070C0"/>
          <w:u w:val="single"/>
          <w:lang w:val="nl-BE"/>
        </w:rPr>
      </w:pPr>
      <w:r w:rsidRPr="005364F7">
        <w:rPr>
          <w:rFonts w:ascii="Arial" w:eastAsia="Times New Roman" w:hAnsi="Arial" w:cs="Arial"/>
          <w:b/>
          <w:bCs/>
          <w:i/>
          <w:color w:val="0070C0"/>
          <w:u w:val="single"/>
          <w:lang w:val="nl-BE"/>
        </w:rPr>
        <w:t>Voor elke relevante berekeningsformule bevat het plan één voorbeeld met daadwerkelijke gegevens.</w:t>
      </w:r>
    </w:p>
    <w:p w14:paraId="56EB88AB" w14:textId="77777777" w:rsidR="00B07B3E" w:rsidRPr="005364F7" w:rsidRDefault="00B07B3E" w:rsidP="005364F7">
      <w:pPr>
        <w:spacing w:after="0" w:line="240" w:lineRule="auto"/>
        <w:jc w:val="both"/>
        <w:rPr>
          <w:rFonts w:ascii="Arial" w:eastAsia="Times New Roman" w:hAnsi="Arial" w:cs="Arial"/>
          <w:bCs/>
          <w:i/>
          <w:color w:val="FF0000"/>
          <w:lang w:val="nl-BE"/>
        </w:rPr>
      </w:pPr>
    </w:p>
    <w:p w14:paraId="50224847" w14:textId="7A3FB088" w:rsidR="00B07B3E" w:rsidRPr="005364F7" w:rsidRDefault="00B07B3E" w:rsidP="005364F7">
      <w:pPr>
        <w:spacing w:after="0"/>
        <w:jc w:val="both"/>
        <w:rPr>
          <w:rFonts w:ascii="Arial" w:hAnsi="Arial" w:cs="Arial"/>
          <w:color w:val="1C1A15"/>
          <w:lang w:val="nl-BE"/>
        </w:rPr>
      </w:pPr>
      <w:r w:rsidRPr="005364F7">
        <w:rPr>
          <w:rFonts w:ascii="Arial" w:hAnsi="Arial" w:cs="Arial"/>
          <w:color w:val="1C1A15"/>
          <w:lang w:val="nl-BE"/>
        </w:rPr>
        <w:t>Concreet dient men dus telkens er in een rubriek gevraagd wordt naar de ‘Beschrijving van de methodologie’ een antwoord te geven op alle punten uit de blauwe tekst, die in die rubriek van toepassing zijn.</w:t>
      </w:r>
      <w:r w:rsidR="00D16F4C" w:rsidRPr="005364F7">
        <w:rPr>
          <w:rFonts w:ascii="Arial" w:hAnsi="Arial" w:cs="Arial"/>
          <w:color w:val="1C1A15"/>
          <w:lang w:val="nl-BE"/>
        </w:rPr>
        <w:t xml:space="preserve"> In sectie 5.X wordt aan de hand van voorbeelden verder toegelicht hoe dit kan aangepakt worden. </w:t>
      </w:r>
    </w:p>
    <w:p w14:paraId="6F8D6D2A" w14:textId="77777777" w:rsidR="00E812BD" w:rsidRPr="005364F7" w:rsidRDefault="00E812BD" w:rsidP="005364F7">
      <w:pPr>
        <w:spacing w:after="0"/>
        <w:jc w:val="both"/>
        <w:rPr>
          <w:rFonts w:ascii="Arial" w:hAnsi="Arial" w:cs="Arial"/>
          <w:color w:val="1C1A15"/>
          <w:lang w:val="nl-BE"/>
        </w:rPr>
      </w:pPr>
    </w:p>
    <w:p w14:paraId="402AF752" w14:textId="1036A7AF" w:rsidR="00550E78" w:rsidRPr="005364F7" w:rsidRDefault="00550E78" w:rsidP="005364F7">
      <w:pPr>
        <w:spacing w:after="0" w:line="240" w:lineRule="auto"/>
        <w:ind w:left="426"/>
        <w:jc w:val="both"/>
        <w:rPr>
          <w:rFonts w:ascii="Arial" w:eastAsia="Times New Roman" w:hAnsi="Arial" w:cs="Arial"/>
          <w:bCs/>
          <w:color w:val="FF0000"/>
          <w:lang w:val="nl-BE"/>
        </w:rPr>
      </w:pPr>
    </w:p>
    <w:p w14:paraId="59BE5E1C" w14:textId="1364FF94" w:rsidR="00550E78" w:rsidRPr="005364F7" w:rsidRDefault="00550E78" w:rsidP="005364F7">
      <w:pPr>
        <w:pStyle w:val="Lijstalinea"/>
        <w:numPr>
          <w:ilvl w:val="1"/>
          <w:numId w:val="31"/>
        </w:numPr>
        <w:spacing w:after="0"/>
        <w:jc w:val="both"/>
        <w:rPr>
          <w:rFonts w:ascii="Arial" w:hAnsi="Arial" w:cs="Arial"/>
          <w:b/>
          <w:color w:val="1C1A15"/>
          <w:sz w:val="28"/>
          <w:szCs w:val="28"/>
          <w:u w:val="single"/>
          <w:lang w:val="nl-BE"/>
        </w:rPr>
      </w:pPr>
      <w:r w:rsidRPr="005364F7">
        <w:rPr>
          <w:rFonts w:ascii="Arial" w:hAnsi="Arial" w:cs="Arial"/>
          <w:b/>
          <w:color w:val="1C1A15"/>
          <w:sz w:val="28"/>
          <w:szCs w:val="28"/>
          <w:u w:val="single"/>
          <w:lang w:val="nl-BE"/>
        </w:rPr>
        <w:t xml:space="preserve">Wat ontbrak er vaak in </w:t>
      </w:r>
      <w:r w:rsidR="00D0209F" w:rsidRPr="005364F7">
        <w:rPr>
          <w:rFonts w:ascii="Arial" w:hAnsi="Arial" w:cs="Arial"/>
          <w:b/>
          <w:color w:val="1C1A15"/>
          <w:sz w:val="28"/>
          <w:szCs w:val="28"/>
          <w:u w:val="single"/>
          <w:lang w:val="nl-BE"/>
        </w:rPr>
        <w:t xml:space="preserve">de </w:t>
      </w:r>
      <w:r w:rsidRPr="005364F7">
        <w:rPr>
          <w:rFonts w:ascii="Arial" w:hAnsi="Arial" w:cs="Arial"/>
          <w:b/>
          <w:color w:val="1C1A15"/>
          <w:sz w:val="28"/>
          <w:szCs w:val="28"/>
          <w:u w:val="single"/>
          <w:lang w:val="nl-BE"/>
        </w:rPr>
        <w:t>MMP’s?</w:t>
      </w:r>
    </w:p>
    <w:p w14:paraId="24E6F824" w14:textId="77777777" w:rsidR="00B07B3E" w:rsidRPr="005364F7" w:rsidRDefault="00B07B3E" w:rsidP="005364F7">
      <w:pPr>
        <w:spacing w:after="0" w:line="240" w:lineRule="auto"/>
        <w:ind w:left="426"/>
        <w:jc w:val="both"/>
        <w:rPr>
          <w:rFonts w:ascii="Arial" w:eastAsia="Times New Roman" w:hAnsi="Arial" w:cs="Arial"/>
          <w:bCs/>
          <w:i/>
          <w:color w:val="FF0000"/>
          <w:sz w:val="16"/>
          <w:szCs w:val="16"/>
          <w:lang w:val="nl-BE"/>
        </w:rPr>
      </w:pPr>
    </w:p>
    <w:p w14:paraId="04C488B9" w14:textId="77777777" w:rsidR="00550E78" w:rsidRPr="005364F7" w:rsidRDefault="00550E78" w:rsidP="005364F7">
      <w:pPr>
        <w:spacing w:after="0" w:line="240" w:lineRule="auto"/>
        <w:ind w:left="426"/>
        <w:jc w:val="both"/>
        <w:rPr>
          <w:rFonts w:ascii="Arial" w:eastAsia="Times New Roman" w:hAnsi="Arial" w:cs="Arial"/>
          <w:bCs/>
          <w:i/>
          <w:color w:val="FF0000"/>
          <w:sz w:val="16"/>
          <w:szCs w:val="16"/>
          <w:lang w:val="nl-BE"/>
        </w:rPr>
      </w:pPr>
    </w:p>
    <w:p w14:paraId="58CC437C" w14:textId="5A9927CC" w:rsidR="00D16F4C" w:rsidRPr="005364F7" w:rsidRDefault="00D16F4C" w:rsidP="005364F7">
      <w:pPr>
        <w:pStyle w:val="Lijstalinea"/>
        <w:numPr>
          <w:ilvl w:val="2"/>
          <w:numId w:val="31"/>
        </w:numPr>
        <w:spacing w:after="0"/>
        <w:jc w:val="both"/>
        <w:rPr>
          <w:rFonts w:ascii="Arial" w:hAnsi="Arial" w:cs="Arial"/>
          <w:b/>
          <w:color w:val="1C1A15"/>
          <w:sz w:val="24"/>
          <w:szCs w:val="24"/>
          <w:u w:val="single"/>
          <w:lang w:val="nl-BE"/>
        </w:rPr>
      </w:pPr>
      <w:r w:rsidRPr="005364F7">
        <w:rPr>
          <w:rFonts w:ascii="Arial" w:hAnsi="Arial" w:cs="Arial"/>
          <w:b/>
          <w:color w:val="1C1A15"/>
          <w:sz w:val="24"/>
          <w:szCs w:val="24"/>
          <w:u w:val="single"/>
          <w:lang w:val="nl-BE"/>
        </w:rPr>
        <w:t>Rekenvoorbeelden</w:t>
      </w:r>
    </w:p>
    <w:p w14:paraId="19F993C9" w14:textId="77777777" w:rsidR="00D16F4C" w:rsidRPr="005364F7" w:rsidRDefault="00D16F4C"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lang w:val="nl-BE"/>
        </w:rPr>
        <w:t xml:space="preserve">Zoals hierboven toegelicht moet er voor elke relevante berekeningsformule in het MMP minstens één rekenvoorbeeld toegevoegd worden met daadwerkelijke gegevens. Hoewel er voor de meeste MMP’s inderdaad rekenvoorbeelden werden toegevoegd, bevatten deze in </w:t>
      </w:r>
      <w:r w:rsidRPr="005364F7">
        <w:rPr>
          <w:rFonts w:ascii="Arial" w:hAnsi="Arial" w:cs="Arial"/>
          <w:color w:val="1C1A15"/>
          <w:lang w:val="nl-BE"/>
        </w:rPr>
        <w:t xml:space="preserve">een aantal gevallen enkel hard gecodeerde getallen zodat de berekeningen onbegrijpelijk of niet te volgen waren, of had het rekenvoorbeeld een heel ander formaat dan het baseline datasjabloon. </w:t>
      </w:r>
    </w:p>
    <w:p w14:paraId="2A49B84F" w14:textId="77777777" w:rsidR="00D16F4C" w:rsidRPr="005364F7" w:rsidRDefault="00D16F4C" w:rsidP="005364F7">
      <w:pPr>
        <w:autoSpaceDE w:val="0"/>
        <w:autoSpaceDN w:val="0"/>
        <w:adjustRightInd w:val="0"/>
        <w:spacing w:after="0" w:line="240" w:lineRule="auto"/>
        <w:jc w:val="both"/>
        <w:rPr>
          <w:rFonts w:ascii="Arial" w:hAnsi="Arial" w:cs="Arial"/>
          <w:b/>
          <w:color w:val="1C1A15"/>
          <w:lang w:val="nl-BE"/>
        </w:rPr>
      </w:pPr>
    </w:p>
    <w:p w14:paraId="258E7087" w14:textId="47CED501" w:rsidR="00D16F4C" w:rsidRPr="005364F7" w:rsidRDefault="00D16F4C" w:rsidP="005364F7">
      <w:pPr>
        <w:pStyle w:val="Lijstalinea"/>
        <w:numPr>
          <w:ilvl w:val="0"/>
          <w:numId w:val="29"/>
        </w:numPr>
        <w:autoSpaceDE w:val="0"/>
        <w:autoSpaceDN w:val="0"/>
        <w:adjustRightInd w:val="0"/>
        <w:spacing w:after="0" w:line="240" w:lineRule="auto"/>
        <w:jc w:val="both"/>
        <w:rPr>
          <w:rFonts w:ascii="Arial" w:hAnsi="Arial" w:cs="Arial"/>
          <w:b/>
          <w:color w:val="1C1A15"/>
          <w:lang w:val="nl-BE"/>
        </w:rPr>
      </w:pPr>
      <w:r w:rsidRPr="005364F7">
        <w:rPr>
          <w:rFonts w:ascii="Arial" w:hAnsi="Arial" w:cs="Arial"/>
          <w:b/>
          <w:color w:val="1C1A15"/>
          <w:lang w:val="nl-BE"/>
        </w:rPr>
        <w:t>Elke exploitant moet dus nagaan of de achterliggende formules zichtbaar zijn in de rekenvoorbeelden bij het MMP en of het voldoende duidelijk is welke cellen uit deze berekeningsbestanden uiteindelijk corresponderen met de verschillende secties in het baseline rapport en in het MMP.</w:t>
      </w:r>
    </w:p>
    <w:p w14:paraId="647FAD81" w14:textId="77777777" w:rsidR="00D16F4C" w:rsidRPr="005364F7" w:rsidRDefault="00D16F4C" w:rsidP="005364F7">
      <w:pPr>
        <w:autoSpaceDE w:val="0"/>
        <w:autoSpaceDN w:val="0"/>
        <w:adjustRightInd w:val="0"/>
        <w:spacing w:after="0" w:line="240" w:lineRule="auto"/>
        <w:jc w:val="both"/>
        <w:rPr>
          <w:rFonts w:ascii="Arial" w:hAnsi="Arial" w:cs="Arial"/>
          <w:color w:val="1C1A15"/>
          <w:lang w:val="nl-BE"/>
        </w:rPr>
      </w:pPr>
    </w:p>
    <w:p w14:paraId="11300C20" w14:textId="77777777" w:rsidR="00D16F4C" w:rsidRPr="005364F7" w:rsidRDefault="00D16F4C"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b/>
          <w:color w:val="1C1A15"/>
          <w:u w:val="single"/>
          <w:lang w:val="nl-BE"/>
        </w:rPr>
        <w:t>Noot:</w:t>
      </w:r>
      <w:r w:rsidRPr="005364F7">
        <w:rPr>
          <w:rFonts w:ascii="Arial" w:hAnsi="Arial" w:cs="Arial"/>
          <w:color w:val="1C1A15"/>
          <w:lang w:val="nl-BE"/>
        </w:rPr>
        <w:t xml:space="preserve"> de als bijlagen toegevoegde berekeningsfiles bij het MMP moeten illustreren hoe de berekeningsmethode in elkaar steekt en zal worden toegepast. Bij de beoordeling en goedkeuring van het MMP zal dus bekeken worden of de berekeningsmethode (m.a.w. de formules) in deze bijlage correct en voldoende duidelijk is. De gegevens zelf die zijn opgenomen in dergelijke berekeningsfiles worden echter als louter illustratief beschouwd, en worden dus niet goedgekeurd samen met het MMP. Deze gegevens zijn immers integraal onderdeel van het baseline rapport zelf, dat moet geverifieerd worden door een externe, geaccrediteerde verificatie-instelling.</w:t>
      </w:r>
    </w:p>
    <w:p w14:paraId="24971230" w14:textId="78C19784" w:rsidR="00DB4022" w:rsidRDefault="00DB4022">
      <w:pPr>
        <w:rPr>
          <w:rFonts w:ascii="Arial" w:hAnsi="Arial" w:cs="Arial"/>
          <w:b/>
          <w:color w:val="1C1A15"/>
          <w:sz w:val="24"/>
          <w:szCs w:val="24"/>
          <w:u w:val="single"/>
          <w:lang w:val="nl-BE"/>
        </w:rPr>
      </w:pPr>
      <w:r>
        <w:rPr>
          <w:rFonts w:ascii="Arial" w:hAnsi="Arial" w:cs="Arial"/>
          <w:b/>
          <w:color w:val="1C1A15"/>
          <w:sz w:val="24"/>
          <w:szCs w:val="24"/>
          <w:u w:val="single"/>
          <w:lang w:val="nl-BE"/>
        </w:rPr>
        <w:br w:type="page"/>
      </w:r>
    </w:p>
    <w:p w14:paraId="35DEA5EE" w14:textId="77777777" w:rsidR="00D16F4C" w:rsidRPr="005364F7" w:rsidRDefault="00D16F4C" w:rsidP="005364F7">
      <w:pPr>
        <w:pStyle w:val="Lijstalinea"/>
        <w:spacing w:after="0"/>
        <w:ind w:left="1080"/>
        <w:jc w:val="both"/>
        <w:rPr>
          <w:rFonts w:ascii="Arial" w:hAnsi="Arial" w:cs="Arial"/>
          <w:b/>
          <w:color w:val="1C1A15"/>
          <w:sz w:val="24"/>
          <w:szCs w:val="24"/>
          <w:u w:val="single"/>
          <w:lang w:val="nl-BE"/>
        </w:rPr>
      </w:pPr>
    </w:p>
    <w:p w14:paraId="1FE1EF82" w14:textId="2F45D207" w:rsidR="00222680" w:rsidRPr="005364F7" w:rsidRDefault="002A7BF5" w:rsidP="005364F7">
      <w:pPr>
        <w:pStyle w:val="Lijstalinea"/>
        <w:numPr>
          <w:ilvl w:val="2"/>
          <w:numId w:val="31"/>
        </w:numPr>
        <w:spacing w:after="0"/>
        <w:jc w:val="both"/>
        <w:rPr>
          <w:rFonts w:ascii="Arial" w:hAnsi="Arial" w:cs="Arial"/>
          <w:b/>
          <w:color w:val="1C1A15"/>
          <w:sz w:val="24"/>
          <w:szCs w:val="24"/>
          <w:u w:val="single"/>
          <w:lang w:val="nl-BE"/>
        </w:rPr>
      </w:pPr>
      <w:r w:rsidRPr="005364F7">
        <w:rPr>
          <w:rFonts w:ascii="Arial" w:hAnsi="Arial" w:cs="Arial"/>
          <w:b/>
          <w:color w:val="1C1A15"/>
          <w:sz w:val="24"/>
          <w:szCs w:val="24"/>
          <w:u w:val="single"/>
          <w:lang w:val="nl-BE"/>
        </w:rPr>
        <w:t>Kwaliteitsborging van meetapparatuur</w:t>
      </w:r>
    </w:p>
    <w:p w14:paraId="0516C922" w14:textId="77777777" w:rsidR="002A7BF5" w:rsidRPr="005364F7" w:rsidRDefault="002A7BF5" w:rsidP="005364F7">
      <w:pPr>
        <w:spacing w:after="0"/>
        <w:ind w:left="426" w:hanging="426"/>
        <w:jc w:val="both"/>
        <w:rPr>
          <w:rFonts w:ascii="Arial" w:hAnsi="Arial" w:cs="Arial"/>
          <w:b/>
          <w:color w:val="1C1A15"/>
          <w:sz w:val="20"/>
          <w:szCs w:val="20"/>
          <w:u w:val="single"/>
          <w:lang w:val="nl-BE"/>
        </w:rPr>
      </w:pPr>
    </w:p>
    <w:p w14:paraId="5FC5EC4F" w14:textId="41F28D49" w:rsidR="001A67D8" w:rsidRPr="005364F7" w:rsidRDefault="002A7BF5"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De FAR (Art. 11.3 a) vraagt naar kwaliteitsborging van de meetapparatuur en </w:t>
      </w:r>
      <w:r w:rsidR="00746E35" w:rsidRPr="005364F7">
        <w:rPr>
          <w:rFonts w:ascii="Arial" w:hAnsi="Arial" w:cs="Arial"/>
          <w:color w:val="1C1A15"/>
          <w:lang w:val="nl-BE"/>
        </w:rPr>
        <w:t>G</w:t>
      </w:r>
      <w:r w:rsidRPr="005364F7">
        <w:rPr>
          <w:rFonts w:ascii="Arial" w:hAnsi="Arial" w:cs="Arial"/>
          <w:color w:val="1C1A15"/>
          <w:lang w:val="nl-BE"/>
        </w:rPr>
        <w:t xml:space="preserve">uidance </w:t>
      </w:r>
      <w:r w:rsidR="00746E35" w:rsidRPr="005364F7">
        <w:rPr>
          <w:rFonts w:ascii="Arial" w:hAnsi="Arial" w:cs="Arial"/>
          <w:color w:val="1C1A15"/>
          <w:lang w:val="nl-BE"/>
        </w:rPr>
        <w:t xml:space="preserve">Document </w:t>
      </w:r>
      <w:r w:rsidRPr="005364F7">
        <w:rPr>
          <w:rFonts w:ascii="Arial" w:hAnsi="Arial" w:cs="Arial"/>
          <w:color w:val="1C1A15"/>
          <w:lang w:val="nl-BE"/>
        </w:rPr>
        <w:t xml:space="preserve">5 specificeert verder dat meetapparaten gebruikt in het MMP om data te verzamelen op dezelfde manier </w:t>
      </w:r>
      <w:r w:rsidR="00550E78" w:rsidRPr="005364F7">
        <w:rPr>
          <w:rFonts w:ascii="Arial" w:hAnsi="Arial" w:cs="Arial"/>
          <w:color w:val="1C1A15"/>
          <w:lang w:val="nl-BE"/>
        </w:rPr>
        <w:t xml:space="preserve">moeten </w:t>
      </w:r>
      <w:r w:rsidRPr="005364F7">
        <w:rPr>
          <w:rFonts w:ascii="Arial" w:hAnsi="Arial" w:cs="Arial"/>
          <w:color w:val="1C1A15"/>
          <w:lang w:val="nl-BE"/>
        </w:rPr>
        <w:t>onderhouden worden als deze uit het monitoringplan, d.w.z. regelmatig gekalibreerd</w:t>
      </w:r>
      <w:r w:rsidR="00550E78" w:rsidRPr="005364F7">
        <w:rPr>
          <w:rFonts w:ascii="Arial" w:hAnsi="Arial" w:cs="Arial"/>
          <w:color w:val="1C1A15"/>
          <w:lang w:val="nl-BE"/>
        </w:rPr>
        <w:t xml:space="preserve"> en jaarlijks gecontroleerd</w:t>
      </w:r>
      <w:r w:rsidRPr="005364F7">
        <w:rPr>
          <w:rFonts w:ascii="Arial" w:hAnsi="Arial" w:cs="Arial"/>
          <w:color w:val="1C1A15"/>
          <w:lang w:val="nl-BE"/>
        </w:rPr>
        <w:t xml:space="preserve">. </w:t>
      </w:r>
      <w:r w:rsidR="00D16F4C" w:rsidRPr="005364F7">
        <w:rPr>
          <w:rFonts w:ascii="Arial" w:hAnsi="Arial" w:cs="Arial"/>
          <w:lang w:val="nl-BE"/>
        </w:rPr>
        <w:t xml:space="preserve">De procedure en het onderhoudsprogramma hiertoe moet beschreven worden in Tab_D II (d) van het MMP. </w:t>
      </w:r>
      <w:r w:rsidR="00D16F4C" w:rsidRPr="005364F7">
        <w:rPr>
          <w:rFonts w:ascii="Arial" w:hAnsi="Arial" w:cs="Arial"/>
          <w:color w:val="1C1A15"/>
          <w:lang w:val="nl-BE"/>
        </w:rPr>
        <w:t>B</w:t>
      </w:r>
      <w:r w:rsidR="001A67D8" w:rsidRPr="005364F7">
        <w:rPr>
          <w:rFonts w:ascii="Arial" w:hAnsi="Arial" w:cs="Arial"/>
          <w:color w:val="1C1A15"/>
          <w:lang w:val="nl-BE"/>
        </w:rPr>
        <w:t xml:space="preserve">ij de beoordeling van de </w:t>
      </w:r>
      <w:r w:rsidR="00D16F4C" w:rsidRPr="005364F7">
        <w:rPr>
          <w:rFonts w:ascii="Arial" w:hAnsi="Arial" w:cs="Arial"/>
          <w:color w:val="1C1A15"/>
          <w:lang w:val="nl-BE"/>
        </w:rPr>
        <w:t xml:space="preserve">reeds goedgekeurde </w:t>
      </w:r>
      <w:r w:rsidR="001A67D8" w:rsidRPr="005364F7">
        <w:rPr>
          <w:rFonts w:ascii="Arial" w:hAnsi="Arial" w:cs="Arial"/>
          <w:color w:val="1C1A15"/>
          <w:lang w:val="nl-BE"/>
        </w:rPr>
        <w:t xml:space="preserve">MMPs </w:t>
      </w:r>
      <w:r w:rsidR="00D16F4C" w:rsidRPr="005364F7">
        <w:rPr>
          <w:rFonts w:ascii="Arial" w:hAnsi="Arial" w:cs="Arial"/>
          <w:color w:val="1C1A15"/>
          <w:lang w:val="nl-BE"/>
        </w:rPr>
        <w:t xml:space="preserve">is echter </w:t>
      </w:r>
      <w:r w:rsidR="001A67D8" w:rsidRPr="005364F7">
        <w:rPr>
          <w:rFonts w:ascii="Arial" w:hAnsi="Arial" w:cs="Arial"/>
          <w:color w:val="1C1A15"/>
          <w:lang w:val="nl-BE"/>
        </w:rPr>
        <w:t>vastgesteld dat</w:t>
      </w:r>
      <w:r w:rsidR="00D16F4C" w:rsidRPr="005364F7">
        <w:rPr>
          <w:rFonts w:ascii="Arial" w:hAnsi="Arial" w:cs="Arial"/>
          <w:color w:val="1C1A15"/>
          <w:lang w:val="nl-BE"/>
        </w:rPr>
        <w:t xml:space="preserve"> deze procedure onvoldoende was uitgewerkt, en dat</w:t>
      </w:r>
      <w:r w:rsidR="001A67D8" w:rsidRPr="005364F7">
        <w:rPr>
          <w:rFonts w:ascii="Arial" w:hAnsi="Arial" w:cs="Arial"/>
          <w:color w:val="1C1A15"/>
          <w:lang w:val="nl-BE"/>
        </w:rPr>
        <w:t xml:space="preserve"> bvb. stoommeters</w:t>
      </w:r>
      <w:r w:rsidR="00D16F4C" w:rsidRPr="005364F7">
        <w:rPr>
          <w:rFonts w:ascii="Arial" w:hAnsi="Arial" w:cs="Arial"/>
          <w:color w:val="1C1A15"/>
          <w:lang w:val="nl-BE"/>
        </w:rPr>
        <w:t xml:space="preserve"> - </w:t>
      </w:r>
      <w:r w:rsidR="001A67D8" w:rsidRPr="005364F7">
        <w:rPr>
          <w:rFonts w:ascii="Arial" w:hAnsi="Arial" w:cs="Arial"/>
          <w:color w:val="1C1A15"/>
          <w:lang w:val="nl-BE"/>
        </w:rPr>
        <w:t>die in vele gevallen gebruikt worden voor de berekening van het activiteitsniveau van de warmtebenchmark sub-installatie</w:t>
      </w:r>
      <w:r w:rsidR="00D16F4C" w:rsidRPr="005364F7">
        <w:rPr>
          <w:rFonts w:ascii="Arial" w:hAnsi="Arial" w:cs="Arial"/>
          <w:color w:val="1C1A15"/>
          <w:lang w:val="nl-BE"/>
        </w:rPr>
        <w:t xml:space="preserve"> - </w:t>
      </w:r>
      <w:r w:rsidR="001A67D8" w:rsidRPr="005364F7">
        <w:rPr>
          <w:rFonts w:ascii="Arial" w:hAnsi="Arial" w:cs="Arial"/>
          <w:color w:val="1C1A15"/>
          <w:lang w:val="nl-BE"/>
        </w:rPr>
        <w:t xml:space="preserve">vaak onvoldoende onderhouden worden. </w:t>
      </w:r>
    </w:p>
    <w:p w14:paraId="6BC18D83" w14:textId="77777777" w:rsidR="00D16F4C" w:rsidRPr="005364F7" w:rsidRDefault="00D16F4C" w:rsidP="005364F7">
      <w:pPr>
        <w:autoSpaceDE w:val="0"/>
        <w:autoSpaceDN w:val="0"/>
        <w:adjustRightInd w:val="0"/>
        <w:spacing w:after="0" w:line="240" w:lineRule="auto"/>
        <w:jc w:val="both"/>
        <w:rPr>
          <w:rFonts w:ascii="Arial" w:hAnsi="Arial" w:cs="Arial"/>
          <w:color w:val="1C1A15"/>
          <w:lang w:val="nl-BE"/>
        </w:rPr>
      </w:pPr>
    </w:p>
    <w:p w14:paraId="45C0F253" w14:textId="1008DBCC" w:rsidR="00D16F4C" w:rsidRPr="005364F7" w:rsidRDefault="00D16F4C" w:rsidP="005364F7">
      <w:pPr>
        <w:pStyle w:val="Lijstalinea"/>
        <w:numPr>
          <w:ilvl w:val="0"/>
          <w:numId w:val="29"/>
        </w:numPr>
        <w:jc w:val="both"/>
        <w:rPr>
          <w:rFonts w:ascii="Arial" w:hAnsi="Arial" w:cs="Arial"/>
          <w:b/>
          <w:lang w:val="nl-BE"/>
        </w:rPr>
      </w:pPr>
      <w:r w:rsidRPr="005364F7">
        <w:rPr>
          <w:rFonts w:ascii="Arial" w:hAnsi="Arial" w:cs="Arial"/>
          <w:b/>
          <w:lang w:val="nl-BE"/>
        </w:rPr>
        <w:t xml:space="preserve">Elke exploitant moet daarom in TAB_D II (d) een procedure uitwerken waarin het onderhoudsprogramma van de gehanteerde meetappartuur wordt beschreven, en dit onderhoudsprogramma vervolgens ook uitvoeren. </w:t>
      </w:r>
    </w:p>
    <w:p w14:paraId="1731AC76" w14:textId="77777777" w:rsidR="002A7BF5" w:rsidRPr="005364F7" w:rsidRDefault="002A7BF5" w:rsidP="005364F7">
      <w:pPr>
        <w:spacing w:after="0"/>
        <w:jc w:val="both"/>
        <w:rPr>
          <w:rFonts w:ascii="Arial" w:hAnsi="Arial" w:cs="Arial"/>
          <w:b/>
          <w:color w:val="1C1A15"/>
          <w:sz w:val="16"/>
          <w:szCs w:val="16"/>
          <w:u w:val="single"/>
          <w:lang w:val="nl-BE"/>
        </w:rPr>
      </w:pPr>
    </w:p>
    <w:p w14:paraId="763A548A" w14:textId="74080E72" w:rsidR="002A7BF5" w:rsidRPr="005364F7" w:rsidRDefault="002A7BF5" w:rsidP="005364F7">
      <w:pPr>
        <w:pStyle w:val="Lijstalinea"/>
        <w:numPr>
          <w:ilvl w:val="2"/>
          <w:numId w:val="31"/>
        </w:numPr>
        <w:spacing w:after="0"/>
        <w:ind w:left="709" w:hanging="709"/>
        <w:jc w:val="both"/>
        <w:rPr>
          <w:rFonts w:ascii="Arial" w:hAnsi="Arial" w:cs="Arial"/>
          <w:b/>
          <w:color w:val="1C1A15"/>
          <w:sz w:val="24"/>
          <w:szCs w:val="24"/>
          <w:u w:val="single"/>
          <w:lang w:val="nl-BE"/>
        </w:rPr>
      </w:pPr>
      <w:r w:rsidRPr="005364F7">
        <w:rPr>
          <w:rFonts w:ascii="Arial" w:hAnsi="Arial" w:cs="Arial"/>
          <w:b/>
          <w:color w:val="1C1A15"/>
          <w:sz w:val="24"/>
          <w:szCs w:val="24"/>
          <w:u w:val="single"/>
          <w:lang w:val="nl-BE"/>
        </w:rPr>
        <w:t>Correct invullen van de methodiek</w:t>
      </w:r>
      <w:r w:rsidR="00B658E5" w:rsidRPr="005364F7">
        <w:rPr>
          <w:rFonts w:ascii="Arial" w:hAnsi="Arial" w:cs="Arial"/>
          <w:b/>
          <w:color w:val="1C1A15"/>
          <w:sz w:val="24"/>
          <w:szCs w:val="24"/>
          <w:u w:val="single"/>
          <w:lang w:val="nl-BE"/>
        </w:rPr>
        <w:t>en</w:t>
      </w:r>
    </w:p>
    <w:p w14:paraId="6880D017" w14:textId="77777777" w:rsidR="00FF2D46" w:rsidRPr="005364F7" w:rsidRDefault="00FF2D46" w:rsidP="005364F7">
      <w:pPr>
        <w:spacing w:after="0"/>
        <w:ind w:left="426"/>
        <w:jc w:val="both"/>
        <w:rPr>
          <w:rFonts w:ascii="Arial" w:hAnsi="Arial" w:cs="Arial"/>
          <w:color w:val="1C1A15"/>
          <w:sz w:val="16"/>
          <w:szCs w:val="16"/>
          <w:lang w:val="nl-BE"/>
        </w:rPr>
      </w:pPr>
    </w:p>
    <w:p w14:paraId="1E2FACCF" w14:textId="0B20DD34" w:rsidR="00FF2D46" w:rsidRPr="005364F7" w:rsidRDefault="00FF2D46" w:rsidP="005364F7">
      <w:pPr>
        <w:spacing w:after="0"/>
        <w:jc w:val="both"/>
        <w:rPr>
          <w:rFonts w:ascii="Arial" w:hAnsi="Arial" w:cs="Arial"/>
          <w:color w:val="1C1A15"/>
          <w:lang w:val="nl-BE"/>
        </w:rPr>
      </w:pPr>
      <w:r w:rsidRPr="005364F7">
        <w:rPr>
          <w:rFonts w:ascii="Arial" w:hAnsi="Arial" w:cs="Arial"/>
          <w:color w:val="1C1A15"/>
          <w:lang w:val="nl-BE"/>
        </w:rPr>
        <w:t xml:space="preserve">Vaak werden methodieken in het MMP onvolledig of onduidelijk ingevuld. We nemen als voorbeeld de beschrijving van de methodiek </w:t>
      </w:r>
      <w:r w:rsidRPr="005364F7">
        <w:rPr>
          <w:rFonts w:ascii="Arial" w:hAnsi="Arial" w:cs="Arial"/>
          <w:i/>
          <w:color w:val="1C1A15"/>
          <w:lang w:val="nl-BE"/>
        </w:rPr>
        <w:t>voor ‘Meetbare warmte op installatieniveau’</w:t>
      </w:r>
      <w:r w:rsidRPr="005364F7">
        <w:rPr>
          <w:rFonts w:ascii="Arial" w:hAnsi="Arial" w:cs="Arial"/>
          <w:color w:val="1C1A15"/>
          <w:lang w:val="nl-BE"/>
        </w:rPr>
        <w:t xml:space="preserve"> in TAB_E </w:t>
      </w:r>
      <w:r w:rsidRPr="00DB4022">
        <w:rPr>
          <w:rFonts w:ascii="Arial" w:hAnsi="Arial" w:cs="Arial"/>
          <w:color w:val="1C1A15"/>
          <w:lang w:val="nl-BE"/>
        </w:rPr>
        <w:t>II</w:t>
      </w:r>
      <w:r w:rsidRPr="005364F7">
        <w:rPr>
          <w:rFonts w:ascii="Arial" w:hAnsi="Arial" w:cs="Arial"/>
          <w:color w:val="1C1A15"/>
          <w:lang w:val="nl-BE"/>
        </w:rPr>
        <w:t xml:space="preserve"> (a) ii 3. De tekst in het MMP ge</w:t>
      </w:r>
      <w:r w:rsidR="00550E78" w:rsidRPr="005364F7">
        <w:rPr>
          <w:rFonts w:ascii="Arial" w:hAnsi="Arial" w:cs="Arial"/>
          <w:color w:val="1C1A15"/>
          <w:lang w:val="nl-BE"/>
        </w:rPr>
        <w:t>eft duidelijk aan dat men hierbij</w:t>
      </w:r>
      <w:r w:rsidRPr="005364F7">
        <w:rPr>
          <w:rFonts w:ascii="Arial" w:hAnsi="Arial" w:cs="Arial"/>
          <w:color w:val="1C1A15"/>
          <w:lang w:val="nl-BE"/>
        </w:rPr>
        <w:t xml:space="preserve"> vier stappen moet onderscheiden in meetbare warmte, namelijk:</w:t>
      </w:r>
    </w:p>
    <w:p w14:paraId="260548C2" w14:textId="77777777" w:rsidR="00FF2D46" w:rsidRPr="005364F7" w:rsidRDefault="00FF2D46" w:rsidP="005364F7">
      <w:pPr>
        <w:pStyle w:val="Lijstalinea"/>
        <w:numPr>
          <w:ilvl w:val="0"/>
          <w:numId w:val="11"/>
        </w:numPr>
        <w:spacing w:after="0"/>
        <w:ind w:left="709" w:hanging="283"/>
        <w:jc w:val="both"/>
        <w:rPr>
          <w:rFonts w:ascii="Arial" w:hAnsi="Arial" w:cs="Arial"/>
          <w:color w:val="1C1A15"/>
          <w:lang w:val="nl-BE"/>
        </w:rPr>
      </w:pPr>
      <w:r w:rsidRPr="005364F7">
        <w:rPr>
          <w:rFonts w:ascii="Arial" w:hAnsi="Arial" w:cs="Arial"/>
          <w:color w:val="1C1A15"/>
          <w:lang w:val="nl-BE"/>
        </w:rPr>
        <w:t xml:space="preserve">invoer </w:t>
      </w:r>
    </w:p>
    <w:p w14:paraId="33C4FFDC" w14:textId="77777777" w:rsidR="00FF2D46" w:rsidRPr="005364F7" w:rsidRDefault="00FF2D46" w:rsidP="005364F7">
      <w:pPr>
        <w:pStyle w:val="Lijstalinea"/>
        <w:numPr>
          <w:ilvl w:val="0"/>
          <w:numId w:val="11"/>
        </w:numPr>
        <w:spacing w:after="0"/>
        <w:ind w:left="709" w:hanging="283"/>
        <w:jc w:val="both"/>
        <w:rPr>
          <w:rFonts w:ascii="Arial" w:hAnsi="Arial" w:cs="Arial"/>
          <w:color w:val="1C1A15"/>
          <w:lang w:val="nl-BE"/>
        </w:rPr>
      </w:pPr>
      <w:r w:rsidRPr="005364F7">
        <w:rPr>
          <w:rFonts w:ascii="Arial" w:hAnsi="Arial" w:cs="Arial"/>
          <w:color w:val="1C1A15"/>
          <w:lang w:val="nl-BE"/>
        </w:rPr>
        <w:t>uitvoer</w:t>
      </w:r>
    </w:p>
    <w:p w14:paraId="27987C68" w14:textId="77777777" w:rsidR="00FF2D46" w:rsidRPr="005364F7" w:rsidRDefault="00FF2D46" w:rsidP="005364F7">
      <w:pPr>
        <w:pStyle w:val="Lijstalinea"/>
        <w:numPr>
          <w:ilvl w:val="0"/>
          <w:numId w:val="11"/>
        </w:numPr>
        <w:spacing w:after="0"/>
        <w:ind w:left="709" w:hanging="283"/>
        <w:jc w:val="both"/>
        <w:rPr>
          <w:rFonts w:ascii="Arial" w:hAnsi="Arial" w:cs="Arial"/>
          <w:color w:val="1C1A15"/>
          <w:lang w:val="nl-BE"/>
        </w:rPr>
      </w:pPr>
      <w:r w:rsidRPr="005364F7">
        <w:rPr>
          <w:rFonts w:ascii="Arial" w:hAnsi="Arial" w:cs="Arial"/>
          <w:color w:val="1C1A15"/>
          <w:lang w:val="nl-BE"/>
        </w:rPr>
        <w:t>productie</w:t>
      </w:r>
    </w:p>
    <w:p w14:paraId="1FE96153" w14:textId="14FC722C" w:rsidR="00FF2D46" w:rsidRPr="005364F7" w:rsidRDefault="00FF2D46" w:rsidP="005364F7">
      <w:pPr>
        <w:pStyle w:val="Lijstalinea"/>
        <w:numPr>
          <w:ilvl w:val="0"/>
          <w:numId w:val="11"/>
        </w:numPr>
        <w:spacing w:after="0"/>
        <w:ind w:left="709" w:hanging="283"/>
        <w:jc w:val="both"/>
        <w:rPr>
          <w:rFonts w:ascii="Arial" w:hAnsi="Arial" w:cs="Arial"/>
          <w:color w:val="1C1A15"/>
          <w:lang w:val="nl-BE"/>
        </w:rPr>
      </w:pPr>
      <w:r w:rsidRPr="005364F7">
        <w:rPr>
          <w:rFonts w:ascii="Arial" w:hAnsi="Arial" w:cs="Arial"/>
          <w:color w:val="1C1A15"/>
          <w:lang w:val="nl-BE"/>
        </w:rPr>
        <w:t>verbruik</w:t>
      </w:r>
    </w:p>
    <w:p w14:paraId="33B4B4B6" w14:textId="77777777" w:rsidR="003D3FD8" w:rsidRPr="005364F7" w:rsidRDefault="003D3FD8" w:rsidP="005364F7">
      <w:pPr>
        <w:spacing w:after="0"/>
        <w:jc w:val="both"/>
        <w:rPr>
          <w:rFonts w:ascii="Arial" w:hAnsi="Arial" w:cs="Arial"/>
          <w:color w:val="1C1A15"/>
          <w:lang w:val="nl-BE"/>
        </w:rPr>
      </w:pPr>
    </w:p>
    <w:p w14:paraId="574761D3" w14:textId="4075127C" w:rsidR="00FF2D46" w:rsidRPr="005364F7" w:rsidRDefault="00FF2D46" w:rsidP="005364F7">
      <w:pPr>
        <w:pStyle w:val="Lijstalinea"/>
        <w:numPr>
          <w:ilvl w:val="0"/>
          <w:numId w:val="29"/>
        </w:numPr>
        <w:spacing w:after="0"/>
        <w:jc w:val="both"/>
        <w:rPr>
          <w:rFonts w:ascii="Arial" w:hAnsi="Arial" w:cs="Arial"/>
          <w:b/>
          <w:color w:val="1C1A15"/>
          <w:lang w:val="nl-BE"/>
        </w:rPr>
      </w:pPr>
      <w:r w:rsidRPr="005364F7">
        <w:rPr>
          <w:rFonts w:ascii="Arial" w:hAnsi="Arial" w:cs="Arial"/>
          <w:b/>
          <w:color w:val="1C1A15"/>
          <w:lang w:val="nl-BE"/>
        </w:rPr>
        <w:t>Voor elk van die vier stappen dient de exploitant de gegevensbronnen, berekeningsstappen en berekeningsformules op te nemen in deze rubriek – of te verwijzen naar een bijlage. Indien bepaalde stappen niet aanwezig zijn (bvb</w:t>
      </w:r>
      <w:r w:rsidR="003D3FD8" w:rsidRPr="005364F7">
        <w:rPr>
          <w:rFonts w:ascii="Arial" w:hAnsi="Arial" w:cs="Arial"/>
          <w:b/>
          <w:color w:val="1C1A15"/>
          <w:lang w:val="nl-BE"/>
        </w:rPr>
        <w:t>.</w:t>
      </w:r>
      <w:r w:rsidRPr="005364F7">
        <w:rPr>
          <w:rFonts w:ascii="Arial" w:hAnsi="Arial" w:cs="Arial"/>
          <w:b/>
          <w:color w:val="1C1A15"/>
          <w:lang w:val="nl-BE"/>
        </w:rPr>
        <w:t xml:space="preserve"> uitvoer van meetbare warmte) vermeldt hij dat, zodat duidelijk is dat deze stap niet vergeten is.</w:t>
      </w:r>
    </w:p>
    <w:p w14:paraId="40DF2003" w14:textId="77777777" w:rsidR="0043165D" w:rsidRPr="005364F7" w:rsidRDefault="0043165D" w:rsidP="005364F7">
      <w:pPr>
        <w:spacing w:after="0"/>
        <w:jc w:val="both"/>
        <w:rPr>
          <w:rFonts w:ascii="Arial" w:hAnsi="Arial" w:cs="Arial"/>
          <w:b/>
          <w:color w:val="1C1A15"/>
          <w:sz w:val="16"/>
          <w:szCs w:val="16"/>
          <w:u w:val="single"/>
          <w:lang w:val="nl-BE"/>
        </w:rPr>
      </w:pPr>
    </w:p>
    <w:p w14:paraId="5FFC5C98" w14:textId="77777777" w:rsidR="001A67D8" w:rsidRPr="005364F7" w:rsidRDefault="001A67D8" w:rsidP="005364F7">
      <w:pPr>
        <w:spacing w:after="0"/>
        <w:jc w:val="both"/>
        <w:rPr>
          <w:rFonts w:ascii="Arial" w:hAnsi="Arial" w:cs="Arial"/>
          <w:b/>
          <w:color w:val="1C1A15"/>
          <w:sz w:val="16"/>
          <w:szCs w:val="16"/>
          <w:u w:val="single"/>
          <w:lang w:val="nl-BE"/>
        </w:rPr>
      </w:pPr>
    </w:p>
    <w:p w14:paraId="1A1F3794" w14:textId="3AA3DBA5" w:rsidR="00FF2D46" w:rsidRPr="005364F7" w:rsidRDefault="00FF2D46" w:rsidP="005364F7">
      <w:pPr>
        <w:pStyle w:val="Lijstalinea"/>
        <w:numPr>
          <w:ilvl w:val="2"/>
          <w:numId w:val="31"/>
        </w:numPr>
        <w:spacing w:after="0"/>
        <w:ind w:left="709" w:hanging="709"/>
        <w:jc w:val="both"/>
        <w:rPr>
          <w:rFonts w:ascii="Arial" w:hAnsi="Arial" w:cs="Arial"/>
          <w:b/>
          <w:color w:val="1C1A15"/>
          <w:sz w:val="24"/>
          <w:szCs w:val="24"/>
          <w:u w:val="single"/>
          <w:lang w:val="nl-BE"/>
        </w:rPr>
      </w:pPr>
      <w:r w:rsidRPr="005364F7">
        <w:rPr>
          <w:rFonts w:ascii="Arial" w:hAnsi="Arial" w:cs="Arial"/>
          <w:b/>
          <w:color w:val="1C1A15"/>
          <w:sz w:val="24"/>
          <w:szCs w:val="24"/>
          <w:u w:val="single"/>
          <w:lang w:val="nl-BE"/>
        </w:rPr>
        <w:t>Procedures in TAB_D II</w:t>
      </w:r>
    </w:p>
    <w:p w14:paraId="67722541" w14:textId="77777777" w:rsidR="00B658E5" w:rsidRPr="005364F7" w:rsidRDefault="00B658E5" w:rsidP="005364F7">
      <w:pPr>
        <w:spacing w:after="0"/>
        <w:jc w:val="both"/>
        <w:rPr>
          <w:rFonts w:ascii="Arial" w:hAnsi="Arial" w:cs="Arial"/>
          <w:b/>
          <w:color w:val="1C1A15"/>
          <w:sz w:val="24"/>
          <w:szCs w:val="24"/>
          <w:u w:val="single"/>
          <w:lang w:val="nl-BE"/>
        </w:rPr>
      </w:pPr>
    </w:p>
    <w:p w14:paraId="09951994" w14:textId="74A0B5CF" w:rsidR="00762BD7" w:rsidRPr="005364F7" w:rsidRDefault="00B658E5" w:rsidP="005364F7">
      <w:pPr>
        <w:spacing w:after="0"/>
        <w:jc w:val="both"/>
        <w:rPr>
          <w:rFonts w:ascii="Arial" w:hAnsi="Arial" w:cs="Arial"/>
          <w:color w:val="1C1A15"/>
          <w:lang w:val="nl-BE"/>
        </w:rPr>
      </w:pPr>
      <w:r w:rsidRPr="005364F7">
        <w:rPr>
          <w:rFonts w:ascii="Arial" w:hAnsi="Arial" w:cs="Arial"/>
          <w:color w:val="1C1A15"/>
          <w:lang w:val="nl-BE"/>
        </w:rPr>
        <w:t xml:space="preserve">Omwille van tijdsnood is het deel ‘Procedures’ van TAB_D II niet kritisch bekeken bij de beoordeling van de MMP’s. De meeste </w:t>
      </w:r>
      <w:r w:rsidR="00762BD7" w:rsidRPr="005364F7">
        <w:rPr>
          <w:rFonts w:ascii="Arial" w:hAnsi="Arial" w:cs="Arial"/>
          <w:color w:val="1C1A15"/>
          <w:lang w:val="nl-BE"/>
        </w:rPr>
        <w:t xml:space="preserve">exploitanten </w:t>
      </w:r>
      <w:r w:rsidRPr="005364F7">
        <w:rPr>
          <w:rFonts w:ascii="Arial" w:hAnsi="Arial" w:cs="Arial"/>
          <w:color w:val="1C1A15"/>
          <w:lang w:val="nl-BE"/>
        </w:rPr>
        <w:t xml:space="preserve">hebben dit deel </w:t>
      </w:r>
      <w:r w:rsidR="00762BD7" w:rsidRPr="005364F7">
        <w:rPr>
          <w:rFonts w:ascii="Arial" w:hAnsi="Arial" w:cs="Arial"/>
          <w:color w:val="1C1A15"/>
          <w:lang w:val="nl-BE"/>
        </w:rPr>
        <w:t>zeer beperkt uitgewerkt</w:t>
      </w:r>
      <w:r w:rsidR="00550E78" w:rsidRPr="005364F7">
        <w:rPr>
          <w:rFonts w:ascii="Arial" w:hAnsi="Arial" w:cs="Arial"/>
          <w:color w:val="1C1A15"/>
          <w:lang w:val="nl-BE"/>
        </w:rPr>
        <w:t xml:space="preserve">. </w:t>
      </w:r>
    </w:p>
    <w:p w14:paraId="6323ABE9" w14:textId="77777777" w:rsidR="00762BD7" w:rsidRPr="005364F7" w:rsidRDefault="00762BD7" w:rsidP="005364F7">
      <w:pPr>
        <w:spacing w:after="0"/>
        <w:jc w:val="both"/>
        <w:rPr>
          <w:rFonts w:ascii="Arial" w:hAnsi="Arial" w:cs="Arial"/>
          <w:b/>
          <w:color w:val="1C1A15"/>
          <w:lang w:val="nl-BE"/>
        </w:rPr>
      </w:pPr>
    </w:p>
    <w:p w14:paraId="3F2C46E7" w14:textId="2F43EA52" w:rsidR="00762BD7" w:rsidRPr="005364F7" w:rsidRDefault="00762BD7" w:rsidP="005364F7">
      <w:pPr>
        <w:pStyle w:val="Lijstalinea"/>
        <w:numPr>
          <w:ilvl w:val="0"/>
          <w:numId w:val="29"/>
        </w:numPr>
        <w:spacing w:after="0"/>
        <w:jc w:val="both"/>
        <w:rPr>
          <w:rFonts w:ascii="Arial" w:hAnsi="Arial" w:cs="Arial"/>
          <w:b/>
          <w:color w:val="1C1A15"/>
          <w:lang w:val="nl-BE"/>
        </w:rPr>
      </w:pPr>
      <w:r w:rsidRPr="005364F7">
        <w:rPr>
          <w:rFonts w:ascii="Arial" w:hAnsi="Arial" w:cs="Arial"/>
          <w:b/>
          <w:color w:val="1C1A15"/>
          <w:lang w:val="nl-BE"/>
        </w:rPr>
        <w:t>Voor de herwerking van het MMP moet elke exploitant nagaan of de</w:t>
      </w:r>
      <w:r w:rsidR="00B658E5" w:rsidRPr="005364F7">
        <w:rPr>
          <w:rFonts w:ascii="Arial" w:hAnsi="Arial" w:cs="Arial"/>
          <w:b/>
          <w:color w:val="1C1A15"/>
          <w:lang w:val="nl-BE"/>
        </w:rPr>
        <w:t xml:space="preserve"> procedures </w:t>
      </w:r>
      <w:r w:rsidRPr="005364F7">
        <w:rPr>
          <w:rFonts w:ascii="Arial" w:hAnsi="Arial" w:cs="Arial"/>
          <w:b/>
          <w:color w:val="1C1A15"/>
          <w:lang w:val="nl-BE"/>
        </w:rPr>
        <w:t xml:space="preserve">in TAB_D_II voldoende en </w:t>
      </w:r>
      <w:r w:rsidR="00B658E5" w:rsidRPr="005364F7">
        <w:rPr>
          <w:rFonts w:ascii="Arial" w:hAnsi="Arial" w:cs="Arial"/>
          <w:b/>
          <w:color w:val="1C1A15"/>
          <w:lang w:val="nl-BE"/>
        </w:rPr>
        <w:t xml:space="preserve">correct </w:t>
      </w:r>
      <w:r w:rsidRPr="005364F7">
        <w:rPr>
          <w:rFonts w:ascii="Arial" w:hAnsi="Arial" w:cs="Arial"/>
          <w:b/>
          <w:color w:val="1C1A15"/>
          <w:lang w:val="nl-BE"/>
        </w:rPr>
        <w:t xml:space="preserve">zijn </w:t>
      </w:r>
      <w:r w:rsidR="00B658E5" w:rsidRPr="005364F7">
        <w:rPr>
          <w:rFonts w:ascii="Arial" w:hAnsi="Arial" w:cs="Arial"/>
          <w:b/>
          <w:color w:val="1C1A15"/>
          <w:lang w:val="nl-BE"/>
        </w:rPr>
        <w:t>opgesteld</w:t>
      </w:r>
      <w:r w:rsidRPr="005364F7">
        <w:rPr>
          <w:rFonts w:ascii="Arial" w:hAnsi="Arial" w:cs="Arial"/>
          <w:b/>
          <w:color w:val="1C1A15"/>
          <w:lang w:val="nl-BE"/>
        </w:rPr>
        <w:t>, en waar nodig de procedures verder verduidelijken en aanvullen</w:t>
      </w:r>
      <w:r w:rsidR="00B658E5" w:rsidRPr="005364F7">
        <w:rPr>
          <w:rFonts w:ascii="Arial" w:hAnsi="Arial" w:cs="Arial"/>
          <w:b/>
          <w:color w:val="1C1A15"/>
          <w:lang w:val="nl-BE"/>
        </w:rPr>
        <w:t xml:space="preserve">. </w:t>
      </w:r>
      <w:r w:rsidRPr="005364F7">
        <w:rPr>
          <w:rFonts w:ascii="Arial" w:hAnsi="Arial" w:cs="Arial"/>
          <w:b/>
          <w:color w:val="1C1A15"/>
          <w:lang w:val="nl-BE"/>
        </w:rPr>
        <w:t>We vragen daarbij bijzondere aandacht voor procedures c en d die inhoudelijk verschillen van analoge procedures uit het monitoringplan.</w:t>
      </w:r>
    </w:p>
    <w:p w14:paraId="15B4BDFC" w14:textId="77777777" w:rsidR="00762BD7" w:rsidRPr="005364F7" w:rsidRDefault="00762BD7" w:rsidP="005364F7">
      <w:pPr>
        <w:spacing w:after="0"/>
        <w:jc w:val="both"/>
        <w:rPr>
          <w:rFonts w:ascii="Arial" w:hAnsi="Arial" w:cs="Arial"/>
          <w:color w:val="1C1A15"/>
          <w:lang w:val="nl-BE"/>
        </w:rPr>
      </w:pPr>
    </w:p>
    <w:p w14:paraId="3DA5B760" w14:textId="34B4C34A" w:rsidR="00B658E5" w:rsidRPr="005364F7" w:rsidRDefault="00B658E5" w:rsidP="005364F7">
      <w:pPr>
        <w:spacing w:after="0"/>
        <w:jc w:val="both"/>
        <w:rPr>
          <w:rFonts w:ascii="Arial" w:hAnsi="Arial" w:cs="Arial"/>
          <w:color w:val="1C1A15"/>
          <w:lang w:val="nl-BE"/>
        </w:rPr>
      </w:pPr>
      <w:r w:rsidRPr="005364F7">
        <w:rPr>
          <w:rFonts w:ascii="Arial" w:hAnsi="Arial" w:cs="Arial"/>
          <w:color w:val="1C1A15"/>
          <w:lang w:val="nl-BE"/>
        </w:rPr>
        <w:t xml:space="preserve">Zoals bij het monitoringplan dient in TAB_D II een korte, maar duidelijke samenvatting te staan van wat de procedures inhouden, zodat de lezer goed begrijpt wat er zal gebeuren op basis van deze procedures. De uitgebreide procedures zelf blijven bij de exploitant, maar dienen voorgelegd te worden op vraag van </w:t>
      </w:r>
      <w:r w:rsidR="003D3FD8" w:rsidRPr="005364F7">
        <w:rPr>
          <w:rFonts w:ascii="Arial" w:hAnsi="Arial" w:cs="Arial"/>
          <w:color w:val="1C1A15"/>
          <w:lang w:val="nl-BE"/>
        </w:rPr>
        <w:t>de B</w:t>
      </w:r>
      <w:r w:rsidRPr="005364F7">
        <w:rPr>
          <w:rFonts w:ascii="Arial" w:hAnsi="Arial" w:cs="Arial"/>
          <w:color w:val="1C1A15"/>
          <w:lang w:val="nl-BE"/>
        </w:rPr>
        <w:t>evoegd</w:t>
      </w:r>
      <w:r w:rsidR="003D3FD8" w:rsidRPr="005364F7">
        <w:rPr>
          <w:rFonts w:ascii="Arial" w:hAnsi="Arial" w:cs="Arial"/>
          <w:color w:val="1C1A15"/>
          <w:lang w:val="nl-BE"/>
        </w:rPr>
        <w:t>e Overheid</w:t>
      </w:r>
      <w:r w:rsidRPr="005364F7">
        <w:rPr>
          <w:rFonts w:ascii="Arial" w:hAnsi="Arial" w:cs="Arial"/>
          <w:color w:val="1C1A15"/>
          <w:lang w:val="nl-BE"/>
        </w:rPr>
        <w:t>.</w:t>
      </w:r>
      <w:r w:rsidR="00762BD7" w:rsidRPr="005364F7">
        <w:rPr>
          <w:rFonts w:ascii="Arial" w:hAnsi="Arial" w:cs="Arial"/>
          <w:color w:val="1C1A15"/>
          <w:lang w:val="nl-BE"/>
        </w:rPr>
        <w:t xml:space="preserve"> </w:t>
      </w:r>
    </w:p>
    <w:p w14:paraId="7BA32A96" w14:textId="77777777" w:rsidR="00B658E5" w:rsidRPr="005364F7" w:rsidRDefault="00B658E5" w:rsidP="005364F7">
      <w:pPr>
        <w:spacing w:after="0"/>
        <w:jc w:val="both"/>
        <w:rPr>
          <w:rFonts w:ascii="Arial" w:hAnsi="Arial" w:cs="Arial"/>
          <w:b/>
          <w:color w:val="1C1A15"/>
          <w:sz w:val="16"/>
          <w:szCs w:val="16"/>
          <w:u w:val="single"/>
          <w:lang w:val="nl-BE"/>
        </w:rPr>
      </w:pPr>
    </w:p>
    <w:p w14:paraId="468BC065" w14:textId="77777777" w:rsidR="00B658E5" w:rsidRPr="005364F7" w:rsidRDefault="00B658E5" w:rsidP="005364F7">
      <w:pPr>
        <w:spacing w:after="0"/>
        <w:jc w:val="both"/>
        <w:rPr>
          <w:rFonts w:ascii="Arial" w:hAnsi="Arial" w:cs="Arial"/>
          <w:b/>
          <w:color w:val="1C1A15"/>
          <w:sz w:val="16"/>
          <w:szCs w:val="16"/>
          <w:u w:val="single"/>
          <w:lang w:val="nl-BE"/>
        </w:rPr>
      </w:pPr>
    </w:p>
    <w:p w14:paraId="741F14E9" w14:textId="14FB88CA" w:rsidR="00B658E5" w:rsidRPr="005364F7" w:rsidRDefault="00B658E5" w:rsidP="005364F7">
      <w:pPr>
        <w:pStyle w:val="Lijstalinea"/>
        <w:numPr>
          <w:ilvl w:val="2"/>
          <w:numId w:val="31"/>
        </w:numPr>
        <w:spacing w:after="0"/>
        <w:ind w:left="709" w:hanging="709"/>
        <w:jc w:val="both"/>
        <w:rPr>
          <w:rFonts w:ascii="Arial" w:hAnsi="Arial" w:cs="Arial"/>
          <w:b/>
          <w:color w:val="1C1A15"/>
          <w:sz w:val="24"/>
          <w:szCs w:val="24"/>
          <w:u w:val="single"/>
          <w:lang w:val="nl-BE"/>
        </w:rPr>
      </w:pPr>
      <w:r w:rsidRPr="005364F7">
        <w:rPr>
          <w:rFonts w:ascii="Arial" w:hAnsi="Arial" w:cs="Arial"/>
          <w:b/>
          <w:color w:val="1C1A15"/>
          <w:sz w:val="24"/>
          <w:szCs w:val="24"/>
          <w:u w:val="single"/>
          <w:lang w:val="nl-BE"/>
        </w:rPr>
        <w:lastRenderedPageBreak/>
        <w:t>Informatie over het herrekenen van benchmarkwaarden</w:t>
      </w:r>
    </w:p>
    <w:p w14:paraId="161902ED" w14:textId="77777777" w:rsidR="002A7BF5" w:rsidRPr="005364F7" w:rsidRDefault="002A7BF5" w:rsidP="005364F7">
      <w:pPr>
        <w:spacing w:after="0"/>
        <w:ind w:left="426"/>
        <w:jc w:val="both"/>
        <w:rPr>
          <w:rFonts w:ascii="Arial" w:hAnsi="Arial" w:cs="Arial"/>
          <w:color w:val="1C1A15"/>
          <w:sz w:val="16"/>
          <w:szCs w:val="16"/>
          <w:lang w:val="nl-BE"/>
        </w:rPr>
      </w:pPr>
    </w:p>
    <w:p w14:paraId="7A60BCAD" w14:textId="65368307" w:rsidR="00B658E5" w:rsidRPr="005364F7" w:rsidRDefault="00B658E5" w:rsidP="005364F7">
      <w:pPr>
        <w:spacing w:after="0"/>
        <w:jc w:val="both"/>
        <w:rPr>
          <w:rFonts w:ascii="Arial" w:hAnsi="Arial" w:cs="Arial"/>
          <w:color w:val="1C1A15"/>
          <w:lang w:val="nl-BE"/>
        </w:rPr>
      </w:pPr>
      <w:r w:rsidRPr="005364F7">
        <w:rPr>
          <w:rFonts w:ascii="Arial" w:hAnsi="Arial" w:cs="Arial"/>
          <w:color w:val="1C1A15"/>
          <w:lang w:val="nl-BE"/>
        </w:rPr>
        <w:t xml:space="preserve">In het algemeen waren de </w:t>
      </w:r>
      <w:r w:rsidR="003D3FD8" w:rsidRPr="005364F7">
        <w:rPr>
          <w:rFonts w:ascii="Arial" w:hAnsi="Arial" w:cs="Arial"/>
          <w:color w:val="1C1A15"/>
          <w:lang w:val="nl-BE"/>
        </w:rPr>
        <w:t xml:space="preserve">blauw gekleurde </w:t>
      </w:r>
      <w:r w:rsidRPr="005364F7">
        <w:rPr>
          <w:rFonts w:ascii="Arial" w:hAnsi="Arial" w:cs="Arial"/>
          <w:color w:val="1C1A15"/>
          <w:lang w:val="nl-BE"/>
        </w:rPr>
        <w:t>delen uit TAB_F I x vanaf (d) en TAB_G I x vanaf (c)</w:t>
      </w:r>
      <w:r w:rsidR="00550E78" w:rsidRPr="005364F7">
        <w:rPr>
          <w:rFonts w:ascii="Arial" w:hAnsi="Arial" w:cs="Arial"/>
          <w:color w:val="1C1A15"/>
          <w:lang w:val="nl-BE"/>
        </w:rPr>
        <w:t>,</w:t>
      </w:r>
      <w:r w:rsidRPr="005364F7">
        <w:rPr>
          <w:rFonts w:ascii="Arial" w:hAnsi="Arial" w:cs="Arial"/>
          <w:color w:val="1C1A15"/>
          <w:lang w:val="nl-BE"/>
        </w:rPr>
        <w:t xml:space="preserve"> die gebruikt worden om benchmarkwaarden te herrekenen</w:t>
      </w:r>
      <w:r w:rsidR="00550E78" w:rsidRPr="005364F7">
        <w:rPr>
          <w:rFonts w:ascii="Arial" w:hAnsi="Arial" w:cs="Arial"/>
          <w:color w:val="1C1A15"/>
          <w:lang w:val="nl-BE"/>
        </w:rPr>
        <w:t>,</w:t>
      </w:r>
      <w:r w:rsidRPr="005364F7">
        <w:rPr>
          <w:rFonts w:ascii="Arial" w:hAnsi="Arial" w:cs="Arial"/>
          <w:color w:val="1C1A15"/>
          <w:lang w:val="nl-BE"/>
        </w:rPr>
        <w:t xml:space="preserve"> vaak</w:t>
      </w:r>
      <w:r w:rsidR="00051CA8" w:rsidRPr="005364F7">
        <w:rPr>
          <w:rFonts w:ascii="Arial" w:hAnsi="Arial" w:cs="Arial"/>
          <w:color w:val="1C1A15"/>
          <w:lang w:val="nl-BE"/>
        </w:rPr>
        <w:t xml:space="preserve"> niet correct ingevuld, wellicht door gebrek aan tijd of/en doordat hier een gans andere denkwijze gebruikt wordt dan bij het verzamelen van data voor allocatiedoeleinden.</w:t>
      </w:r>
    </w:p>
    <w:p w14:paraId="774D87F2" w14:textId="74653809" w:rsidR="00762BD7" w:rsidRPr="005364F7" w:rsidRDefault="00762BD7" w:rsidP="005364F7">
      <w:pPr>
        <w:spacing w:after="0"/>
        <w:jc w:val="both"/>
        <w:rPr>
          <w:rFonts w:ascii="Arial" w:hAnsi="Arial" w:cs="Arial"/>
          <w:color w:val="1C1A15"/>
          <w:lang w:val="nl-BE"/>
        </w:rPr>
      </w:pPr>
    </w:p>
    <w:p w14:paraId="3901ECEC" w14:textId="26FD42E3" w:rsidR="00762BD7" w:rsidRPr="005364F7" w:rsidRDefault="00762BD7" w:rsidP="005364F7">
      <w:pPr>
        <w:pStyle w:val="Lijstalinea"/>
        <w:numPr>
          <w:ilvl w:val="0"/>
          <w:numId w:val="29"/>
        </w:numPr>
        <w:spacing w:after="0"/>
        <w:jc w:val="both"/>
        <w:rPr>
          <w:rFonts w:ascii="Arial" w:hAnsi="Arial" w:cs="Arial"/>
          <w:b/>
          <w:color w:val="1C1A15"/>
          <w:lang w:val="nl-BE"/>
        </w:rPr>
      </w:pPr>
      <w:r w:rsidRPr="005364F7">
        <w:rPr>
          <w:rFonts w:ascii="Arial" w:hAnsi="Arial" w:cs="Arial"/>
          <w:b/>
          <w:color w:val="1C1A15"/>
          <w:lang w:val="nl-BE"/>
        </w:rPr>
        <w:t xml:space="preserve">Voor de herwerking van het MMP moet elke exploitant nagaan of </w:t>
      </w:r>
      <w:r w:rsidR="00DB4022">
        <w:rPr>
          <w:rFonts w:ascii="Arial" w:hAnsi="Arial" w:cs="Arial"/>
          <w:b/>
          <w:color w:val="1C1A15"/>
          <w:lang w:val="nl-BE"/>
        </w:rPr>
        <w:t xml:space="preserve">de </w:t>
      </w:r>
      <w:r w:rsidRPr="005364F7">
        <w:rPr>
          <w:rFonts w:ascii="Arial" w:hAnsi="Arial" w:cs="Arial"/>
          <w:b/>
          <w:color w:val="1C1A15"/>
          <w:lang w:val="nl-BE"/>
        </w:rPr>
        <w:t xml:space="preserve">methodiek voor de toewijzing van emissies per sub-installatie (de blauw gekleurde delen in TAB_F en TAB_G) correct is opgemaakt, en waar nodig correcties aanbrengen.  </w:t>
      </w:r>
    </w:p>
    <w:p w14:paraId="562A027F" w14:textId="77777777" w:rsidR="00762BD7" w:rsidRPr="005364F7" w:rsidRDefault="00762BD7" w:rsidP="005364F7">
      <w:pPr>
        <w:spacing w:after="0"/>
        <w:jc w:val="both"/>
        <w:rPr>
          <w:rFonts w:ascii="Arial" w:hAnsi="Arial" w:cs="Arial"/>
          <w:color w:val="1C1A15"/>
          <w:lang w:val="nl-BE"/>
        </w:rPr>
      </w:pPr>
    </w:p>
    <w:p w14:paraId="77400C52" w14:textId="4934D245" w:rsidR="00051CA8" w:rsidRPr="005364F7" w:rsidRDefault="00051CA8" w:rsidP="005364F7">
      <w:pPr>
        <w:spacing w:after="0"/>
        <w:jc w:val="both"/>
        <w:rPr>
          <w:rFonts w:ascii="Arial" w:hAnsi="Arial" w:cs="Arial"/>
          <w:color w:val="1C1A15"/>
          <w:lang w:val="nl-BE"/>
        </w:rPr>
      </w:pPr>
      <w:r w:rsidRPr="005364F7">
        <w:rPr>
          <w:rFonts w:ascii="Arial" w:hAnsi="Arial" w:cs="Arial"/>
          <w:color w:val="1C1A15"/>
          <w:lang w:val="nl-BE"/>
        </w:rPr>
        <w:t xml:space="preserve">Informatie over hoe men dit deel moet invullen vindt men in hoofdstuk 7.3 </w:t>
      </w:r>
      <w:r w:rsidR="00F21BBF" w:rsidRPr="005364F7">
        <w:rPr>
          <w:rFonts w:ascii="Arial" w:hAnsi="Arial" w:cs="Arial"/>
          <w:color w:val="1C1A15"/>
          <w:lang w:val="nl-BE"/>
        </w:rPr>
        <w:t xml:space="preserve">van Guidance Document 5 </w:t>
      </w:r>
      <w:r w:rsidRPr="005364F7">
        <w:rPr>
          <w:rFonts w:ascii="Arial" w:hAnsi="Arial" w:cs="Arial"/>
          <w:color w:val="1C1A15"/>
          <w:lang w:val="nl-BE"/>
        </w:rPr>
        <w:t>dat ook een aantal verhelderende voorbeelden bevat.</w:t>
      </w:r>
      <w:r w:rsidR="00762BD7" w:rsidRPr="005364F7">
        <w:rPr>
          <w:rFonts w:ascii="Arial" w:hAnsi="Arial" w:cs="Arial"/>
          <w:color w:val="1C1A15"/>
          <w:lang w:val="nl-BE"/>
        </w:rPr>
        <w:t xml:space="preserve"> Daarnaast werden ook de Vlaamse FAQ’s aangevuld met verdere toelichting over de correcte methodiek in gevallen waar er vaak fouten zijn gemaakt, met name gevallen waar er:</w:t>
      </w:r>
    </w:p>
    <w:p w14:paraId="74EF3196" w14:textId="08BDE4CC" w:rsidR="00762BD7" w:rsidRPr="005364F7" w:rsidRDefault="00762BD7" w:rsidP="005364F7">
      <w:pPr>
        <w:pStyle w:val="Lijstalinea"/>
        <w:numPr>
          <w:ilvl w:val="0"/>
          <w:numId w:val="33"/>
        </w:numPr>
        <w:spacing w:after="0"/>
        <w:jc w:val="both"/>
        <w:rPr>
          <w:rFonts w:ascii="Arial" w:hAnsi="Arial" w:cs="Arial"/>
          <w:color w:val="1C1A15"/>
          <w:lang w:val="nl-BE"/>
        </w:rPr>
      </w:pPr>
      <w:r w:rsidRPr="005364F7">
        <w:rPr>
          <w:rFonts w:ascii="Arial" w:hAnsi="Arial" w:cs="Arial"/>
          <w:color w:val="1C1A15"/>
          <w:lang w:val="nl-BE"/>
        </w:rPr>
        <w:t>warmte wordt gerecupereerd uit de brandstofbenchmark sub-installatie, die vervolgens wordt geconsumeerd onder de warmtebenchmark sub-installatie;</w:t>
      </w:r>
    </w:p>
    <w:p w14:paraId="5C8748E3" w14:textId="77FF1769" w:rsidR="00762BD7" w:rsidRPr="005364F7" w:rsidRDefault="00762BD7" w:rsidP="005364F7">
      <w:pPr>
        <w:pStyle w:val="Lijstalinea"/>
        <w:numPr>
          <w:ilvl w:val="0"/>
          <w:numId w:val="33"/>
        </w:numPr>
        <w:spacing w:after="0"/>
        <w:jc w:val="both"/>
        <w:rPr>
          <w:rFonts w:ascii="Arial" w:hAnsi="Arial" w:cs="Arial"/>
          <w:color w:val="1C1A15"/>
          <w:lang w:val="nl-BE"/>
        </w:rPr>
      </w:pPr>
      <w:r w:rsidRPr="005364F7">
        <w:rPr>
          <w:rFonts w:ascii="Arial" w:hAnsi="Arial" w:cs="Arial"/>
          <w:color w:val="1C1A15"/>
          <w:lang w:val="nl-BE"/>
        </w:rPr>
        <w:t xml:space="preserve">warmte wordt opgewekt met afgassen, die vervolgens wordt geconsumeerd onder de warmtebenchmark sub-installatie.  </w:t>
      </w:r>
    </w:p>
    <w:p w14:paraId="462A5EC1" w14:textId="103204EB" w:rsidR="00222680" w:rsidRPr="005364F7" w:rsidRDefault="00222680" w:rsidP="005364F7">
      <w:pPr>
        <w:spacing w:after="0"/>
        <w:jc w:val="both"/>
        <w:rPr>
          <w:rFonts w:ascii="Arial" w:hAnsi="Arial" w:cs="Arial"/>
          <w:color w:val="1C1A15"/>
          <w:sz w:val="24"/>
          <w:szCs w:val="24"/>
          <w:lang w:val="nl-BE"/>
        </w:rPr>
      </w:pPr>
    </w:p>
    <w:p w14:paraId="790C43BD" w14:textId="2F889FA3" w:rsidR="00762BD7" w:rsidRPr="005364F7" w:rsidRDefault="00762BD7" w:rsidP="005364F7">
      <w:pPr>
        <w:pStyle w:val="Lijstalinea"/>
        <w:numPr>
          <w:ilvl w:val="2"/>
          <w:numId w:val="31"/>
        </w:numPr>
        <w:spacing w:after="0"/>
        <w:ind w:left="709" w:hanging="709"/>
        <w:jc w:val="both"/>
        <w:rPr>
          <w:rFonts w:ascii="Arial" w:hAnsi="Arial" w:cs="Arial"/>
          <w:b/>
          <w:color w:val="1C1A15"/>
          <w:sz w:val="24"/>
          <w:szCs w:val="24"/>
          <w:u w:val="single"/>
          <w:lang w:val="nl-BE"/>
        </w:rPr>
      </w:pPr>
      <w:r w:rsidRPr="005364F7">
        <w:rPr>
          <w:rFonts w:ascii="Arial" w:hAnsi="Arial" w:cs="Arial"/>
          <w:b/>
          <w:color w:val="1C1A15"/>
          <w:sz w:val="24"/>
          <w:szCs w:val="24"/>
          <w:u w:val="single"/>
          <w:lang w:val="nl-BE"/>
        </w:rPr>
        <w:t>Fysieke onderdelen die onder meerdere subinstallaties vallen</w:t>
      </w:r>
    </w:p>
    <w:p w14:paraId="69F362E4" w14:textId="3925B585" w:rsidR="00762BD7" w:rsidRPr="005364F7" w:rsidRDefault="00762BD7" w:rsidP="005364F7">
      <w:pPr>
        <w:spacing w:after="0"/>
        <w:jc w:val="both"/>
        <w:rPr>
          <w:rFonts w:ascii="Arial" w:hAnsi="Arial" w:cs="Arial"/>
          <w:color w:val="1C1A15"/>
          <w:sz w:val="24"/>
          <w:szCs w:val="24"/>
          <w:lang w:val="nl-BE"/>
        </w:rPr>
      </w:pPr>
    </w:p>
    <w:p w14:paraId="328F41B0" w14:textId="77777777" w:rsidR="00762BD7" w:rsidRPr="005364F7" w:rsidRDefault="00762BD7"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Onder TAB_D I dient de exploitant aan te geven:</w:t>
      </w:r>
    </w:p>
    <w:p w14:paraId="3CD7C04C" w14:textId="77777777" w:rsidR="00762BD7" w:rsidRPr="005364F7" w:rsidRDefault="00762BD7" w:rsidP="005364F7">
      <w:pPr>
        <w:pStyle w:val="Lijstalinea"/>
        <w:numPr>
          <w:ilvl w:val="0"/>
          <w:numId w:val="15"/>
        </w:num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welke fysieke installaties onder meerdere sub-installaties vallen (a);</w:t>
      </w:r>
    </w:p>
    <w:p w14:paraId="3BF908C3" w14:textId="77777777" w:rsidR="00762BD7" w:rsidRPr="005364F7" w:rsidRDefault="00762BD7" w:rsidP="005364F7">
      <w:pPr>
        <w:pStyle w:val="Lijstalinea"/>
        <w:numPr>
          <w:ilvl w:val="0"/>
          <w:numId w:val="15"/>
        </w:num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welke methodiek gebruikt wordt om de emissies van de fysieke installatie te verdelen over de respectieve sub-installaties (b);</w:t>
      </w:r>
    </w:p>
    <w:p w14:paraId="5BD202EB" w14:textId="77777777" w:rsidR="00762BD7" w:rsidRPr="005364F7" w:rsidRDefault="00762BD7" w:rsidP="005364F7">
      <w:pPr>
        <w:pStyle w:val="Lijstalinea"/>
        <w:numPr>
          <w:ilvl w:val="0"/>
          <w:numId w:val="15"/>
        </w:num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en hoe de exploitant in dit verband gegevenshiaten of dubbeltelling voorkomt (c).</w:t>
      </w:r>
    </w:p>
    <w:p w14:paraId="22C6E8A9" w14:textId="77777777" w:rsidR="00762BD7" w:rsidRPr="005364F7" w:rsidRDefault="00762BD7" w:rsidP="005364F7">
      <w:pPr>
        <w:autoSpaceDE w:val="0"/>
        <w:autoSpaceDN w:val="0"/>
        <w:adjustRightInd w:val="0"/>
        <w:spacing w:after="0" w:line="240" w:lineRule="auto"/>
        <w:jc w:val="both"/>
        <w:rPr>
          <w:rFonts w:ascii="Arial" w:hAnsi="Arial" w:cs="Arial"/>
          <w:color w:val="1C1A15"/>
          <w:lang w:val="nl-BE"/>
        </w:rPr>
      </w:pPr>
    </w:p>
    <w:p w14:paraId="43D85577" w14:textId="77777777" w:rsidR="00762BD7" w:rsidRPr="005364F7" w:rsidRDefault="00762BD7"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Voorbeelden hiervan zijn: </w:t>
      </w:r>
    </w:p>
    <w:p w14:paraId="5D53874D" w14:textId="77777777" w:rsidR="00762BD7" w:rsidRPr="005364F7" w:rsidRDefault="00762BD7" w:rsidP="005364F7">
      <w:pPr>
        <w:pStyle w:val="Lijstalinea"/>
        <w:numPr>
          <w:ilvl w:val="0"/>
          <w:numId w:val="16"/>
        </w:num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stoomketels en WKK’s die zowel aan productbenchmark sub-installaties als aan warmtebenchmark sub-installaties stoom leveren </w:t>
      </w:r>
    </w:p>
    <w:p w14:paraId="687A8357" w14:textId="77777777" w:rsidR="00762BD7" w:rsidRPr="005364F7" w:rsidRDefault="00762BD7" w:rsidP="005364F7">
      <w:pPr>
        <w:pStyle w:val="Lijstalinea"/>
        <w:numPr>
          <w:ilvl w:val="0"/>
          <w:numId w:val="16"/>
        </w:num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Installaties die afgassen produceren die in productbenchmark – en brandstof- benchmark sub-installaties verbruikt worden</w:t>
      </w:r>
    </w:p>
    <w:p w14:paraId="3F0D8FCD" w14:textId="77777777" w:rsidR="00762BD7" w:rsidRPr="005364F7" w:rsidRDefault="00762BD7" w:rsidP="005364F7">
      <w:pPr>
        <w:pStyle w:val="Lijstalinea"/>
        <w:numPr>
          <w:ilvl w:val="0"/>
          <w:numId w:val="16"/>
        </w:num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Stoomketels die zowel aan warmtebenchmark subinstallaties CL als NCL stoom leveren</w:t>
      </w:r>
    </w:p>
    <w:p w14:paraId="0652743B" w14:textId="77777777" w:rsidR="00762BD7" w:rsidRPr="005364F7" w:rsidRDefault="00762BD7" w:rsidP="005364F7">
      <w:pPr>
        <w:autoSpaceDE w:val="0"/>
        <w:autoSpaceDN w:val="0"/>
        <w:adjustRightInd w:val="0"/>
        <w:spacing w:after="0" w:line="240" w:lineRule="auto"/>
        <w:jc w:val="both"/>
        <w:rPr>
          <w:rFonts w:ascii="Arial" w:hAnsi="Arial" w:cs="Arial"/>
          <w:color w:val="1C1A15"/>
          <w:lang w:val="nl-BE"/>
        </w:rPr>
      </w:pPr>
    </w:p>
    <w:p w14:paraId="2441BD39" w14:textId="169CE9B1" w:rsidR="00762BD7" w:rsidRPr="005364F7" w:rsidRDefault="00762BD7" w:rsidP="005364F7">
      <w:pPr>
        <w:autoSpaceDE w:val="0"/>
        <w:autoSpaceDN w:val="0"/>
        <w:adjustRightInd w:val="0"/>
        <w:spacing w:after="0" w:line="240" w:lineRule="auto"/>
        <w:jc w:val="both"/>
        <w:rPr>
          <w:rFonts w:ascii="Arial" w:hAnsi="Arial" w:cs="Arial"/>
          <w:color w:val="1C1A15"/>
          <w:lang w:val="nl-BE"/>
        </w:rPr>
      </w:pPr>
      <w:r w:rsidRPr="005364F7">
        <w:rPr>
          <w:rFonts w:ascii="Arial" w:hAnsi="Arial" w:cs="Arial"/>
          <w:color w:val="1C1A15"/>
          <w:lang w:val="nl-BE"/>
        </w:rPr>
        <w:t xml:space="preserve">In een aantal gevallen </w:t>
      </w:r>
      <w:r w:rsidR="00E82E7E" w:rsidRPr="005364F7">
        <w:rPr>
          <w:rFonts w:ascii="Arial" w:hAnsi="Arial" w:cs="Arial"/>
          <w:color w:val="1C1A15"/>
          <w:lang w:val="nl-BE"/>
        </w:rPr>
        <w:t>werd</w:t>
      </w:r>
      <w:r w:rsidRPr="005364F7">
        <w:rPr>
          <w:rFonts w:ascii="Arial" w:hAnsi="Arial" w:cs="Arial"/>
          <w:color w:val="1C1A15"/>
          <w:lang w:val="nl-BE"/>
        </w:rPr>
        <w:t xml:space="preserve"> punt (a) niet ingevuld en/of </w:t>
      </w:r>
      <w:r w:rsidR="00E82E7E" w:rsidRPr="005364F7">
        <w:rPr>
          <w:rFonts w:ascii="Arial" w:hAnsi="Arial" w:cs="Arial"/>
          <w:color w:val="1C1A15"/>
          <w:lang w:val="nl-BE"/>
        </w:rPr>
        <w:t>werd</w:t>
      </w:r>
      <w:r w:rsidRPr="005364F7">
        <w:rPr>
          <w:rFonts w:ascii="Arial" w:hAnsi="Arial" w:cs="Arial"/>
          <w:color w:val="1C1A15"/>
          <w:lang w:val="nl-BE"/>
        </w:rPr>
        <w:t xml:space="preserve"> punten (b) en (c) onvolledig,  onduidelijk of niet ingevuld</w:t>
      </w:r>
      <w:r w:rsidR="00E82E7E" w:rsidRPr="005364F7">
        <w:rPr>
          <w:rFonts w:ascii="Arial" w:hAnsi="Arial" w:cs="Arial"/>
          <w:color w:val="1C1A15"/>
          <w:lang w:val="nl-BE"/>
        </w:rPr>
        <w:t xml:space="preserve"> in de oorspronkelijke MMPs</w:t>
      </w:r>
      <w:r w:rsidRPr="005364F7">
        <w:rPr>
          <w:rFonts w:ascii="Arial" w:hAnsi="Arial" w:cs="Arial"/>
          <w:color w:val="1C1A15"/>
          <w:lang w:val="nl-BE"/>
        </w:rPr>
        <w:t xml:space="preserve">. </w:t>
      </w:r>
    </w:p>
    <w:p w14:paraId="4241AA8C" w14:textId="3850B508" w:rsidR="00E82E7E" w:rsidRPr="005364F7" w:rsidRDefault="00E82E7E" w:rsidP="005364F7">
      <w:pPr>
        <w:autoSpaceDE w:val="0"/>
        <w:autoSpaceDN w:val="0"/>
        <w:adjustRightInd w:val="0"/>
        <w:spacing w:after="0" w:line="240" w:lineRule="auto"/>
        <w:jc w:val="both"/>
        <w:rPr>
          <w:rFonts w:ascii="Arial" w:hAnsi="Arial" w:cs="Arial"/>
          <w:color w:val="1C1A15"/>
          <w:lang w:val="nl-BE"/>
        </w:rPr>
      </w:pPr>
    </w:p>
    <w:p w14:paraId="0B3DB47F" w14:textId="4F179D66" w:rsidR="00E82E7E" w:rsidRPr="005364F7" w:rsidRDefault="00E82E7E" w:rsidP="005364F7">
      <w:pPr>
        <w:pStyle w:val="Lijstalinea"/>
        <w:numPr>
          <w:ilvl w:val="0"/>
          <w:numId w:val="29"/>
        </w:numPr>
        <w:autoSpaceDE w:val="0"/>
        <w:autoSpaceDN w:val="0"/>
        <w:adjustRightInd w:val="0"/>
        <w:spacing w:after="0" w:line="240" w:lineRule="auto"/>
        <w:jc w:val="both"/>
        <w:rPr>
          <w:rFonts w:ascii="Arial" w:hAnsi="Arial" w:cs="Arial"/>
          <w:color w:val="1C1A15"/>
          <w:lang w:val="nl-BE"/>
        </w:rPr>
      </w:pPr>
      <w:r w:rsidRPr="005364F7">
        <w:rPr>
          <w:rFonts w:ascii="Arial" w:hAnsi="Arial" w:cs="Arial"/>
          <w:b/>
          <w:color w:val="1C1A15"/>
          <w:lang w:val="nl-BE"/>
        </w:rPr>
        <w:t xml:space="preserve">Voor de herwerking van het MMP moet elke exploitant nagaan of de methodiek in TAB_D sectie I (voor fysieke onderdelen die onder meerdere sub-installaties vallen) volledig en correct is ingevuld, en waar nodig correcties aanbrengen. </w:t>
      </w:r>
    </w:p>
    <w:p w14:paraId="57FE2945" w14:textId="77777777" w:rsidR="00E82E7E" w:rsidRPr="005364F7" w:rsidRDefault="00E82E7E" w:rsidP="005364F7">
      <w:pPr>
        <w:pStyle w:val="Lijstalinea"/>
        <w:autoSpaceDE w:val="0"/>
        <w:autoSpaceDN w:val="0"/>
        <w:adjustRightInd w:val="0"/>
        <w:spacing w:after="0" w:line="240" w:lineRule="auto"/>
        <w:jc w:val="both"/>
        <w:rPr>
          <w:rFonts w:ascii="Arial" w:hAnsi="Arial" w:cs="Arial"/>
          <w:color w:val="1C1A15"/>
          <w:lang w:val="nl-BE"/>
        </w:rPr>
      </w:pPr>
    </w:p>
    <w:p w14:paraId="7E427566" w14:textId="64CE6A91" w:rsidR="00E82E7E" w:rsidRPr="005364F7" w:rsidRDefault="00052C10" w:rsidP="005364F7">
      <w:pPr>
        <w:pStyle w:val="Lijstalinea"/>
        <w:numPr>
          <w:ilvl w:val="1"/>
          <w:numId w:val="31"/>
        </w:numPr>
        <w:spacing w:after="0"/>
        <w:jc w:val="both"/>
        <w:rPr>
          <w:rFonts w:ascii="Arial" w:hAnsi="Arial" w:cs="Arial"/>
          <w:b/>
          <w:color w:val="1C1A15"/>
          <w:sz w:val="28"/>
          <w:szCs w:val="28"/>
          <w:u w:val="single"/>
          <w:lang w:val="nl-BE"/>
        </w:rPr>
      </w:pPr>
      <w:r>
        <w:rPr>
          <w:rFonts w:ascii="Arial" w:hAnsi="Arial" w:cs="Arial"/>
          <w:color w:val="1C1A15"/>
          <w:sz w:val="24"/>
          <w:szCs w:val="24"/>
          <w:lang w:val="nl-BE"/>
        </w:rPr>
        <w:br w:type="page"/>
      </w:r>
      <w:r w:rsidR="00E82E7E" w:rsidRPr="005364F7">
        <w:rPr>
          <w:rFonts w:ascii="Arial" w:hAnsi="Arial" w:cs="Arial"/>
          <w:b/>
          <w:color w:val="1C1A15"/>
          <w:sz w:val="28"/>
          <w:szCs w:val="28"/>
          <w:u w:val="single"/>
          <w:lang w:val="nl-BE"/>
        </w:rPr>
        <w:lastRenderedPageBreak/>
        <w:t>Wat moet er eventueel nog toegevoegd of verbeterd worden in het herwerkte MMP?</w:t>
      </w:r>
    </w:p>
    <w:p w14:paraId="35FBF2FB" w14:textId="77777777" w:rsidR="00E82E7E" w:rsidRPr="005364F7" w:rsidRDefault="00E82E7E" w:rsidP="005364F7">
      <w:pPr>
        <w:spacing w:after="0"/>
        <w:jc w:val="both"/>
        <w:rPr>
          <w:rFonts w:ascii="Arial" w:hAnsi="Arial" w:cs="Arial"/>
          <w:color w:val="1C1A15"/>
          <w:lang w:val="nl-BE"/>
        </w:rPr>
      </w:pPr>
    </w:p>
    <w:p w14:paraId="1D81979C" w14:textId="33C402B3" w:rsidR="00222680" w:rsidRPr="005364F7" w:rsidRDefault="00222680" w:rsidP="005364F7">
      <w:pPr>
        <w:spacing w:after="0"/>
        <w:jc w:val="both"/>
        <w:rPr>
          <w:rFonts w:ascii="Arial" w:hAnsi="Arial" w:cs="Arial"/>
          <w:color w:val="1C1A15"/>
          <w:lang w:val="nl-BE"/>
        </w:rPr>
      </w:pPr>
      <w:r w:rsidRPr="005364F7">
        <w:rPr>
          <w:rFonts w:ascii="Arial" w:hAnsi="Arial" w:cs="Arial"/>
          <w:color w:val="1C1A15"/>
          <w:lang w:val="nl-BE"/>
        </w:rPr>
        <w:t xml:space="preserve">Indien er na 2018 nieuwe </w:t>
      </w:r>
      <w:r w:rsidR="00E82E7E" w:rsidRPr="005364F7">
        <w:rPr>
          <w:rFonts w:ascii="Arial" w:hAnsi="Arial" w:cs="Arial"/>
          <w:color w:val="1C1A15"/>
          <w:lang w:val="nl-BE"/>
        </w:rPr>
        <w:t xml:space="preserve">fysieke eenheden </w:t>
      </w:r>
      <w:r w:rsidRPr="005364F7">
        <w:rPr>
          <w:rFonts w:ascii="Arial" w:hAnsi="Arial" w:cs="Arial"/>
          <w:color w:val="1C1A15"/>
          <w:lang w:val="nl-BE"/>
        </w:rPr>
        <w:t xml:space="preserve">of nieuwe metingen zijn toegevoegd aan de installatie beschreven in het MMP moeten deze opgenomen worden in het </w:t>
      </w:r>
      <w:r w:rsidR="00E82E7E" w:rsidRPr="005364F7">
        <w:rPr>
          <w:rFonts w:ascii="Arial" w:hAnsi="Arial" w:cs="Arial"/>
          <w:color w:val="1C1A15"/>
          <w:lang w:val="nl-BE"/>
        </w:rPr>
        <w:t xml:space="preserve">herwerkte </w:t>
      </w:r>
      <w:r w:rsidRPr="005364F7">
        <w:rPr>
          <w:rFonts w:ascii="Arial" w:hAnsi="Arial" w:cs="Arial"/>
          <w:color w:val="1C1A15"/>
          <w:lang w:val="nl-BE"/>
        </w:rPr>
        <w:t xml:space="preserve">MMP, dat de dataverzameling vanaf 2019 beschrijft. </w:t>
      </w:r>
      <w:r w:rsidR="00F21BBF" w:rsidRPr="005364F7">
        <w:rPr>
          <w:rFonts w:ascii="Arial" w:hAnsi="Arial" w:cs="Arial"/>
          <w:color w:val="1C1A15"/>
          <w:lang w:val="nl-BE"/>
        </w:rPr>
        <w:t>Ook delen van de installatie die in de referentieperiode 2014-2018 nog aanwezig waren maar niet meer vanaf 2019 dienen  verwijderd te worden in schema’s en methodieken.</w:t>
      </w:r>
    </w:p>
    <w:p w14:paraId="3D18533B" w14:textId="77777777" w:rsidR="00E82E7E" w:rsidRPr="005364F7" w:rsidRDefault="00E82E7E" w:rsidP="005364F7">
      <w:pPr>
        <w:spacing w:after="0"/>
        <w:jc w:val="both"/>
        <w:rPr>
          <w:rFonts w:ascii="Arial" w:hAnsi="Arial" w:cs="Arial"/>
          <w:color w:val="1C1A15"/>
          <w:lang w:val="nl-BE"/>
        </w:rPr>
      </w:pPr>
    </w:p>
    <w:p w14:paraId="26123A3C" w14:textId="45BADEBE" w:rsidR="00222680" w:rsidRPr="005364F7" w:rsidRDefault="00222680" w:rsidP="005364F7">
      <w:pPr>
        <w:spacing w:after="0"/>
        <w:jc w:val="both"/>
        <w:rPr>
          <w:rFonts w:ascii="Arial" w:hAnsi="Arial" w:cs="Arial"/>
          <w:color w:val="1C1A15"/>
          <w:lang w:val="nl-BE"/>
        </w:rPr>
      </w:pPr>
      <w:r w:rsidRPr="005364F7">
        <w:rPr>
          <w:rFonts w:ascii="Arial" w:hAnsi="Arial" w:cs="Arial"/>
          <w:color w:val="1C1A15"/>
          <w:lang w:val="nl-BE"/>
        </w:rPr>
        <w:t>Ook bijkomende kalibraties en/of jaarlijkse controles op meters in het kader van onderhoud</w:t>
      </w:r>
      <w:r w:rsidR="001A67D8" w:rsidRPr="005364F7">
        <w:rPr>
          <w:rFonts w:ascii="Arial" w:hAnsi="Arial" w:cs="Arial"/>
          <w:color w:val="1C1A15"/>
          <w:lang w:val="nl-BE"/>
        </w:rPr>
        <w:t>, die sinds 2019</w:t>
      </w:r>
      <w:r w:rsidRPr="005364F7">
        <w:rPr>
          <w:rFonts w:ascii="Arial" w:hAnsi="Arial" w:cs="Arial"/>
          <w:color w:val="1C1A15"/>
          <w:lang w:val="nl-BE"/>
        </w:rPr>
        <w:t xml:space="preserve"> van toepassing zijn</w:t>
      </w:r>
      <w:r w:rsidR="001A67D8" w:rsidRPr="005364F7">
        <w:rPr>
          <w:rFonts w:ascii="Arial" w:hAnsi="Arial" w:cs="Arial"/>
          <w:color w:val="1C1A15"/>
          <w:lang w:val="nl-BE"/>
        </w:rPr>
        <w:t>,</w:t>
      </w:r>
      <w:r w:rsidR="00F21BBF" w:rsidRPr="005364F7">
        <w:rPr>
          <w:rFonts w:ascii="Arial" w:hAnsi="Arial" w:cs="Arial"/>
          <w:color w:val="1C1A15"/>
          <w:lang w:val="nl-BE"/>
        </w:rPr>
        <w:t xml:space="preserve"> </w:t>
      </w:r>
      <w:r w:rsidRPr="005364F7">
        <w:rPr>
          <w:rFonts w:ascii="Arial" w:hAnsi="Arial" w:cs="Arial"/>
          <w:color w:val="1C1A15"/>
          <w:lang w:val="nl-BE"/>
        </w:rPr>
        <w:t>moeten vermeld worden.</w:t>
      </w:r>
    </w:p>
    <w:p w14:paraId="0584BCC2" w14:textId="77777777" w:rsidR="00E82E7E" w:rsidRPr="005364F7" w:rsidRDefault="00E82E7E" w:rsidP="005364F7">
      <w:pPr>
        <w:spacing w:after="0"/>
        <w:jc w:val="both"/>
        <w:rPr>
          <w:rFonts w:ascii="Arial" w:hAnsi="Arial" w:cs="Arial"/>
          <w:color w:val="1C1A15"/>
          <w:lang w:val="nl-BE"/>
        </w:rPr>
      </w:pPr>
    </w:p>
    <w:p w14:paraId="0E181D4C" w14:textId="2CFFFA40" w:rsidR="00222680" w:rsidRPr="005364F7" w:rsidRDefault="00222680" w:rsidP="005364F7">
      <w:pPr>
        <w:spacing w:after="0"/>
        <w:jc w:val="both"/>
        <w:rPr>
          <w:rFonts w:ascii="Arial" w:hAnsi="Arial" w:cs="Arial"/>
          <w:color w:val="1C1A15"/>
          <w:lang w:val="nl-BE"/>
        </w:rPr>
      </w:pPr>
      <w:r w:rsidRPr="005364F7">
        <w:rPr>
          <w:rFonts w:ascii="Arial" w:hAnsi="Arial" w:cs="Arial"/>
          <w:color w:val="1C1A15"/>
          <w:lang w:val="nl-BE"/>
        </w:rPr>
        <w:t>Tenslotte, als men energieverbruiken vanaf 2019 op een andere – nauwkeuriger</w:t>
      </w:r>
      <w:r w:rsidR="00F21BBF" w:rsidRPr="005364F7">
        <w:rPr>
          <w:rFonts w:ascii="Arial" w:hAnsi="Arial" w:cs="Arial"/>
          <w:color w:val="1C1A15"/>
          <w:lang w:val="nl-BE"/>
        </w:rPr>
        <w:t>e</w:t>
      </w:r>
      <w:r w:rsidRPr="005364F7">
        <w:rPr>
          <w:rFonts w:ascii="Arial" w:hAnsi="Arial" w:cs="Arial"/>
          <w:color w:val="1C1A15"/>
          <w:lang w:val="nl-BE"/>
        </w:rPr>
        <w:t xml:space="preserve"> – manier wenst vast te leggen dan beschreven in het </w:t>
      </w:r>
      <w:r w:rsidR="00E82E7E" w:rsidRPr="005364F7">
        <w:rPr>
          <w:rFonts w:ascii="Arial" w:hAnsi="Arial" w:cs="Arial"/>
          <w:color w:val="1C1A15"/>
          <w:lang w:val="nl-BE"/>
        </w:rPr>
        <w:t xml:space="preserve">reeds goedgekeurde </w:t>
      </w:r>
      <w:r w:rsidRPr="005364F7">
        <w:rPr>
          <w:rFonts w:ascii="Arial" w:hAnsi="Arial" w:cs="Arial"/>
          <w:color w:val="1C1A15"/>
          <w:lang w:val="nl-BE"/>
        </w:rPr>
        <w:t xml:space="preserve">MMP, dient men dit in het </w:t>
      </w:r>
      <w:r w:rsidR="00E82E7E" w:rsidRPr="005364F7">
        <w:rPr>
          <w:rFonts w:ascii="Arial" w:hAnsi="Arial" w:cs="Arial"/>
          <w:color w:val="1C1A15"/>
          <w:lang w:val="nl-BE"/>
        </w:rPr>
        <w:t xml:space="preserve">herwerkte MMP </w:t>
      </w:r>
      <w:r w:rsidRPr="005364F7">
        <w:rPr>
          <w:rFonts w:ascii="Arial" w:hAnsi="Arial" w:cs="Arial"/>
          <w:color w:val="1C1A15"/>
          <w:lang w:val="nl-BE"/>
        </w:rPr>
        <w:t>op te nemen.</w:t>
      </w:r>
    </w:p>
    <w:p w14:paraId="533D2379" w14:textId="77777777" w:rsidR="008D02AA" w:rsidRPr="005364F7" w:rsidRDefault="008D02AA" w:rsidP="005364F7">
      <w:pPr>
        <w:tabs>
          <w:tab w:val="left" w:pos="4395"/>
        </w:tabs>
        <w:spacing w:after="0"/>
        <w:ind w:left="426"/>
        <w:jc w:val="both"/>
        <w:rPr>
          <w:rFonts w:ascii="Arial" w:hAnsi="Arial" w:cs="Arial"/>
          <w:color w:val="1C1A15"/>
          <w:sz w:val="16"/>
          <w:szCs w:val="16"/>
          <w:lang w:val="nl-BE"/>
        </w:rPr>
      </w:pPr>
    </w:p>
    <w:p w14:paraId="58D0BBD8" w14:textId="73303586" w:rsidR="008D02AA" w:rsidRPr="005364F7" w:rsidRDefault="008D02AA" w:rsidP="005364F7">
      <w:pPr>
        <w:pStyle w:val="Lijstalinea"/>
        <w:spacing w:after="0"/>
        <w:ind w:left="709"/>
        <w:jc w:val="both"/>
        <w:rPr>
          <w:rFonts w:ascii="Arial" w:hAnsi="Arial" w:cs="Arial"/>
          <w:b/>
          <w:color w:val="1C1A15"/>
          <w:sz w:val="24"/>
          <w:szCs w:val="24"/>
          <w:u w:val="single"/>
          <w:lang w:val="nl-BE"/>
        </w:rPr>
      </w:pPr>
    </w:p>
    <w:p w14:paraId="71ADAC0B" w14:textId="77777777" w:rsidR="00E82E7E" w:rsidRPr="005364F7" w:rsidRDefault="00E82E7E" w:rsidP="005364F7">
      <w:pPr>
        <w:pStyle w:val="Lijstalinea"/>
        <w:numPr>
          <w:ilvl w:val="1"/>
          <w:numId w:val="31"/>
        </w:numPr>
        <w:spacing w:after="0"/>
        <w:jc w:val="both"/>
        <w:rPr>
          <w:rFonts w:ascii="Arial" w:hAnsi="Arial" w:cs="Arial"/>
          <w:b/>
          <w:color w:val="1C1A15"/>
          <w:sz w:val="28"/>
          <w:szCs w:val="28"/>
          <w:u w:val="single"/>
          <w:lang w:val="nl-BE"/>
        </w:rPr>
      </w:pPr>
      <w:r w:rsidRPr="005364F7">
        <w:rPr>
          <w:rFonts w:ascii="Arial" w:hAnsi="Arial" w:cs="Arial"/>
          <w:b/>
          <w:color w:val="1C1A15"/>
          <w:sz w:val="28"/>
          <w:szCs w:val="28"/>
          <w:u w:val="single"/>
          <w:lang w:val="nl-BE"/>
        </w:rPr>
        <w:t>Voorbeelden</w:t>
      </w:r>
    </w:p>
    <w:p w14:paraId="58684A62" w14:textId="0E55118D" w:rsidR="0028049A" w:rsidRPr="005364F7" w:rsidRDefault="0028049A" w:rsidP="005364F7">
      <w:pPr>
        <w:pStyle w:val="Lijstalinea"/>
        <w:spacing w:after="0"/>
        <w:ind w:left="1440"/>
        <w:jc w:val="both"/>
        <w:rPr>
          <w:rFonts w:ascii="Arial" w:hAnsi="Arial" w:cs="Arial"/>
          <w:color w:val="1C1A15"/>
          <w:lang w:val="nl-BE"/>
        </w:rPr>
      </w:pPr>
    </w:p>
    <w:p w14:paraId="77D0784D" w14:textId="3BAE5E81" w:rsidR="00E82E7E" w:rsidRPr="005364F7" w:rsidRDefault="00E82E7E" w:rsidP="005364F7">
      <w:pPr>
        <w:jc w:val="both"/>
        <w:rPr>
          <w:rFonts w:ascii="Arial" w:hAnsi="Arial" w:cs="Arial"/>
          <w:lang w:val="nl-BE"/>
        </w:rPr>
      </w:pPr>
      <w:r w:rsidRPr="005364F7">
        <w:rPr>
          <w:rFonts w:ascii="Arial" w:hAnsi="Arial" w:cs="Arial"/>
          <w:color w:val="1C1A15"/>
          <w:lang w:val="nl-BE"/>
        </w:rPr>
        <w:t xml:space="preserve">Om bovenstaande concreet toe te passen, wordt aangeraden om de </w:t>
      </w:r>
      <w:r w:rsidR="00D16F4C" w:rsidRPr="005364F7">
        <w:rPr>
          <w:rFonts w:ascii="Arial" w:hAnsi="Arial" w:cs="Arial"/>
          <w:color w:val="1C1A15"/>
          <w:lang w:val="nl-BE"/>
        </w:rPr>
        <w:t xml:space="preserve">gevraagde informatie per rubriek </w:t>
      </w:r>
      <w:r w:rsidR="00D16F4C" w:rsidRPr="005364F7">
        <w:rPr>
          <w:rFonts w:ascii="Arial" w:hAnsi="Arial" w:cs="Arial"/>
          <w:color w:val="1C1A15"/>
          <w:lang w:val="nl-BE"/>
        </w:rPr>
        <w:t xml:space="preserve">uit het MMP </w:t>
      </w:r>
      <w:r w:rsidRPr="005364F7">
        <w:rPr>
          <w:rFonts w:ascii="Arial" w:hAnsi="Arial" w:cs="Arial"/>
          <w:color w:val="1C1A15"/>
          <w:lang w:val="nl-BE"/>
        </w:rPr>
        <w:t xml:space="preserve">te verzamelen en te rapporteren </w:t>
      </w:r>
      <w:r w:rsidR="00D16F4C" w:rsidRPr="005364F7">
        <w:rPr>
          <w:rFonts w:ascii="Arial" w:hAnsi="Arial" w:cs="Arial"/>
          <w:color w:val="1C1A15"/>
          <w:lang w:val="nl-BE"/>
        </w:rPr>
        <w:t xml:space="preserve">in </w:t>
      </w:r>
      <w:r w:rsidR="00D16F4C" w:rsidRPr="005364F7">
        <w:rPr>
          <w:rFonts w:ascii="Arial" w:hAnsi="Arial" w:cs="Arial"/>
          <w:lang w:val="nl-BE"/>
        </w:rPr>
        <w:t>Excel-tabellen</w:t>
      </w:r>
      <w:r w:rsidRPr="005364F7">
        <w:rPr>
          <w:rFonts w:ascii="Arial" w:hAnsi="Arial" w:cs="Arial"/>
          <w:lang w:val="nl-BE"/>
        </w:rPr>
        <w:t xml:space="preserve">. Hieronder wordt aan de hand van een aantal voorbeelden toegelicht hoe dit kan gebeuren. </w:t>
      </w:r>
      <w:r w:rsidRPr="005364F7">
        <w:rPr>
          <w:rFonts w:ascii="Arial" w:hAnsi="Arial" w:cs="Arial"/>
          <w:color w:val="1C1A15"/>
          <w:lang w:val="nl-BE"/>
        </w:rPr>
        <w:t xml:space="preserve">Deze voorbeelden zijn geen verplicht sjabloon, maar kunnen </w:t>
      </w:r>
      <w:r w:rsidR="00052C10">
        <w:rPr>
          <w:rFonts w:ascii="Arial" w:hAnsi="Arial" w:cs="Arial"/>
          <w:color w:val="1C1A15"/>
          <w:lang w:val="nl-BE"/>
        </w:rPr>
        <w:t xml:space="preserve">dienen </w:t>
      </w:r>
      <w:r w:rsidRPr="005364F7">
        <w:rPr>
          <w:rFonts w:ascii="Arial" w:hAnsi="Arial" w:cs="Arial"/>
          <w:color w:val="1C1A15"/>
          <w:lang w:val="nl-BE"/>
        </w:rPr>
        <w:t>als hulpmiddel voor exploitanten.</w:t>
      </w:r>
      <w:r w:rsidRPr="005364F7">
        <w:rPr>
          <w:rFonts w:ascii="Arial" w:hAnsi="Arial" w:cs="Arial"/>
          <w:lang w:val="nl-BE"/>
        </w:rPr>
        <w:t xml:space="preserve"> Het gaat hier voor alle duidelijkheid </w:t>
      </w:r>
      <w:r w:rsidR="00052C10">
        <w:rPr>
          <w:rFonts w:ascii="Arial" w:hAnsi="Arial" w:cs="Arial"/>
          <w:lang w:val="nl-BE"/>
        </w:rPr>
        <w:t xml:space="preserve">telkens </w:t>
      </w:r>
      <w:r w:rsidRPr="005364F7">
        <w:rPr>
          <w:rFonts w:ascii="Arial" w:hAnsi="Arial" w:cs="Arial"/>
          <w:lang w:val="nl-BE"/>
        </w:rPr>
        <w:t>over een voorbeeld, waarvan het stramien best overgenomen wordt, maar niet de inhoud als dusdanig.</w:t>
      </w:r>
    </w:p>
    <w:p w14:paraId="3229FF9D" w14:textId="741E0DAF" w:rsidR="00D16F4C" w:rsidRPr="005364F7" w:rsidRDefault="00D16F4C" w:rsidP="005364F7">
      <w:pPr>
        <w:autoSpaceDE w:val="0"/>
        <w:autoSpaceDN w:val="0"/>
        <w:adjustRightInd w:val="0"/>
        <w:spacing w:after="0" w:line="240" w:lineRule="auto"/>
        <w:jc w:val="both"/>
        <w:rPr>
          <w:rFonts w:ascii="Arial" w:hAnsi="Arial" w:cs="Arial"/>
          <w:color w:val="1C1A15"/>
          <w:lang w:val="nl-BE"/>
        </w:rPr>
      </w:pPr>
    </w:p>
    <w:p w14:paraId="103FF26B" w14:textId="35EFF76F" w:rsidR="00D16F4C" w:rsidRPr="005364F7" w:rsidRDefault="00D16F4C" w:rsidP="005364F7">
      <w:pPr>
        <w:jc w:val="both"/>
        <w:rPr>
          <w:rFonts w:ascii="Arial" w:hAnsi="Arial" w:cs="Arial"/>
          <w:lang w:val="nl-BE"/>
        </w:rPr>
      </w:pPr>
      <w:r w:rsidRPr="005364F7">
        <w:rPr>
          <w:rFonts w:ascii="Arial" w:hAnsi="Arial" w:cs="Arial"/>
          <w:lang w:val="nl-BE"/>
        </w:rPr>
        <w:t>VOORBEELDEN IN BIJLAGEN</w:t>
      </w:r>
    </w:p>
    <w:p w14:paraId="0043B82F" w14:textId="3BCFF709" w:rsidR="00D16F4C" w:rsidRPr="005364F7" w:rsidRDefault="00D16F4C" w:rsidP="005364F7">
      <w:pPr>
        <w:pStyle w:val="Lijstalinea"/>
        <w:numPr>
          <w:ilvl w:val="0"/>
          <w:numId w:val="22"/>
        </w:numPr>
        <w:jc w:val="both"/>
        <w:rPr>
          <w:rFonts w:ascii="Arial" w:hAnsi="Arial" w:cs="Arial"/>
          <w:lang w:val="nl-BE"/>
        </w:rPr>
      </w:pPr>
      <w:r w:rsidRPr="005364F7">
        <w:rPr>
          <w:rFonts w:ascii="Arial" w:hAnsi="Arial" w:cs="Arial"/>
          <w:lang w:val="nl-BE"/>
        </w:rPr>
        <w:t xml:space="preserve">In bijlage 2 vindt men een numeriek voorbeeld van een installatie met meerdere debietmetingen: de tabel in bijlage 2 vertrekt van bijlage 1 en vult deze verder aan. </w:t>
      </w:r>
      <w:r w:rsidR="00052C10">
        <w:rPr>
          <w:rFonts w:ascii="Arial" w:hAnsi="Arial" w:cs="Arial"/>
          <w:lang w:val="nl-BE"/>
        </w:rPr>
        <w:t xml:space="preserve">Deze bijlage </w:t>
      </w:r>
      <w:r w:rsidRPr="005364F7">
        <w:rPr>
          <w:rFonts w:ascii="Arial" w:hAnsi="Arial" w:cs="Arial"/>
          <w:lang w:val="nl-BE"/>
        </w:rPr>
        <w:t>bevat uitgewerkte voorbeelden voor de meeste rubrieken in de tabbladen E, F en G van het MMP</w:t>
      </w:r>
    </w:p>
    <w:p w14:paraId="40FD9739" w14:textId="7249FADA" w:rsidR="00D16F4C" w:rsidRPr="005364F7" w:rsidRDefault="00052C10" w:rsidP="00143C1A">
      <w:pPr>
        <w:jc w:val="both"/>
        <w:rPr>
          <w:rFonts w:ascii="Arial" w:hAnsi="Arial" w:cs="Arial"/>
          <w:lang w:val="nl-BE"/>
        </w:rPr>
      </w:pPr>
      <w:r w:rsidRPr="005364F7">
        <w:rPr>
          <w:rFonts w:ascii="Arial" w:hAnsi="Arial" w:cs="Arial"/>
          <w:lang w:val="nl-BE"/>
        </w:rPr>
        <w:object w:dxaOrig="1376" w:dyaOrig="893" w14:anchorId="48FA2E96">
          <v:shape id="_x0000_i1026" type="#_x0000_t75" style="width:69pt;height:45pt" o:ole="">
            <v:imagedata r:id="rId15" o:title=""/>
          </v:shape>
          <o:OLEObject Type="Embed" ProgID="Excel.Sheet.12" ShapeID="_x0000_i1026" DrawAspect="Icon" ObjectID="_1633334569" r:id="rId16"/>
        </w:object>
      </w:r>
    </w:p>
    <w:p w14:paraId="5B9F4FBB" w14:textId="40DA0B61" w:rsidR="00D16F4C" w:rsidRPr="005364F7" w:rsidRDefault="00D16F4C" w:rsidP="005364F7">
      <w:pPr>
        <w:pStyle w:val="Lijstalinea"/>
        <w:numPr>
          <w:ilvl w:val="0"/>
          <w:numId w:val="22"/>
        </w:numPr>
        <w:spacing w:after="0"/>
        <w:jc w:val="both"/>
        <w:rPr>
          <w:rFonts w:ascii="Arial" w:hAnsi="Arial" w:cs="Arial"/>
          <w:lang w:val="nl-BE"/>
        </w:rPr>
      </w:pPr>
      <w:r w:rsidRPr="005364F7">
        <w:rPr>
          <w:rFonts w:ascii="Arial" w:hAnsi="Arial" w:cs="Arial"/>
          <w:lang w:val="nl-BE"/>
        </w:rPr>
        <w:t xml:space="preserve">In bijlage 3 vindt men een uitgewerkt voorbeeld voor exploitanten die de warmtebenchmark sub-installatie berekenen a.h.v. paragraaf 6.12 uit guidance 5. </w:t>
      </w:r>
    </w:p>
    <w:p w14:paraId="09C2A1FD" w14:textId="22CD5066" w:rsidR="00D16F4C" w:rsidRDefault="00052C10" w:rsidP="005364F7">
      <w:pPr>
        <w:spacing w:after="0"/>
        <w:jc w:val="both"/>
        <w:rPr>
          <w:rFonts w:ascii="Arial" w:hAnsi="Arial" w:cs="Arial"/>
          <w:lang w:val="nl-BE"/>
        </w:rPr>
      </w:pPr>
      <w:r w:rsidRPr="005364F7">
        <w:rPr>
          <w:rFonts w:ascii="Arial" w:hAnsi="Arial" w:cs="Arial"/>
          <w:lang w:val="nl-BE"/>
        </w:rPr>
        <w:object w:dxaOrig="1376" w:dyaOrig="893" w14:anchorId="71569F7F">
          <v:shape id="_x0000_i1027" type="#_x0000_t75" style="width:69pt;height:45pt" o:ole="">
            <v:imagedata r:id="rId17" o:title=""/>
          </v:shape>
          <o:OLEObject Type="Embed" ProgID="Excel.Sheet.12" ShapeID="_x0000_i1027" DrawAspect="Icon" ObjectID="_1633334570" r:id="rId18"/>
        </w:object>
      </w:r>
    </w:p>
    <w:p w14:paraId="39921646" w14:textId="77777777" w:rsidR="00143C1A" w:rsidRPr="005364F7" w:rsidRDefault="00143C1A" w:rsidP="005364F7">
      <w:pPr>
        <w:spacing w:after="0"/>
        <w:jc w:val="both"/>
        <w:rPr>
          <w:rFonts w:ascii="Arial" w:hAnsi="Arial" w:cs="Arial"/>
          <w:lang w:val="nl-BE"/>
        </w:rPr>
      </w:pPr>
    </w:p>
    <w:p w14:paraId="0ACD0D5A" w14:textId="51F440E7" w:rsidR="00D16F4C" w:rsidRPr="005364F7" w:rsidRDefault="00D16F4C" w:rsidP="005364F7">
      <w:pPr>
        <w:pStyle w:val="Lijstalinea"/>
        <w:numPr>
          <w:ilvl w:val="0"/>
          <w:numId w:val="22"/>
        </w:numPr>
        <w:spacing w:after="0"/>
        <w:jc w:val="both"/>
        <w:rPr>
          <w:rFonts w:ascii="Arial" w:hAnsi="Arial" w:cs="Arial"/>
          <w:lang w:val="nl-BE"/>
        </w:rPr>
      </w:pPr>
      <w:r w:rsidRPr="005364F7">
        <w:rPr>
          <w:rFonts w:ascii="Arial" w:hAnsi="Arial" w:cs="Arial"/>
          <w:lang w:val="nl-BE"/>
        </w:rPr>
        <w:t xml:space="preserve">Bijlage 4 bevat extra toelichting en een uitgewerkt voorbeeld voor minder complexe bedrijven. Het bestaat uit een lagedrukstoomketel die via aardgasverbranding stoom genereert. </w:t>
      </w:r>
    </w:p>
    <w:bookmarkStart w:id="1" w:name="_MON_1633261278"/>
    <w:bookmarkEnd w:id="1"/>
    <w:p w14:paraId="5CCB64D4" w14:textId="3D056675" w:rsidR="002D412D" w:rsidRPr="005364F7" w:rsidRDefault="001F4733" w:rsidP="00143C1A">
      <w:pPr>
        <w:spacing w:after="0"/>
        <w:jc w:val="both"/>
        <w:rPr>
          <w:rFonts w:ascii="Arial" w:hAnsi="Arial" w:cs="Arial"/>
          <w:color w:val="1C1A15"/>
          <w:lang w:val="nl-BE"/>
        </w:rPr>
      </w:pPr>
      <w:r w:rsidRPr="005364F7">
        <w:rPr>
          <w:rFonts w:ascii="Arial" w:hAnsi="Arial" w:cs="Arial"/>
          <w:lang w:val="nl-BE"/>
        </w:rPr>
        <w:object w:dxaOrig="1376" w:dyaOrig="893" w14:anchorId="5BD51100">
          <v:shape id="_x0000_i1028" type="#_x0000_t75" style="width:69pt;height:45pt" o:ole="">
            <v:imagedata r:id="rId19" o:title=""/>
          </v:shape>
          <o:OLEObject Type="Embed" ProgID="Word.Document.12" ShapeID="_x0000_i1028" DrawAspect="Icon" ObjectID="_1633334571" r:id="rId20">
            <o:FieldCodes>\s</o:FieldCodes>
          </o:OLEObject>
        </w:object>
      </w:r>
    </w:p>
    <w:p w14:paraId="19F13C7E" w14:textId="77777777" w:rsidR="002D412D" w:rsidRPr="005364F7" w:rsidRDefault="002D412D" w:rsidP="005364F7">
      <w:pPr>
        <w:pStyle w:val="Lijstalinea"/>
        <w:numPr>
          <w:ilvl w:val="0"/>
          <w:numId w:val="23"/>
        </w:numPr>
        <w:ind w:left="426" w:hanging="426"/>
        <w:jc w:val="both"/>
        <w:rPr>
          <w:rFonts w:ascii="Arial" w:hAnsi="Arial" w:cs="Arial"/>
          <w:b/>
          <w:sz w:val="32"/>
          <w:szCs w:val="32"/>
          <w:u w:val="single"/>
          <w:lang w:val="nl-BE"/>
        </w:rPr>
        <w:sectPr w:rsidR="002D412D" w:rsidRPr="005364F7">
          <w:footerReference w:type="default" r:id="rId21"/>
          <w:pgSz w:w="11906" w:h="16838"/>
          <w:pgMar w:top="1440" w:right="1440" w:bottom="1440" w:left="1440" w:header="708" w:footer="708" w:gutter="0"/>
          <w:cols w:space="708"/>
          <w:docGrid w:linePitch="360"/>
        </w:sectPr>
      </w:pPr>
    </w:p>
    <w:p w14:paraId="20091991" w14:textId="6FA14C19" w:rsidR="002D412D" w:rsidRPr="005364F7" w:rsidRDefault="002D412D" w:rsidP="005364F7">
      <w:pPr>
        <w:pStyle w:val="Lijstalinea"/>
        <w:numPr>
          <w:ilvl w:val="0"/>
          <w:numId w:val="23"/>
        </w:numPr>
        <w:ind w:left="426" w:hanging="426"/>
        <w:jc w:val="both"/>
        <w:rPr>
          <w:rFonts w:ascii="Arial" w:hAnsi="Arial" w:cs="Arial"/>
          <w:b/>
          <w:sz w:val="32"/>
          <w:szCs w:val="32"/>
          <w:u w:val="single"/>
          <w:lang w:val="nl-BE"/>
        </w:rPr>
      </w:pPr>
      <w:r w:rsidRPr="005364F7">
        <w:rPr>
          <w:rFonts w:ascii="Arial" w:hAnsi="Arial" w:cs="Arial"/>
          <w:b/>
          <w:sz w:val="32"/>
          <w:szCs w:val="32"/>
          <w:u w:val="single"/>
          <w:lang w:val="nl-BE"/>
        </w:rPr>
        <w:lastRenderedPageBreak/>
        <w:t>Checklist</w:t>
      </w:r>
    </w:p>
    <w:p w14:paraId="2B806FA4" w14:textId="77777777" w:rsidR="002D412D" w:rsidRPr="005364F7" w:rsidRDefault="002D412D" w:rsidP="005364F7">
      <w:pPr>
        <w:autoSpaceDE w:val="0"/>
        <w:autoSpaceDN w:val="0"/>
        <w:adjustRightInd w:val="0"/>
        <w:spacing w:after="0" w:line="240" w:lineRule="auto"/>
        <w:jc w:val="both"/>
        <w:rPr>
          <w:rFonts w:ascii="Arial" w:hAnsi="Arial" w:cs="Arial"/>
          <w:color w:val="1C1A15"/>
          <w:lang w:val="nl-BE"/>
        </w:rPr>
      </w:pPr>
    </w:p>
    <w:tbl>
      <w:tblPr>
        <w:tblStyle w:val="Tabelraster"/>
        <w:tblW w:w="0" w:type="auto"/>
        <w:tblLook w:val="04A0" w:firstRow="1" w:lastRow="0" w:firstColumn="1" w:lastColumn="0" w:noHBand="0" w:noVBand="1"/>
      </w:tblPr>
      <w:tblGrid>
        <w:gridCol w:w="6941"/>
        <w:gridCol w:w="4111"/>
        <w:gridCol w:w="2896"/>
      </w:tblGrid>
      <w:tr w:rsidR="002D412D" w:rsidRPr="005364F7" w14:paraId="4A2F38BA" w14:textId="77777777" w:rsidTr="00F4534E">
        <w:tc>
          <w:tcPr>
            <w:tcW w:w="6941" w:type="dxa"/>
          </w:tcPr>
          <w:p w14:paraId="22ECE8AB" w14:textId="7B85C770" w:rsidR="002D412D" w:rsidRPr="005364F7" w:rsidRDefault="002D412D" w:rsidP="005364F7">
            <w:pPr>
              <w:autoSpaceDE w:val="0"/>
              <w:autoSpaceDN w:val="0"/>
              <w:adjustRightInd w:val="0"/>
              <w:jc w:val="both"/>
              <w:rPr>
                <w:rFonts w:ascii="Arial" w:hAnsi="Arial" w:cs="Arial"/>
                <w:b/>
                <w:color w:val="1C1A15"/>
                <w:lang w:val="nl-BE"/>
              </w:rPr>
            </w:pPr>
            <w:r w:rsidRPr="005364F7">
              <w:rPr>
                <w:rFonts w:ascii="Arial" w:hAnsi="Arial" w:cs="Arial"/>
                <w:b/>
                <w:color w:val="1C1A15"/>
                <w:lang w:val="nl-BE"/>
              </w:rPr>
              <w:t>Vereiste actie</w:t>
            </w:r>
          </w:p>
        </w:tc>
        <w:tc>
          <w:tcPr>
            <w:tcW w:w="4111" w:type="dxa"/>
          </w:tcPr>
          <w:p w14:paraId="75A6AF13" w14:textId="36D743E8" w:rsidR="002D412D" w:rsidRPr="005364F7" w:rsidRDefault="002D412D" w:rsidP="005364F7">
            <w:pPr>
              <w:autoSpaceDE w:val="0"/>
              <w:autoSpaceDN w:val="0"/>
              <w:adjustRightInd w:val="0"/>
              <w:jc w:val="both"/>
              <w:rPr>
                <w:rFonts w:ascii="Arial" w:hAnsi="Arial" w:cs="Arial"/>
                <w:b/>
                <w:color w:val="1C1A15"/>
                <w:lang w:val="nl-BE"/>
              </w:rPr>
            </w:pPr>
            <w:r w:rsidRPr="005364F7">
              <w:rPr>
                <w:rFonts w:ascii="Arial" w:hAnsi="Arial" w:cs="Arial"/>
                <w:b/>
                <w:color w:val="1C1A15"/>
                <w:lang w:val="nl-BE"/>
              </w:rPr>
              <w:t>Relevante sectie</w:t>
            </w:r>
          </w:p>
        </w:tc>
        <w:tc>
          <w:tcPr>
            <w:tcW w:w="2896" w:type="dxa"/>
          </w:tcPr>
          <w:p w14:paraId="16976CA2" w14:textId="2F7C2FCA" w:rsidR="002D412D" w:rsidRPr="005364F7" w:rsidRDefault="002D412D" w:rsidP="005364F7">
            <w:pPr>
              <w:autoSpaceDE w:val="0"/>
              <w:autoSpaceDN w:val="0"/>
              <w:adjustRightInd w:val="0"/>
              <w:jc w:val="both"/>
              <w:rPr>
                <w:rFonts w:ascii="Arial" w:hAnsi="Arial" w:cs="Arial"/>
                <w:b/>
                <w:color w:val="1C1A15"/>
                <w:lang w:val="nl-BE"/>
              </w:rPr>
            </w:pPr>
            <w:r w:rsidRPr="005364F7">
              <w:rPr>
                <w:rFonts w:ascii="Arial" w:hAnsi="Arial" w:cs="Arial"/>
                <w:b/>
                <w:color w:val="1C1A15"/>
                <w:lang w:val="nl-BE"/>
              </w:rPr>
              <w:t>Uitgevoerd</w:t>
            </w:r>
          </w:p>
        </w:tc>
      </w:tr>
      <w:tr w:rsidR="002D412D" w:rsidRPr="005364F7" w14:paraId="58566115" w14:textId="77777777" w:rsidTr="00F4534E">
        <w:tc>
          <w:tcPr>
            <w:tcW w:w="6941" w:type="dxa"/>
          </w:tcPr>
          <w:p w14:paraId="7F4A57E4" w14:textId="39D03E75" w:rsidR="002D412D" w:rsidRPr="005364F7" w:rsidRDefault="002D412D"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 xml:space="preserve">Wordt voor elke dataset de meest nauwkeurige methodiek (o.b.v hiërarchie in de FAR) gebruikt. Voor elke dataset waar dit niet het geval is </w:t>
            </w:r>
            <w:r w:rsidR="001F4733">
              <w:rPr>
                <w:rFonts w:ascii="Arial" w:hAnsi="Arial" w:cs="Arial"/>
                <w:color w:val="1C1A15"/>
                <w:lang w:val="nl-BE"/>
              </w:rPr>
              <w:t xml:space="preserve">dient men </w:t>
            </w:r>
            <w:r w:rsidRPr="005364F7">
              <w:rPr>
                <w:rFonts w:ascii="Arial" w:hAnsi="Arial" w:cs="Arial"/>
                <w:color w:val="1C1A15"/>
                <w:lang w:val="nl-BE"/>
              </w:rPr>
              <w:t xml:space="preserve">één van onderstaande acties </w:t>
            </w:r>
            <w:r w:rsidR="001F4733">
              <w:rPr>
                <w:rFonts w:ascii="Arial" w:hAnsi="Arial" w:cs="Arial"/>
                <w:color w:val="1C1A15"/>
                <w:lang w:val="nl-BE"/>
              </w:rPr>
              <w:t xml:space="preserve">te </w:t>
            </w:r>
            <w:r w:rsidRPr="005364F7">
              <w:rPr>
                <w:rFonts w:ascii="Arial" w:hAnsi="Arial" w:cs="Arial"/>
                <w:color w:val="1C1A15"/>
                <w:lang w:val="nl-BE"/>
              </w:rPr>
              <w:t>ondernemen:</w:t>
            </w:r>
          </w:p>
          <w:p w14:paraId="7CEF1D1F" w14:textId="77777777" w:rsidR="002D412D" w:rsidRPr="005364F7" w:rsidRDefault="002D412D" w:rsidP="005364F7">
            <w:pPr>
              <w:pStyle w:val="Lijstalinea"/>
              <w:numPr>
                <w:ilvl w:val="0"/>
                <w:numId w:val="29"/>
              </w:numPr>
              <w:autoSpaceDE w:val="0"/>
              <w:autoSpaceDN w:val="0"/>
              <w:adjustRightInd w:val="0"/>
              <w:jc w:val="both"/>
              <w:rPr>
                <w:rFonts w:ascii="Arial" w:hAnsi="Arial" w:cs="Arial"/>
                <w:color w:val="1C1A15"/>
                <w:lang w:val="nl-BE"/>
              </w:rPr>
            </w:pPr>
            <w:r w:rsidRPr="005364F7">
              <w:rPr>
                <w:rFonts w:ascii="Arial" w:hAnsi="Arial" w:cs="Arial"/>
                <w:color w:val="1C1A15"/>
                <w:lang w:val="nl-BE"/>
              </w:rPr>
              <w:t>Uitwerking van corrigerende maatregel zodat in de toekomst de hïerarchie wel wordt gerespecteerd;</w:t>
            </w:r>
          </w:p>
          <w:p w14:paraId="62E43238" w14:textId="77777777" w:rsidR="002D412D" w:rsidRPr="005364F7" w:rsidRDefault="002D412D" w:rsidP="005364F7">
            <w:pPr>
              <w:pStyle w:val="Lijstalinea"/>
              <w:numPr>
                <w:ilvl w:val="0"/>
                <w:numId w:val="29"/>
              </w:numPr>
              <w:autoSpaceDE w:val="0"/>
              <w:autoSpaceDN w:val="0"/>
              <w:adjustRightInd w:val="0"/>
              <w:jc w:val="both"/>
              <w:rPr>
                <w:rFonts w:ascii="Arial" w:hAnsi="Arial" w:cs="Arial"/>
                <w:color w:val="1C1A15"/>
                <w:lang w:val="nl-BE"/>
              </w:rPr>
            </w:pPr>
            <w:r w:rsidRPr="005364F7">
              <w:rPr>
                <w:rFonts w:ascii="Arial" w:hAnsi="Arial" w:cs="Arial"/>
                <w:color w:val="1C1A15"/>
                <w:lang w:val="nl-BE"/>
              </w:rPr>
              <w:t>Onderbouwing onredelijke kosten/technische onhaalbaarheid</w:t>
            </w:r>
          </w:p>
          <w:p w14:paraId="10A0020D" w14:textId="575297A9" w:rsidR="002D412D" w:rsidRPr="005364F7" w:rsidRDefault="002D412D" w:rsidP="005364F7">
            <w:pPr>
              <w:pStyle w:val="Lijstalinea"/>
              <w:numPr>
                <w:ilvl w:val="0"/>
                <w:numId w:val="29"/>
              </w:numPr>
              <w:autoSpaceDE w:val="0"/>
              <w:autoSpaceDN w:val="0"/>
              <w:adjustRightInd w:val="0"/>
              <w:jc w:val="both"/>
              <w:rPr>
                <w:rFonts w:ascii="Arial" w:hAnsi="Arial" w:cs="Arial"/>
                <w:color w:val="1C1A15"/>
                <w:lang w:val="nl-BE"/>
              </w:rPr>
            </w:pPr>
            <w:r w:rsidRPr="005364F7">
              <w:rPr>
                <w:rFonts w:ascii="Arial" w:hAnsi="Arial" w:cs="Arial"/>
                <w:color w:val="1C1A15"/>
                <w:lang w:val="nl-BE"/>
              </w:rPr>
              <w:t>Onderbouwing equivalente nauwkeurigheid a.h.v. vereenvoudigde onzekerheidsbeoordeling</w:t>
            </w:r>
          </w:p>
        </w:tc>
        <w:tc>
          <w:tcPr>
            <w:tcW w:w="4111" w:type="dxa"/>
          </w:tcPr>
          <w:p w14:paraId="657B7554" w14:textId="1C810102" w:rsidR="002D412D" w:rsidRPr="005364F7" w:rsidRDefault="002D412D"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4.1 – 4.4</w:t>
            </w:r>
          </w:p>
        </w:tc>
        <w:tc>
          <w:tcPr>
            <w:tcW w:w="2896" w:type="dxa"/>
          </w:tcPr>
          <w:p w14:paraId="4C50F1BB" w14:textId="77777777" w:rsidR="002D412D" w:rsidRPr="005364F7" w:rsidRDefault="002D412D" w:rsidP="005364F7">
            <w:pPr>
              <w:autoSpaceDE w:val="0"/>
              <w:autoSpaceDN w:val="0"/>
              <w:adjustRightInd w:val="0"/>
              <w:jc w:val="both"/>
              <w:rPr>
                <w:rFonts w:ascii="Arial" w:hAnsi="Arial" w:cs="Arial"/>
                <w:color w:val="1C1A15"/>
                <w:lang w:val="nl-BE"/>
              </w:rPr>
            </w:pPr>
          </w:p>
        </w:tc>
      </w:tr>
      <w:tr w:rsidR="002D412D" w:rsidRPr="005364F7" w14:paraId="4D618E5B" w14:textId="77777777" w:rsidTr="002D412D">
        <w:tc>
          <w:tcPr>
            <w:tcW w:w="6941" w:type="dxa"/>
          </w:tcPr>
          <w:p w14:paraId="2EFB0B15" w14:textId="6FA63F16" w:rsidR="002D412D" w:rsidRPr="005364F7" w:rsidRDefault="002D412D"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Zijn alle beschreven methodieken voldoende duidelijk en begrijpelijk?</w:t>
            </w:r>
          </w:p>
        </w:tc>
        <w:tc>
          <w:tcPr>
            <w:tcW w:w="4111" w:type="dxa"/>
          </w:tcPr>
          <w:p w14:paraId="6FE4E0DE" w14:textId="0AFE364C" w:rsidR="002D412D" w:rsidRPr="005364F7" w:rsidRDefault="002D412D"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5.1 en 5.2.3</w:t>
            </w:r>
          </w:p>
        </w:tc>
        <w:tc>
          <w:tcPr>
            <w:tcW w:w="2896" w:type="dxa"/>
          </w:tcPr>
          <w:p w14:paraId="3A93A65A" w14:textId="77777777" w:rsidR="002D412D" w:rsidRPr="005364F7" w:rsidRDefault="002D412D" w:rsidP="005364F7">
            <w:pPr>
              <w:autoSpaceDE w:val="0"/>
              <w:autoSpaceDN w:val="0"/>
              <w:adjustRightInd w:val="0"/>
              <w:jc w:val="both"/>
              <w:rPr>
                <w:rFonts w:ascii="Arial" w:hAnsi="Arial" w:cs="Arial"/>
                <w:color w:val="1C1A15"/>
                <w:lang w:val="nl-BE"/>
              </w:rPr>
            </w:pPr>
          </w:p>
        </w:tc>
      </w:tr>
      <w:tr w:rsidR="002D412D" w:rsidRPr="005364F7" w14:paraId="066388C9" w14:textId="77777777" w:rsidTr="00F4534E">
        <w:tc>
          <w:tcPr>
            <w:tcW w:w="6941" w:type="dxa"/>
          </w:tcPr>
          <w:p w14:paraId="04D74DC8" w14:textId="31B0590D" w:rsidR="002D412D" w:rsidRPr="005364F7" w:rsidRDefault="002D412D"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Is er voor elke rekenformule in het MMP een duidelijk rekenvoorbeeld opgesteld (met zichtbare formules en duidelijke link naar de relevante secties in het MMP/baseline rapport)?</w:t>
            </w:r>
          </w:p>
        </w:tc>
        <w:tc>
          <w:tcPr>
            <w:tcW w:w="4111" w:type="dxa"/>
          </w:tcPr>
          <w:p w14:paraId="52CF9B64" w14:textId="12C9452B" w:rsidR="002D412D" w:rsidRPr="005364F7" w:rsidRDefault="002D412D"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5.2.1</w:t>
            </w:r>
          </w:p>
        </w:tc>
        <w:tc>
          <w:tcPr>
            <w:tcW w:w="2896" w:type="dxa"/>
          </w:tcPr>
          <w:p w14:paraId="01892BD7" w14:textId="77777777" w:rsidR="002D412D" w:rsidRPr="005364F7" w:rsidRDefault="002D412D" w:rsidP="005364F7">
            <w:pPr>
              <w:autoSpaceDE w:val="0"/>
              <w:autoSpaceDN w:val="0"/>
              <w:adjustRightInd w:val="0"/>
              <w:jc w:val="both"/>
              <w:rPr>
                <w:rFonts w:ascii="Arial" w:hAnsi="Arial" w:cs="Arial"/>
                <w:color w:val="1C1A15"/>
                <w:lang w:val="nl-BE"/>
              </w:rPr>
            </w:pPr>
          </w:p>
        </w:tc>
      </w:tr>
      <w:tr w:rsidR="002D412D" w:rsidRPr="005364F7" w14:paraId="72B9C212" w14:textId="77777777" w:rsidTr="00F4534E">
        <w:tc>
          <w:tcPr>
            <w:tcW w:w="6941" w:type="dxa"/>
          </w:tcPr>
          <w:p w14:paraId="33834AE8" w14:textId="381D1934" w:rsidR="002D412D" w:rsidRPr="005364F7" w:rsidRDefault="00BE34A5"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Zijn de procedures</w:t>
            </w:r>
            <w:r w:rsidR="002D412D" w:rsidRPr="005364F7">
              <w:rPr>
                <w:rFonts w:ascii="Arial" w:hAnsi="Arial" w:cs="Arial"/>
                <w:color w:val="1C1A15"/>
                <w:lang w:val="nl-BE"/>
              </w:rPr>
              <w:t xml:space="preserve"> </w:t>
            </w:r>
            <w:r w:rsidRPr="005364F7">
              <w:rPr>
                <w:rFonts w:ascii="Arial" w:hAnsi="Arial" w:cs="Arial"/>
                <w:color w:val="1C1A15"/>
                <w:lang w:val="nl-BE"/>
              </w:rPr>
              <w:t xml:space="preserve">in </w:t>
            </w:r>
            <w:r w:rsidR="002D412D" w:rsidRPr="005364F7">
              <w:rPr>
                <w:rFonts w:ascii="Arial" w:hAnsi="Arial" w:cs="Arial"/>
                <w:lang w:val="nl-BE"/>
              </w:rPr>
              <w:t xml:space="preserve">TAB_D </w:t>
            </w:r>
            <w:r w:rsidRPr="005364F7">
              <w:rPr>
                <w:rFonts w:ascii="Arial" w:hAnsi="Arial" w:cs="Arial"/>
                <w:lang w:val="nl-BE"/>
              </w:rPr>
              <w:t>voldoende duidelijk en uitgewerkt</w:t>
            </w:r>
            <w:r w:rsidR="002D412D" w:rsidRPr="005364F7">
              <w:rPr>
                <w:rFonts w:ascii="Arial" w:hAnsi="Arial" w:cs="Arial"/>
                <w:lang w:val="nl-BE"/>
              </w:rPr>
              <w:t xml:space="preserve">? </w:t>
            </w:r>
          </w:p>
        </w:tc>
        <w:tc>
          <w:tcPr>
            <w:tcW w:w="4111" w:type="dxa"/>
          </w:tcPr>
          <w:p w14:paraId="4EDD7AFB" w14:textId="70FE6CCF" w:rsidR="002D412D" w:rsidRPr="005364F7" w:rsidRDefault="002D412D"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5.2.2</w:t>
            </w:r>
            <w:r w:rsidR="00BE34A5" w:rsidRPr="005364F7">
              <w:rPr>
                <w:rFonts w:ascii="Arial" w:hAnsi="Arial" w:cs="Arial"/>
                <w:color w:val="1C1A15"/>
                <w:lang w:val="nl-BE"/>
              </w:rPr>
              <w:t>, 5.2.4 en 5.2.6</w:t>
            </w:r>
          </w:p>
        </w:tc>
        <w:tc>
          <w:tcPr>
            <w:tcW w:w="2896" w:type="dxa"/>
          </w:tcPr>
          <w:p w14:paraId="21C3E1CA" w14:textId="77777777" w:rsidR="002D412D" w:rsidRPr="005364F7" w:rsidRDefault="002D412D" w:rsidP="005364F7">
            <w:pPr>
              <w:autoSpaceDE w:val="0"/>
              <w:autoSpaceDN w:val="0"/>
              <w:adjustRightInd w:val="0"/>
              <w:jc w:val="both"/>
              <w:rPr>
                <w:rFonts w:ascii="Arial" w:hAnsi="Arial" w:cs="Arial"/>
                <w:color w:val="1C1A15"/>
                <w:lang w:val="nl-BE"/>
              </w:rPr>
            </w:pPr>
          </w:p>
        </w:tc>
      </w:tr>
      <w:tr w:rsidR="002D412D" w:rsidRPr="005364F7" w14:paraId="724CD657" w14:textId="77777777" w:rsidTr="00F4534E">
        <w:tc>
          <w:tcPr>
            <w:tcW w:w="6941" w:type="dxa"/>
          </w:tcPr>
          <w:p w14:paraId="5B571583" w14:textId="704B123D" w:rsidR="002D412D" w:rsidRPr="005364F7" w:rsidRDefault="00517CA6"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Is de methodiek voor de toewijzing van de emissies per sub-installatie correct?</w:t>
            </w:r>
          </w:p>
        </w:tc>
        <w:tc>
          <w:tcPr>
            <w:tcW w:w="4111" w:type="dxa"/>
          </w:tcPr>
          <w:p w14:paraId="36E12EDD" w14:textId="6EDD2694" w:rsidR="002D412D" w:rsidRPr="005364F7" w:rsidRDefault="00517CA6"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5.2.5</w:t>
            </w:r>
          </w:p>
        </w:tc>
        <w:tc>
          <w:tcPr>
            <w:tcW w:w="2896" w:type="dxa"/>
          </w:tcPr>
          <w:p w14:paraId="77CF99D1" w14:textId="77777777" w:rsidR="002D412D" w:rsidRPr="005364F7" w:rsidRDefault="002D412D" w:rsidP="005364F7">
            <w:pPr>
              <w:autoSpaceDE w:val="0"/>
              <w:autoSpaceDN w:val="0"/>
              <w:adjustRightInd w:val="0"/>
              <w:jc w:val="both"/>
              <w:rPr>
                <w:rFonts w:ascii="Arial" w:hAnsi="Arial" w:cs="Arial"/>
                <w:color w:val="1C1A15"/>
                <w:lang w:val="nl-BE"/>
              </w:rPr>
            </w:pPr>
          </w:p>
        </w:tc>
      </w:tr>
      <w:tr w:rsidR="002D412D" w:rsidRPr="005364F7" w14:paraId="13918F3B" w14:textId="77777777" w:rsidTr="00F4534E">
        <w:tc>
          <w:tcPr>
            <w:tcW w:w="6941" w:type="dxa"/>
          </w:tcPr>
          <w:p w14:paraId="08C7CBB5" w14:textId="3095EF37" w:rsidR="002D412D" w:rsidRPr="005364F7" w:rsidRDefault="00517CA6"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Zijn er sinds 2014-2018 wijziging</w:t>
            </w:r>
            <w:r w:rsidR="001F4733">
              <w:rPr>
                <w:rFonts w:ascii="Arial" w:hAnsi="Arial" w:cs="Arial"/>
                <w:color w:val="1C1A15"/>
                <w:lang w:val="nl-BE"/>
              </w:rPr>
              <w:t>en</w:t>
            </w:r>
            <w:r w:rsidRPr="005364F7">
              <w:rPr>
                <w:rFonts w:ascii="Arial" w:hAnsi="Arial" w:cs="Arial"/>
                <w:color w:val="1C1A15"/>
                <w:lang w:val="nl-BE"/>
              </w:rPr>
              <w:t xml:space="preserve"> gebeurd aan de installatie (toevoeging of schrapping van eenheden en/of meetinstrumenten) die moeten verwerkt worden in het MMP </w:t>
            </w:r>
          </w:p>
        </w:tc>
        <w:tc>
          <w:tcPr>
            <w:tcW w:w="4111" w:type="dxa"/>
          </w:tcPr>
          <w:p w14:paraId="73DE9B38" w14:textId="78012720" w:rsidR="002D412D" w:rsidRPr="005364F7" w:rsidRDefault="00517CA6" w:rsidP="005364F7">
            <w:pPr>
              <w:autoSpaceDE w:val="0"/>
              <w:autoSpaceDN w:val="0"/>
              <w:adjustRightInd w:val="0"/>
              <w:jc w:val="both"/>
              <w:rPr>
                <w:rFonts w:ascii="Arial" w:hAnsi="Arial" w:cs="Arial"/>
                <w:color w:val="1C1A15"/>
                <w:lang w:val="nl-BE"/>
              </w:rPr>
            </w:pPr>
            <w:r w:rsidRPr="005364F7">
              <w:rPr>
                <w:rFonts w:ascii="Arial" w:hAnsi="Arial" w:cs="Arial"/>
                <w:color w:val="1C1A15"/>
                <w:lang w:val="nl-BE"/>
              </w:rPr>
              <w:t>5.3</w:t>
            </w:r>
          </w:p>
        </w:tc>
        <w:tc>
          <w:tcPr>
            <w:tcW w:w="2896" w:type="dxa"/>
          </w:tcPr>
          <w:p w14:paraId="3DF5A396" w14:textId="77777777" w:rsidR="002D412D" w:rsidRPr="005364F7" w:rsidRDefault="002D412D" w:rsidP="005364F7">
            <w:pPr>
              <w:autoSpaceDE w:val="0"/>
              <w:autoSpaceDN w:val="0"/>
              <w:adjustRightInd w:val="0"/>
              <w:jc w:val="both"/>
              <w:rPr>
                <w:rFonts w:ascii="Arial" w:hAnsi="Arial" w:cs="Arial"/>
                <w:color w:val="1C1A15"/>
                <w:lang w:val="nl-BE"/>
              </w:rPr>
            </w:pPr>
          </w:p>
        </w:tc>
      </w:tr>
    </w:tbl>
    <w:p w14:paraId="3DF183FA" w14:textId="56AA6658" w:rsidR="002D412D" w:rsidRPr="005364F7" w:rsidRDefault="002D412D" w:rsidP="00F2332C">
      <w:pPr>
        <w:autoSpaceDE w:val="0"/>
        <w:autoSpaceDN w:val="0"/>
        <w:adjustRightInd w:val="0"/>
        <w:spacing w:after="0" w:line="240" w:lineRule="auto"/>
        <w:jc w:val="both"/>
        <w:rPr>
          <w:rFonts w:ascii="Arial" w:hAnsi="Arial" w:cs="Arial"/>
          <w:color w:val="1C1A15"/>
          <w:lang w:val="nl-BE"/>
        </w:rPr>
      </w:pPr>
      <w:bookmarkStart w:id="2" w:name="_GoBack"/>
      <w:bookmarkEnd w:id="2"/>
    </w:p>
    <w:sectPr w:rsidR="002D412D" w:rsidRPr="005364F7" w:rsidSect="00143C1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5277" w14:textId="77777777" w:rsidR="002D412D" w:rsidRDefault="002D412D" w:rsidP="008D1B84">
      <w:pPr>
        <w:spacing w:after="0" w:line="240" w:lineRule="auto"/>
      </w:pPr>
      <w:r>
        <w:separator/>
      </w:r>
    </w:p>
  </w:endnote>
  <w:endnote w:type="continuationSeparator" w:id="0">
    <w:p w14:paraId="3F7B0F7B" w14:textId="77777777" w:rsidR="002D412D" w:rsidRDefault="002D412D" w:rsidP="008D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680949"/>
      <w:docPartObj>
        <w:docPartGallery w:val="Page Numbers (Bottom of Page)"/>
        <w:docPartUnique/>
      </w:docPartObj>
    </w:sdtPr>
    <w:sdtEndPr>
      <w:rPr>
        <w:noProof/>
      </w:rPr>
    </w:sdtEndPr>
    <w:sdtContent>
      <w:p w14:paraId="72227785" w14:textId="2D4513E1" w:rsidR="002D412D" w:rsidRDefault="002D412D">
        <w:pPr>
          <w:pStyle w:val="Voettekst"/>
          <w:jc w:val="right"/>
        </w:pPr>
        <w:r>
          <w:fldChar w:fldCharType="begin"/>
        </w:r>
        <w:r>
          <w:instrText xml:space="preserve"> PAGE   \* MERGEFORMAT </w:instrText>
        </w:r>
        <w:r>
          <w:fldChar w:fldCharType="separate"/>
        </w:r>
        <w:r w:rsidR="00E82691">
          <w:rPr>
            <w:noProof/>
          </w:rPr>
          <w:t>8</w:t>
        </w:r>
        <w:r>
          <w:rPr>
            <w:noProof/>
          </w:rPr>
          <w:fldChar w:fldCharType="end"/>
        </w:r>
      </w:p>
    </w:sdtContent>
  </w:sdt>
  <w:p w14:paraId="504EC6C0" w14:textId="77777777" w:rsidR="002D412D" w:rsidRDefault="002D41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E92FD" w14:textId="77777777" w:rsidR="002D412D" w:rsidRDefault="002D412D" w:rsidP="008D1B84">
      <w:pPr>
        <w:spacing w:after="0" w:line="240" w:lineRule="auto"/>
      </w:pPr>
      <w:r>
        <w:separator/>
      </w:r>
    </w:p>
  </w:footnote>
  <w:footnote w:type="continuationSeparator" w:id="0">
    <w:p w14:paraId="541C1714" w14:textId="77777777" w:rsidR="002D412D" w:rsidRDefault="002D412D" w:rsidP="008D1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0A71"/>
    <w:multiLevelType w:val="hybridMultilevel"/>
    <w:tmpl w:val="06E03ECC"/>
    <w:lvl w:ilvl="0" w:tplc="0C000001">
      <w:start w:val="1"/>
      <w:numFmt w:val="bullet"/>
      <w:lvlText w:val=""/>
      <w:lvlJc w:val="left"/>
      <w:pPr>
        <w:ind w:left="2771" w:hanging="360"/>
      </w:pPr>
      <w:rPr>
        <w:rFonts w:ascii="Symbol" w:hAnsi="Symbol" w:hint="default"/>
      </w:rPr>
    </w:lvl>
    <w:lvl w:ilvl="1" w:tplc="0C000001">
      <w:start w:val="1"/>
      <w:numFmt w:val="bullet"/>
      <w:lvlText w:val=""/>
      <w:lvlJc w:val="left"/>
      <w:pPr>
        <w:ind w:left="3491" w:hanging="360"/>
      </w:pPr>
      <w:rPr>
        <w:rFonts w:ascii="Symbol" w:hAnsi="Symbol" w:hint="default"/>
      </w:rPr>
    </w:lvl>
    <w:lvl w:ilvl="2" w:tplc="0C000005" w:tentative="1">
      <w:start w:val="1"/>
      <w:numFmt w:val="bullet"/>
      <w:lvlText w:val=""/>
      <w:lvlJc w:val="left"/>
      <w:pPr>
        <w:ind w:left="4211" w:hanging="360"/>
      </w:pPr>
      <w:rPr>
        <w:rFonts w:ascii="Wingdings" w:hAnsi="Wingdings" w:hint="default"/>
      </w:rPr>
    </w:lvl>
    <w:lvl w:ilvl="3" w:tplc="0C000001" w:tentative="1">
      <w:start w:val="1"/>
      <w:numFmt w:val="bullet"/>
      <w:lvlText w:val=""/>
      <w:lvlJc w:val="left"/>
      <w:pPr>
        <w:ind w:left="4931" w:hanging="360"/>
      </w:pPr>
      <w:rPr>
        <w:rFonts w:ascii="Symbol" w:hAnsi="Symbol" w:hint="default"/>
      </w:rPr>
    </w:lvl>
    <w:lvl w:ilvl="4" w:tplc="0C000003" w:tentative="1">
      <w:start w:val="1"/>
      <w:numFmt w:val="bullet"/>
      <w:lvlText w:val="o"/>
      <w:lvlJc w:val="left"/>
      <w:pPr>
        <w:ind w:left="5651" w:hanging="360"/>
      </w:pPr>
      <w:rPr>
        <w:rFonts w:ascii="Courier New" w:hAnsi="Courier New" w:cs="Courier New" w:hint="default"/>
      </w:rPr>
    </w:lvl>
    <w:lvl w:ilvl="5" w:tplc="0C000005" w:tentative="1">
      <w:start w:val="1"/>
      <w:numFmt w:val="bullet"/>
      <w:lvlText w:val=""/>
      <w:lvlJc w:val="left"/>
      <w:pPr>
        <w:ind w:left="6371" w:hanging="360"/>
      </w:pPr>
      <w:rPr>
        <w:rFonts w:ascii="Wingdings" w:hAnsi="Wingdings" w:hint="default"/>
      </w:rPr>
    </w:lvl>
    <w:lvl w:ilvl="6" w:tplc="0C000001" w:tentative="1">
      <w:start w:val="1"/>
      <w:numFmt w:val="bullet"/>
      <w:lvlText w:val=""/>
      <w:lvlJc w:val="left"/>
      <w:pPr>
        <w:ind w:left="7091" w:hanging="360"/>
      </w:pPr>
      <w:rPr>
        <w:rFonts w:ascii="Symbol" w:hAnsi="Symbol" w:hint="default"/>
      </w:rPr>
    </w:lvl>
    <w:lvl w:ilvl="7" w:tplc="0C000003" w:tentative="1">
      <w:start w:val="1"/>
      <w:numFmt w:val="bullet"/>
      <w:lvlText w:val="o"/>
      <w:lvlJc w:val="left"/>
      <w:pPr>
        <w:ind w:left="7811" w:hanging="360"/>
      </w:pPr>
      <w:rPr>
        <w:rFonts w:ascii="Courier New" w:hAnsi="Courier New" w:cs="Courier New" w:hint="default"/>
      </w:rPr>
    </w:lvl>
    <w:lvl w:ilvl="8" w:tplc="0C000005" w:tentative="1">
      <w:start w:val="1"/>
      <w:numFmt w:val="bullet"/>
      <w:lvlText w:val=""/>
      <w:lvlJc w:val="left"/>
      <w:pPr>
        <w:ind w:left="8531" w:hanging="360"/>
      </w:pPr>
      <w:rPr>
        <w:rFonts w:ascii="Wingdings" w:hAnsi="Wingdings" w:hint="default"/>
      </w:rPr>
    </w:lvl>
  </w:abstractNum>
  <w:abstractNum w:abstractNumId="1" w15:restartNumberingAfterBreak="0">
    <w:nsid w:val="11E70B03"/>
    <w:multiLevelType w:val="hybridMultilevel"/>
    <w:tmpl w:val="342E452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16086B3F"/>
    <w:multiLevelType w:val="multilevel"/>
    <w:tmpl w:val="1D6632AA"/>
    <w:lvl w:ilvl="0">
      <w:start w:val="1"/>
      <w:numFmt w:val="decimal"/>
      <w:lvlText w:val="%1."/>
      <w:lvlJc w:val="left"/>
      <w:pPr>
        <w:ind w:left="720" w:hanging="360"/>
      </w:pPr>
      <w:rPr>
        <w:rFonts w:asciiTheme="majorHAnsi" w:hAnsiTheme="majorHAnsi" w:cstheme="majorBidi" w:hint="default"/>
        <w:color w:val="2F5496" w:themeColor="accent1" w:themeShade="BF"/>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CC2F3E"/>
    <w:multiLevelType w:val="hybridMultilevel"/>
    <w:tmpl w:val="49B8772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17D86EB8"/>
    <w:multiLevelType w:val="hybridMultilevel"/>
    <w:tmpl w:val="C802AF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8232BE"/>
    <w:multiLevelType w:val="hybridMultilevel"/>
    <w:tmpl w:val="AB462B8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2AEA0CFC"/>
    <w:multiLevelType w:val="hybridMultilevel"/>
    <w:tmpl w:val="94945DB6"/>
    <w:lvl w:ilvl="0" w:tplc="0C00000F">
      <w:start w:val="1"/>
      <w:numFmt w:val="decimal"/>
      <w:lvlText w:val="%1."/>
      <w:lvlJc w:val="left"/>
      <w:pPr>
        <w:ind w:left="1429" w:hanging="360"/>
      </w:pPr>
    </w:lvl>
    <w:lvl w:ilvl="1" w:tplc="0C000019" w:tentative="1">
      <w:start w:val="1"/>
      <w:numFmt w:val="lowerLetter"/>
      <w:lvlText w:val="%2."/>
      <w:lvlJc w:val="left"/>
      <w:pPr>
        <w:ind w:left="2149" w:hanging="360"/>
      </w:pPr>
    </w:lvl>
    <w:lvl w:ilvl="2" w:tplc="0C00001B" w:tentative="1">
      <w:start w:val="1"/>
      <w:numFmt w:val="lowerRoman"/>
      <w:lvlText w:val="%3."/>
      <w:lvlJc w:val="right"/>
      <w:pPr>
        <w:ind w:left="2869" w:hanging="180"/>
      </w:pPr>
    </w:lvl>
    <w:lvl w:ilvl="3" w:tplc="0C00000F" w:tentative="1">
      <w:start w:val="1"/>
      <w:numFmt w:val="decimal"/>
      <w:lvlText w:val="%4."/>
      <w:lvlJc w:val="left"/>
      <w:pPr>
        <w:ind w:left="3589" w:hanging="360"/>
      </w:pPr>
    </w:lvl>
    <w:lvl w:ilvl="4" w:tplc="0C000019" w:tentative="1">
      <w:start w:val="1"/>
      <w:numFmt w:val="lowerLetter"/>
      <w:lvlText w:val="%5."/>
      <w:lvlJc w:val="left"/>
      <w:pPr>
        <w:ind w:left="4309" w:hanging="360"/>
      </w:pPr>
    </w:lvl>
    <w:lvl w:ilvl="5" w:tplc="0C00001B" w:tentative="1">
      <w:start w:val="1"/>
      <w:numFmt w:val="lowerRoman"/>
      <w:lvlText w:val="%6."/>
      <w:lvlJc w:val="right"/>
      <w:pPr>
        <w:ind w:left="5029" w:hanging="180"/>
      </w:pPr>
    </w:lvl>
    <w:lvl w:ilvl="6" w:tplc="0C00000F" w:tentative="1">
      <w:start w:val="1"/>
      <w:numFmt w:val="decimal"/>
      <w:lvlText w:val="%7."/>
      <w:lvlJc w:val="left"/>
      <w:pPr>
        <w:ind w:left="5749" w:hanging="360"/>
      </w:pPr>
    </w:lvl>
    <w:lvl w:ilvl="7" w:tplc="0C000019" w:tentative="1">
      <w:start w:val="1"/>
      <w:numFmt w:val="lowerLetter"/>
      <w:lvlText w:val="%8."/>
      <w:lvlJc w:val="left"/>
      <w:pPr>
        <w:ind w:left="6469" w:hanging="360"/>
      </w:pPr>
    </w:lvl>
    <w:lvl w:ilvl="8" w:tplc="0C00001B" w:tentative="1">
      <w:start w:val="1"/>
      <w:numFmt w:val="lowerRoman"/>
      <w:lvlText w:val="%9."/>
      <w:lvlJc w:val="right"/>
      <w:pPr>
        <w:ind w:left="7189" w:hanging="180"/>
      </w:pPr>
    </w:lvl>
  </w:abstractNum>
  <w:abstractNum w:abstractNumId="7" w15:restartNumberingAfterBreak="0">
    <w:nsid w:val="2BD6669F"/>
    <w:multiLevelType w:val="hybridMultilevel"/>
    <w:tmpl w:val="788ADF34"/>
    <w:lvl w:ilvl="0" w:tplc="91A85124">
      <w:start w:val="1"/>
      <w:numFmt w:val="decimal"/>
      <w:lvlText w:val="%1."/>
      <w:lvlJc w:val="left"/>
      <w:pPr>
        <w:ind w:left="720" w:hanging="360"/>
      </w:pPr>
    </w:lvl>
    <w:lvl w:ilvl="1" w:tplc="0C000001">
      <w:start w:val="1"/>
      <w:numFmt w:val="bullet"/>
      <w:lvlText w:val=""/>
      <w:lvlJc w:val="left"/>
      <w:pPr>
        <w:ind w:left="1440" w:hanging="360"/>
      </w:pPr>
      <w:rPr>
        <w:rFonts w:ascii="Symbol" w:hAnsi="Symbol" w:hint="default"/>
      </w:r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2E2167C8"/>
    <w:multiLevelType w:val="hybridMultilevel"/>
    <w:tmpl w:val="3312918C"/>
    <w:lvl w:ilvl="0" w:tplc="EBD4D4A4">
      <w:start w:val="4"/>
      <w:numFmt w:val="bullet"/>
      <w:lvlText w:val=""/>
      <w:lvlJc w:val="left"/>
      <w:pPr>
        <w:ind w:left="360" w:hanging="360"/>
      </w:pPr>
      <w:rPr>
        <w:rFonts w:ascii="Wingdings" w:eastAsiaTheme="minorHAnsi" w:hAnsi="Wingdings"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EAD6A33"/>
    <w:multiLevelType w:val="multilevel"/>
    <w:tmpl w:val="38046E0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5025C9B"/>
    <w:multiLevelType w:val="hybridMultilevel"/>
    <w:tmpl w:val="70644A8C"/>
    <w:lvl w:ilvl="0" w:tplc="38324D72">
      <w:start w:val="1"/>
      <w:numFmt w:val="decimal"/>
      <w:lvlText w:val="%1."/>
      <w:lvlJc w:val="left"/>
      <w:pPr>
        <w:ind w:left="720" w:hanging="360"/>
      </w:pPr>
      <w:rPr>
        <w:rFonts w:hint="default"/>
      </w:rPr>
    </w:lvl>
    <w:lvl w:ilvl="1" w:tplc="0C000001">
      <w:start w:val="1"/>
      <w:numFmt w:val="bullet"/>
      <w:lvlText w:val=""/>
      <w:lvlJc w:val="left"/>
      <w:pPr>
        <w:ind w:left="1440" w:hanging="360"/>
      </w:pPr>
      <w:rPr>
        <w:rFonts w:ascii="Symbol" w:hAnsi="Symbol"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3CE975F6"/>
    <w:multiLevelType w:val="hybridMultilevel"/>
    <w:tmpl w:val="27BCBE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DA40650"/>
    <w:multiLevelType w:val="hybridMultilevel"/>
    <w:tmpl w:val="C4326B76"/>
    <w:lvl w:ilvl="0" w:tplc="7E46D8E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5056AF5"/>
    <w:multiLevelType w:val="hybridMultilevel"/>
    <w:tmpl w:val="268080EE"/>
    <w:lvl w:ilvl="0" w:tplc="08130017">
      <w:start w:val="1"/>
      <w:numFmt w:val="lowerLetter"/>
      <w:lvlText w:val="%1)"/>
      <w:lvlJc w:val="left"/>
      <w:pPr>
        <w:ind w:left="784" w:hanging="360"/>
      </w:pPr>
    </w:lvl>
    <w:lvl w:ilvl="1" w:tplc="08130019" w:tentative="1">
      <w:start w:val="1"/>
      <w:numFmt w:val="lowerLetter"/>
      <w:lvlText w:val="%2."/>
      <w:lvlJc w:val="left"/>
      <w:pPr>
        <w:ind w:left="1504" w:hanging="360"/>
      </w:pPr>
    </w:lvl>
    <w:lvl w:ilvl="2" w:tplc="0813001B" w:tentative="1">
      <w:start w:val="1"/>
      <w:numFmt w:val="lowerRoman"/>
      <w:lvlText w:val="%3."/>
      <w:lvlJc w:val="right"/>
      <w:pPr>
        <w:ind w:left="2224" w:hanging="180"/>
      </w:pPr>
    </w:lvl>
    <w:lvl w:ilvl="3" w:tplc="0813000F" w:tentative="1">
      <w:start w:val="1"/>
      <w:numFmt w:val="decimal"/>
      <w:lvlText w:val="%4."/>
      <w:lvlJc w:val="left"/>
      <w:pPr>
        <w:ind w:left="2944" w:hanging="360"/>
      </w:pPr>
    </w:lvl>
    <w:lvl w:ilvl="4" w:tplc="08130019" w:tentative="1">
      <w:start w:val="1"/>
      <w:numFmt w:val="lowerLetter"/>
      <w:lvlText w:val="%5."/>
      <w:lvlJc w:val="left"/>
      <w:pPr>
        <w:ind w:left="3664" w:hanging="360"/>
      </w:pPr>
    </w:lvl>
    <w:lvl w:ilvl="5" w:tplc="0813001B" w:tentative="1">
      <w:start w:val="1"/>
      <w:numFmt w:val="lowerRoman"/>
      <w:lvlText w:val="%6."/>
      <w:lvlJc w:val="right"/>
      <w:pPr>
        <w:ind w:left="4384" w:hanging="180"/>
      </w:pPr>
    </w:lvl>
    <w:lvl w:ilvl="6" w:tplc="0813000F" w:tentative="1">
      <w:start w:val="1"/>
      <w:numFmt w:val="decimal"/>
      <w:lvlText w:val="%7."/>
      <w:lvlJc w:val="left"/>
      <w:pPr>
        <w:ind w:left="5104" w:hanging="360"/>
      </w:pPr>
    </w:lvl>
    <w:lvl w:ilvl="7" w:tplc="08130019" w:tentative="1">
      <w:start w:val="1"/>
      <w:numFmt w:val="lowerLetter"/>
      <w:lvlText w:val="%8."/>
      <w:lvlJc w:val="left"/>
      <w:pPr>
        <w:ind w:left="5824" w:hanging="360"/>
      </w:pPr>
    </w:lvl>
    <w:lvl w:ilvl="8" w:tplc="0813001B" w:tentative="1">
      <w:start w:val="1"/>
      <w:numFmt w:val="lowerRoman"/>
      <w:lvlText w:val="%9."/>
      <w:lvlJc w:val="right"/>
      <w:pPr>
        <w:ind w:left="6544" w:hanging="180"/>
      </w:pPr>
    </w:lvl>
  </w:abstractNum>
  <w:abstractNum w:abstractNumId="14" w15:restartNumberingAfterBreak="0">
    <w:nsid w:val="55A97694"/>
    <w:multiLevelType w:val="hybridMultilevel"/>
    <w:tmpl w:val="F3A0EC30"/>
    <w:lvl w:ilvl="0" w:tplc="0788378A">
      <w:start w:val="4"/>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965375D"/>
    <w:multiLevelType w:val="hybridMultilevel"/>
    <w:tmpl w:val="3A3A3392"/>
    <w:lvl w:ilvl="0" w:tplc="5B46FABA">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9B81E5B"/>
    <w:multiLevelType w:val="hybridMultilevel"/>
    <w:tmpl w:val="A244A79A"/>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7" w15:restartNumberingAfterBreak="0">
    <w:nsid w:val="5C0D3049"/>
    <w:multiLevelType w:val="hybridMultilevel"/>
    <w:tmpl w:val="51CA268C"/>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8" w15:restartNumberingAfterBreak="0">
    <w:nsid w:val="5EAC2E32"/>
    <w:multiLevelType w:val="multilevel"/>
    <w:tmpl w:val="DFF0BD40"/>
    <w:lvl w:ilvl="0">
      <w:start w:val="2"/>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FD67196"/>
    <w:multiLevelType w:val="hybridMultilevel"/>
    <w:tmpl w:val="AD8689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1427569"/>
    <w:multiLevelType w:val="hybridMultilevel"/>
    <w:tmpl w:val="BE1CC516"/>
    <w:lvl w:ilvl="0" w:tplc="0C000001">
      <w:start w:val="1"/>
      <w:numFmt w:val="bullet"/>
      <w:lvlText w:val=""/>
      <w:lvlJc w:val="left"/>
      <w:pPr>
        <w:ind w:left="1146" w:hanging="360"/>
      </w:pPr>
      <w:rPr>
        <w:rFonts w:ascii="Symbol" w:hAnsi="Symbol" w:hint="default"/>
      </w:rPr>
    </w:lvl>
    <w:lvl w:ilvl="1" w:tplc="78BE7C26">
      <w:start w:val="1"/>
      <w:numFmt w:val="bullet"/>
      <w:lvlText w:val="o"/>
      <w:lvlJc w:val="left"/>
      <w:pPr>
        <w:ind w:left="1866" w:hanging="360"/>
      </w:pPr>
      <w:rPr>
        <w:rFonts w:ascii="Courier New" w:hAnsi="Courier New" w:cs="Courier New" w:hint="default"/>
        <w:sz w:val="22"/>
        <w:szCs w:val="22"/>
      </w:rPr>
    </w:lvl>
    <w:lvl w:ilvl="2" w:tplc="0C000005" w:tentative="1">
      <w:start w:val="1"/>
      <w:numFmt w:val="bullet"/>
      <w:lvlText w:val=""/>
      <w:lvlJc w:val="left"/>
      <w:pPr>
        <w:ind w:left="2586" w:hanging="360"/>
      </w:pPr>
      <w:rPr>
        <w:rFonts w:ascii="Wingdings" w:hAnsi="Wingdings" w:hint="default"/>
      </w:rPr>
    </w:lvl>
    <w:lvl w:ilvl="3" w:tplc="0C000001" w:tentative="1">
      <w:start w:val="1"/>
      <w:numFmt w:val="bullet"/>
      <w:lvlText w:val=""/>
      <w:lvlJc w:val="left"/>
      <w:pPr>
        <w:ind w:left="3306" w:hanging="360"/>
      </w:pPr>
      <w:rPr>
        <w:rFonts w:ascii="Symbol" w:hAnsi="Symbol" w:hint="default"/>
      </w:rPr>
    </w:lvl>
    <w:lvl w:ilvl="4" w:tplc="0C000003" w:tentative="1">
      <w:start w:val="1"/>
      <w:numFmt w:val="bullet"/>
      <w:lvlText w:val="o"/>
      <w:lvlJc w:val="left"/>
      <w:pPr>
        <w:ind w:left="4026" w:hanging="360"/>
      </w:pPr>
      <w:rPr>
        <w:rFonts w:ascii="Courier New" w:hAnsi="Courier New" w:cs="Courier New" w:hint="default"/>
      </w:rPr>
    </w:lvl>
    <w:lvl w:ilvl="5" w:tplc="0C000005" w:tentative="1">
      <w:start w:val="1"/>
      <w:numFmt w:val="bullet"/>
      <w:lvlText w:val=""/>
      <w:lvlJc w:val="left"/>
      <w:pPr>
        <w:ind w:left="4746" w:hanging="360"/>
      </w:pPr>
      <w:rPr>
        <w:rFonts w:ascii="Wingdings" w:hAnsi="Wingdings" w:hint="default"/>
      </w:rPr>
    </w:lvl>
    <w:lvl w:ilvl="6" w:tplc="0C000001" w:tentative="1">
      <w:start w:val="1"/>
      <w:numFmt w:val="bullet"/>
      <w:lvlText w:val=""/>
      <w:lvlJc w:val="left"/>
      <w:pPr>
        <w:ind w:left="5466" w:hanging="360"/>
      </w:pPr>
      <w:rPr>
        <w:rFonts w:ascii="Symbol" w:hAnsi="Symbol" w:hint="default"/>
      </w:rPr>
    </w:lvl>
    <w:lvl w:ilvl="7" w:tplc="0C000003" w:tentative="1">
      <w:start w:val="1"/>
      <w:numFmt w:val="bullet"/>
      <w:lvlText w:val="o"/>
      <w:lvlJc w:val="left"/>
      <w:pPr>
        <w:ind w:left="6186" w:hanging="360"/>
      </w:pPr>
      <w:rPr>
        <w:rFonts w:ascii="Courier New" w:hAnsi="Courier New" w:cs="Courier New" w:hint="default"/>
      </w:rPr>
    </w:lvl>
    <w:lvl w:ilvl="8" w:tplc="0C000005" w:tentative="1">
      <w:start w:val="1"/>
      <w:numFmt w:val="bullet"/>
      <w:lvlText w:val=""/>
      <w:lvlJc w:val="left"/>
      <w:pPr>
        <w:ind w:left="6906" w:hanging="360"/>
      </w:pPr>
      <w:rPr>
        <w:rFonts w:ascii="Wingdings" w:hAnsi="Wingdings" w:hint="default"/>
      </w:rPr>
    </w:lvl>
  </w:abstractNum>
  <w:abstractNum w:abstractNumId="21" w15:restartNumberingAfterBreak="0">
    <w:nsid w:val="619D1C69"/>
    <w:multiLevelType w:val="hybridMultilevel"/>
    <w:tmpl w:val="DCA06A5C"/>
    <w:lvl w:ilvl="0" w:tplc="91A85124">
      <w:start w:val="1"/>
      <w:numFmt w:val="decimal"/>
      <w:lvlText w:val="%1."/>
      <w:lvlJc w:val="left"/>
      <w:pPr>
        <w:ind w:left="720" w:hanging="360"/>
      </w:pPr>
    </w:lvl>
    <w:lvl w:ilvl="1" w:tplc="00000019">
      <w:start w:val="1"/>
      <w:numFmt w:val="lowerLetter"/>
      <w:lvlText w:val="%2."/>
      <w:lvlJc w:val="left"/>
      <w:pPr>
        <w:ind w:left="1440" w:hanging="360"/>
      </w:pPr>
      <w:rPr>
        <w:rFonts w:hint="default"/>
      </w:rPr>
    </w:lvl>
    <w:lvl w:ilvl="2" w:tplc="04130001">
      <w:start w:val="1"/>
      <w:numFmt w:val="bullet"/>
      <w:lvlText w:val=""/>
      <w:lvlJc w:val="left"/>
      <w:pPr>
        <w:ind w:left="2160" w:hanging="180"/>
      </w:pPr>
      <w:rPr>
        <w:rFonts w:ascii="Symbol" w:hAnsi="Symbol" w:hint="default"/>
      </w:r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2" w15:restartNumberingAfterBreak="0">
    <w:nsid w:val="6414218A"/>
    <w:multiLevelType w:val="hybridMultilevel"/>
    <w:tmpl w:val="BA0AC3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4334C19"/>
    <w:multiLevelType w:val="multilevel"/>
    <w:tmpl w:val="879E361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D90089"/>
    <w:multiLevelType w:val="hybridMultilevel"/>
    <w:tmpl w:val="8B3ABCE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5" w15:restartNumberingAfterBreak="0">
    <w:nsid w:val="66EF3857"/>
    <w:multiLevelType w:val="hybridMultilevel"/>
    <w:tmpl w:val="629EC8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877700B"/>
    <w:multiLevelType w:val="hybridMultilevel"/>
    <w:tmpl w:val="B9AEF6A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B2D6BF4"/>
    <w:multiLevelType w:val="multilevel"/>
    <w:tmpl w:val="7FAEB4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B5D1F42"/>
    <w:multiLevelType w:val="hybridMultilevel"/>
    <w:tmpl w:val="AE4C0F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5826F0"/>
    <w:multiLevelType w:val="hybridMultilevel"/>
    <w:tmpl w:val="D146E358"/>
    <w:lvl w:ilvl="0" w:tplc="0C000001">
      <w:start w:val="1"/>
      <w:numFmt w:val="bullet"/>
      <w:lvlText w:val=""/>
      <w:lvlJc w:val="left"/>
      <w:pPr>
        <w:ind w:left="1080" w:hanging="360"/>
      </w:pPr>
      <w:rPr>
        <w:rFonts w:ascii="Symbol" w:hAnsi="Symbol" w:hint="default"/>
        <w:sz w:val="22"/>
        <w:szCs w:val="22"/>
      </w:rPr>
    </w:lvl>
    <w:lvl w:ilvl="1" w:tplc="22BC0F8A">
      <w:numFmt w:val="bullet"/>
      <w:lvlText w:val=""/>
      <w:lvlJc w:val="left"/>
      <w:pPr>
        <w:ind w:left="654" w:hanging="360"/>
      </w:pPr>
      <w:rPr>
        <w:rFonts w:ascii="Symbol" w:eastAsiaTheme="minorHAnsi" w:hAnsi="Symbol" w:cs="Arial" w:hint="default"/>
      </w:rPr>
    </w:lvl>
    <w:lvl w:ilvl="2" w:tplc="0C000005" w:tentative="1">
      <w:start w:val="1"/>
      <w:numFmt w:val="bullet"/>
      <w:lvlText w:val=""/>
      <w:lvlJc w:val="left"/>
      <w:pPr>
        <w:ind w:left="1374" w:hanging="360"/>
      </w:pPr>
      <w:rPr>
        <w:rFonts w:ascii="Wingdings" w:hAnsi="Wingdings" w:hint="default"/>
      </w:rPr>
    </w:lvl>
    <w:lvl w:ilvl="3" w:tplc="0C000001" w:tentative="1">
      <w:start w:val="1"/>
      <w:numFmt w:val="bullet"/>
      <w:lvlText w:val=""/>
      <w:lvlJc w:val="left"/>
      <w:pPr>
        <w:ind w:left="2094" w:hanging="360"/>
      </w:pPr>
      <w:rPr>
        <w:rFonts w:ascii="Symbol" w:hAnsi="Symbol" w:hint="default"/>
      </w:rPr>
    </w:lvl>
    <w:lvl w:ilvl="4" w:tplc="0C000003" w:tentative="1">
      <w:start w:val="1"/>
      <w:numFmt w:val="bullet"/>
      <w:lvlText w:val="o"/>
      <w:lvlJc w:val="left"/>
      <w:pPr>
        <w:ind w:left="2814" w:hanging="360"/>
      </w:pPr>
      <w:rPr>
        <w:rFonts w:ascii="Courier New" w:hAnsi="Courier New" w:cs="Courier New" w:hint="default"/>
      </w:rPr>
    </w:lvl>
    <w:lvl w:ilvl="5" w:tplc="0C000005" w:tentative="1">
      <w:start w:val="1"/>
      <w:numFmt w:val="bullet"/>
      <w:lvlText w:val=""/>
      <w:lvlJc w:val="left"/>
      <w:pPr>
        <w:ind w:left="3534" w:hanging="360"/>
      </w:pPr>
      <w:rPr>
        <w:rFonts w:ascii="Wingdings" w:hAnsi="Wingdings" w:hint="default"/>
      </w:rPr>
    </w:lvl>
    <w:lvl w:ilvl="6" w:tplc="0C000001" w:tentative="1">
      <w:start w:val="1"/>
      <w:numFmt w:val="bullet"/>
      <w:lvlText w:val=""/>
      <w:lvlJc w:val="left"/>
      <w:pPr>
        <w:ind w:left="4254" w:hanging="360"/>
      </w:pPr>
      <w:rPr>
        <w:rFonts w:ascii="Symbol" w:hAnsi="Symbol" w:hint="default"/>
      </w:rPr>
    </w:lvl>
    <w:lvl w:ilvl="7" w:tplc="0C000003" w:tentative="1">
      <w:start w:val="1"/>
      <w:numFmt w:val="bullet"/>
      <w:lvlText w:val="o"/>
      <w:lvlJc w:val="left"/>
      <w:pPr>
        <w:ind w:left="4974" w:hanging="360"/>
      </w:pPr>
      <w:rPr>
        <w:rFonts w:ascii="Courier New" w:hAnsi="Courier New" w:cs="Courier New" w:hint="default"/>
      </w:rPr>
    </w:lvl>
    <w:lvl w:ilvl="8" w:tplc="0C000005" w:tentative="1">
      <w:start w:val="1"/>
      <w:numFmt w:val="bullet"/>
      <w:lvlText w:val=""/>
      <w:lvlJc w:val="left"/>
      <w:pPr>
        <w:ind w:left="5694" w:hanging="360"/>
      </w:pPr>
      <w:rPr>
        <w:rFonts w:ascii="Wingdings" w:hAnsi="Wingdings" w:hint="default"/>
      </w:rPr>
    </w:lvl>
  </w:abstractNum>
  <w:abstractNum w:abstractNumId="30" w15:restartNumberingAfterBreak="0">
    <w:nsid w:val="741E7F8A"/>
    <w:multiLevelType w:val="hybridMultilevel"/>
    <w:tmpl w:val="2D5ED642"/>
    <w:lvl w:ilvl="0" w:tplc="0000000B">
      <w:start w:val="1"/>
      <w:numFmt w:val="bullet"/>
      <w:lvlText w:val=""/>
      <w:lvlJc w:val="left"/>
      <w:pPr>
        <w:ind w:left="2340" w:hanging="360"/>
      </w:pPr>
      <w:rPr>
        <w:rFonts w:ascii="Wingdings" w:hAnsi="Wingdings" w:hint="default"/>
      </w:rPr>
    </w:lvl>
    <w:lvl w:ilvl="1" w:tplc="0C000003" w:tentative="1">
      <w:start w:val="1"/>
      <w:numFmt w:val="bullet"/>
      <w:lvlText w:val="o"/>
      <w:lvlJc w:val="left"/>
      <w:pPr>
        <w:ind w:left="3060" w:hanging="360"/>
      </w:pPr>
      <w:rPr>
        <w:rFonts w:ascii="Courier New" w:hAnsi="Courier New" w:cs="Courier New" w:hint="default"/>
      </w:rPr>
    </w:lvl>
    <w:lvl w:ilvl="2" w:tplc="0C000005" w:tentative="1">
      <w:start w:val="1"/>
      <w:numFmt w:val="bullet"/>
      <w:lvlText w:val=""/>
      <w:lvlJc w:val="left"/>
      <w:pPr>
        <w:ind w:left="3780" w:hanging="360"/>
      </w:pPr>
      <w:rPr>
        <w:rFonts w:ascii="Wingdings" w:hAnsi="Wingdings" w:hint="default"/>
      </w:rPr>
    </w:lvl>
    <w:lvl w:ilvl="3" w:tplc="0C000001" w:tentative="1">
      <w:start w:val="1"/>
      <w:numFmt w:val="bullet"/>
      <w:lvlText w:val=""/>
      <w:lvlJc w:val="left"/>
      <w:pPr>
        <w:ind w:left="4500" w:hanging="360"/>
      </w:pPr>
      <w:rPr>
        <w:rFonts w:ascii="Symbol" w:hAnsi="Symbol" w:hint="default"/>
      </w:rPr>
    </w:lvl>
    <w:lvl w:ilvl="4" w:tplc="0C000003" w:tentative="1">
      <w:start w:val="1"/>
      <w:numFmt w:val="bullet"/>
      <w:lvlText w:val="o"/>
      <w:lvlJc w:val="left"/>
      <w:pPr>
        <w:ind w:left="5220" w:hanging="360"/>
      </w:pPr>
      <w:rPr>
        <w:rFonts w:ascii="Courier New" w:hAnsi="Courier New" w:cs="Courier New" w:hint="default"/>
      </w:rPr>
    </w:lvl>
    <w:lvl w:ilvl="5" w:tplc="0C000005" w:tentative="1">
      <w:start w:val="1"/>
      <w:numFmt w:val="bullet"/>
      <w:lvlText w:val=""/>
      <w:lvlJc w:val="left"/>
      <w:pPr>
        <w:ind w:left="5940" w:hanging="360"/>
      </w:pPr>
      <w:rPr>
        <w:rFonts w:ascii="Wingdings" w:hAnsi="Wingdings" w:hint="default"/>
      </w:rPr>
    </w:lvl>
    <w:lvl w:ilvl="6" w:tplc="0C000001" w:tentative="1">
      <w:start w:val="1"/>
      <w:numFmt w:val="bullet"/>
      <w:lvlText w:val=""/>
      <w:lvlJc w:val="left"/>
      <w:pPr>
        <w:ind w:left="6660" w:hanging="360"/>
      </w:pPr>
      <w:rPr>
        <w:rFonts w:ascii="Symbol" w:hAnsi="Symbol" w:hint="default"/>
      </w:rPr>
    </w:lvl>
    <w:lvl w:ilvl="7" w:tplc="0C000003" w:tentative="1">
      <w:start w:val="1"/>
      <w:numFmt w:val="bullet"/>
      <w:lvlText w:val="o"/>
      <w:lvlJc w:val="left"/>
      <w:pPr>
        <w:ind w:left="7380" w:hanging="360"/>
      </w:pPr>
      <w:rPr>
        <w:rFonts w:ascii="Courier New" w:hAnsi="Courier New" w:cs="Courier New" w:hint="default"/>
      </w:rPr>
    </w:lvl>
    <w:lvl w:ilvl="8" w:tplc="0C000005" w:tentative="1">
      <w:start w:val="1"/>
      <w:numFmt w:val="bullet"/>
      <w:lvlText w:val=""/>
      <w:lvlJc w:val="left"/>
      <w:pPr>
        <w:ind w:left="8100" w:hanging="360"/>
      </w:pPr>
      <w:rPr>
        <w:rFonts w:ascii="Wingdings" w:hAnsi="Wingdings" w:hint="default"/>
      </w:rPr>
    </w:lvl>
  </w:abstractNum>
  <w:abstractNum w:abstractNumId="31" w15:restartNumberingAfterBreak="0">
    <w:nsid w:val="772349FD"/>
    <w:multiLevelType w:val="hybridMultilevel"/>
    <w:tmpl w:val="27BCBE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D2843B0"/>
    <w:multiLevelType w:val="hybridMultilevel"/>
    <w:tmpl w:val="64D260B6"/>
    <w:lvl w:ilvl="0" w:tplc="91A85124">
      <w:start w:val="1"/>
      <w:numFmt w:val="decimal"/>
      <w:lvlText w:val="%1."/>
      <w:lvlJc w:val="left"/>
      <w:pPr>
        <w:ind w:left="720" w:hanging="360"/>
      </w:pPr>
    </w:lvl>
    <w:lvl w:ilvl="1" w:tplc="00000019">
      <w:start w:val="1"/>
      <w:numFmt w:val="lowerLetter"/>
      <w:lvlText w:val="%2."/>
      <w:lvlJc w:val="left"/>
      <w:pPr>
        <w:ind w:left="1440" w:hanging="360"/>
      </w:pPr>
      <w:rPr>
        <w:rFonts w:hint="default"/>
      </w:rPr>
    </w:lvl>
    <w:lvl w:ilvl="2" w:tplc="0C000001">
      <w:start w:val="1"/>
      <w:numFmt w:val="bullet"/>
      <w:lvlText w:val=""/>
      <w:lvlJc w:val="left"/>
      <w:pPr>
        <w:ind w:left="2160" w:hanging="180"/>
      </w:pPr>
      <w:rPr>
        <w:rFonts w:ascii="Symbol" w:hAnsi="Symbol" w:hint="default"/>
      </w:rPr>
    </w:lvl>
    <w:lvl w:ilvl="3" w:tplc="00000003">
      <w:start w:val="1"/>
      <w:numFmt w:val="bullet"/>
      <w:lvlText w:val="o"/>
      <w:lvlJc w:val="left"/>
      <w:pPr>
        <w:ind w:left="2880" w:hanging="360"/>
      </w:pPr>
      <w:rPr>
        <w:rFonts w:ascii="Courier New" w:hAnsi="Courier New" w:cs="Courier New" w:hint="default"/>
      </w:r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3" w15:restartNumberingAfterBreak="0">
    <w:nsid w:val="7F1E0309"/>
    <w:multiLevelType w:val="multilevel"/>
    <w:tmpl w:val="38046E0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29"/>
  </w:num>
  <w:num w:numId="3">
    <w:abstractNumId w:val="0"/>
  </w:num>
  <w:num w:numId="4">
    <w:abstractNumId w:val="7"/>
  </w:num>
  <w:num w:numId="5">
    <w:abstractNumId w:val="5"/>
  </w:num>
  <w:num w:numId="6">
    <w:abstractNumId w:val="30"/>
  </w:num>
  <w:num w:numId="7">
    <w:abstractNumId w:val="23"/>
  </w:num>
  <w:num w:numId="8">
    <w:abstractNumId w:val="1"/>
  </w:num>
  <w:num w:numId="9">
    <w:abstractNumId w:val="10"/>
  </w:num>
  <w:num w:numId="10">
    <w:abstractNumId w:val="26"/>
  </w:num>
  <w:num w:numId="11">
    <w:abstractNumId w:val="24"/>
  </w:num>
  <w:num w:numId="12">
    <w:abstractNumId w:val="3"/>
  </w:num>
  <w:num w:numId="13">
    <w:abstractNumId w:val="16"/>
  </w:num>
  <w:num w:numId="14">
    <w:abstractNumId w:val="17"/>
  </w:num>
  <w:num w:numId="15">
    <w:abstractNumId w:val="13"/>
  </w:num>
  <w:num w:numId="16">
    <w:abstractNumId w:val="4"/>
  </w:num>
  <w:num w:numId="17">
    <w:abstractNumId w:val="22"/>
  </w:num>
  <w:num w:numId="18">
    <w:abstractNumId w:val="18"/>
  </w:num>
  <w:num w:numId="19">
    <w:abstractNumId w:val="6"/>
  </w:num>
  <w:num w:numId="20">
    <w:abstractNumId w:val="21"/>
  </w:num>
  <w:num w:numId="21">
    <w:abstractNumId w:val="32"/>
  </w:num>
  <w:num w:numId="22">
    <w:abstractNumId w:val="15"/>
  </w:num>
  <w:num w:numId="23">
    <w:abstractNumId w:val="27"/>
  </w:num>
  <w:num w:numId="24">
    <w:abstractNumId w:val="25"/>
  </w:num>
  <w:num w:numId="25">
    <w:abstractNumId w:val="2"/>
  </w:num>
  <w:num w:numId="26">
    <w:abstractNumId w:val="11"/>
  </w:num>
  <w:num w:numId="27">
    <w:abstractNumId w:val="31"/>
  </w:num>
  <w:num w:numId="28">
    <w:abstractNumId w:val="14"/>
  </w:num>
  <w:num w:numId="29">
    <w:abstractNumId w:val="12"/>
  </w:num>
  <w:num w:numId="30">
    <w:abstractNumId w:val="28"/>
  </w:num>
  <w:num w:numId="31">
    <w:abstractNumId w:val="33"/>
  </w:num>
  <w:num w:numId="32">
    <w:abstractNumId w:val="8"/>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CC"/>
    <w:rsid w:val="00004CEA"/>
    <w:rsid w:val="0001342F"/>
    <w:rsid w:val="00051CA8"/>
    <w:rsid w:val="00052C10"/>
    <w:rsid w:val="00065231"/>
    <w:rsid w:val="00065D50"/>
    <w:rsid w:val="00085E85"/>
    <w:rsid w:val="00096EDD"/>
    <w:rsid w:val="000A1071"/>
    <w:rsid w:val="000A4577"/>
    <w:rsid w:val="000B004B"/>
    <w:rsid w:val="000E5F16"/>
    <w:rsid w:val="001144FE"/>
    <w:rsid w:val="00114C62"/>
    <w:rsid w:val="00123E4D"/>
    <w:rsid w:val="00130B91"/>
    <w:rsid w:val="00134A67"/>
    <w:rsid w:val="00143C1A"/>
    <w:rsid w:val="001512B9"/>
    <w:rsid w:val="0015639D"/>
    <w:rsid w:val="00173F64"/>
    <w:rsid w:val="0017470B"/>
    <w:rsid w:val="00187B42"/>
    <w:rsid w:val="00194A06"/>
    <w:rsid w:val="001A2BA5"/>
    <w:rsid w:val="001A2CD3"/>
    <w:rsid w:val="001A67D8"/>
    <w:rsid w:val="001C2D7B"/>
    <w:rsid w:val="001E764F"/>
    <w:rsid w:val="001F4733"/>
    <w:rsid w:val="001F7DED"/>
    <w:rsid w:val="00206356"/>
    <w:rsid w:val="002065FD"/>
    <w:rsid w:val="00222680"/>
    <w:rsid w:val="00255C70"/>
    <w:rsid w:val="002621E1"/>
    <w:rsid w:val="00266662"/>
    <w:rsid w:val="0028049A"/>
    <w:rsid w:val="002820D9"/>
    <w:rsid w:val="0029458C"/>
    <w:rsid w:val="002A545D"/>
    <w:rsid w:val="002A7BF5"/>
    <w:rsid w:val="002B65B3"/>
    <w:rsid w:val="002C5745"/>
    <w:rsid w:val="002D412D"/>
    <w:rsid w:val="00303E4D"/>
    <w:rsid w:val="00314A3F"/>
    <w:rsid w:val="0032270E"/>
    <w:rsid w:val="00323E3E"/>
    <w:rsid w:val="00330402"/>
    <w:rsid w:val="00344959"/>
    <w:rsid w:val="0035012C"/>
    <w:rsid w:val="00381AB1"/>
    <w:rsid w:val="00383E1D"/>
    <w:rsid w:val="003A4F13"/>
    <w:rsid w:val="003C204C"/>
    <w:rsid w:val="003C6B07"/>
    <w:rsid w:val="003D2408"/>
    <w:rsid w:val="003D3FD8"/>
    <w:rsid w:val="003D48EE"/>
    <w:rsid w:val="003F0492"/>
    <w:rsid w:val="003F0CE1"/>
    <w:rsid w:val="003F429D"/>
    <w:rsid w:val="0040243A"/>
    <w:rsid w:val="00403FC3"/>
    <w:rsid w:val="00406F06"/>
    <w:rsid w:val="004263EB"/>
    <w:rsid w:val="0043165D"/>
    <w:rsid w:val="00443A11"/>
    <w:rsid w:val="00450631"/>
    <w:rsid w:val="00460085"/>
    <w:rsid w:val="004615AB"/>
    <w:rsid w:val="00464490"/>
    <w:rsid w:val="004849AB"/>
    <w:rsid w:val="00494DB5"/>
    <w:rsid w:val="004B3A5D"/>
    <w:rsid w:val="004C3981"/>
    <w:rsid w:val="004D1BD3"/>
    <w:rsid w:val="004D63E7"/>
    <w:rsid w:val="004E4349"/>
    <w:rsid w:val="004F0DE5"/>
    <w:rsid w:val="004F6A0A"/>
    <w:rsid w:val="004F7C48"/>
    <w:rsid w:val="00517CA6"/>
    <w:rsid w:val="0052231D"/>
    <w:rsid w:val="00535873"/>
    <w:rsid w:val="005364F7"/>
    <w:rsid w:val="00550E78"/>
    <w:rsid w:val="00563017"/>
    <w:rsid w:val="0056666F"/>
    <w:rsid w:val="00572359"/>
    <w:rsid w:val="0059015F"/>
    <w:rsid w:val="005A2670"/>
    <w:rsid w:val="005C0514"/>
    <w:rsid w:val="005C38AF"/>
    <w:rsid w:val="005D1C04"/>
    <w:rsid w:val="005E3EC2"/>
    <w:rsid w:val="00634A30"/>
    <w:rsid w:val="006373CD"/>
    <w:rsid w:val="00643EA0"/>
    <w:rsid w:val="006440EF"/>
    <w:rsid w:val="00646E1A"/>
    <w:rsid w:val="0064729E"/>
    <w:rsid w:val="006612F0"/>
    <w:rsid w:val="00672F5C"/>
    <w:rsid w:val="006762D5"/>
    <w:rsid w:val="00694991"/>
    <w:rsid w:val="006D46BD"/>
    <w:rsid w:val="00701936"/>
    <w:rsid w:val="00746E35"/>
    <w:rsid w:val="0076153E"/>
    <w:rsid w:val="00762BD7"/>
    <w:rsid w:val="007733D8"/>
    <w:rsid w:val="00795E44"/>
    <w:rsid w:val="00796D36"/>
    <w:rsid w:val="007C05B9"/>
    <w:rsid w:val="007C43A0"/>
    <w:rsid w:val="007D6D80"/>
    <w:rsid w:val="007E553A"/>
    <w:rsid w:val="00800753"/>
    <w:rsid w:val="00806934"/>
    <w:rsid w:val="00833356"/>
    <w:rsid w:val="008525CE"/>
    <w:rsid w:val="00854840"/>
    <w:rsid w:val="00861205"/>
    <w:rsid w:val="008A49E9"/>
    <w:rsid w:val="008D02AA"/>
    <w:rsid w:val="008D04CC"/>
    <w:rsid w:val="008D1B84"/>
    <w:rsid w:val="008D1D0F"/>
    <w:rsid w:val="008D60CE"/>
    <w:rsid w:val="00916F21"/>
    <w:rsid w:val="0093272E"/>
    <w:rsid w:val="0093492C"/>
    <w:rsid w:val="00936B70"/>
    <w:rsid w:val="0095576B"/>
    <w:rsid w:val="009650C8"/>
    <w:rsid w:val="00972EB5"/>
    <w:rsid w:val="00974A87"/>
    <w:rsid w:val="009763B1"/>
    <w:rsid w:val="009850F8"/>
    <w:rsid w:val="00985147"/>
    <w:rsid w:val="00994BE2"/>
    <w:rsid w:val="009A1824"/>
    <w:rsid w:val="009A6BDD"/>
    <w:rsid w:val="009B55EE"/>
    <w:rsid w:val="009C7C45"/>
    <w:rsid w:val="009D6BE5"/>
    <w:rsid w:val="009D7F65"/>
    <w:rsid w:val="009F3241"/>
    <w:rsid w:val="009F46F5"/>
    <w:rsid w:val="009F56FD"/>
    <w:rsid w:val="00A158E0"/>
    <w:rsid w:val="00A16894"/>
    <w:rsid w:val="00A2113C"/>
    <w:rsid w:val="00A245F9"/>
    <w:rsid w:val="00A6023C"/>
    <w:rsid w:val="00A66B0E"/>
    <w:rsid w:val="00A66DA1"/>
    <w:rsid w:val="00A81954"/>
    <w:rsid w:val="00AA13AE"/>
    <w:rsid w:val="00AB74E4"/>
    <w:rsid w:val="00AC2185"/>
    <w:rsid w:val="00AC5FA3"/>
    <w:rsid w:val="00AD60C9"/>
    <w:rsid w:val="00AE17C1"/>
    <w:rsid w:val="00AF47E2"/>
    <w:rsid w:val="00B07B3E"/>
    <w:rsid w:val="00B113E6"/>
    <w:rsid w:val="00B1207E"/>
    <w:rsid w:val="00B12784"/>
    <w:rsid w:val="00B51C34"/>
    <w:rsid w:val="00B53355"/>
    <w:rsid w:val="00B54F4C"/>
    <w:rsid w:val="00B630EA"/>
    <w:rsid w:val="00B658E5"/>
    <w:rsid w:val="00B756DC"/>
    <w:rsid w:val="00B91171"/>
    <w:rsid w:val="00B923C2"/>
    <w:rsid w:val="00B96CF5"/>
    <w:rsid w:val="00BA08DA"/>
    <w:rsid w:val="00BA17BB"/>
    <w:rsid w:val="00BC6802"/>
    <w:rsid w:val="00BE34A5"/>
    <w:rsid w:val="00C15C10"/>
    <w:rsid w:val="00C203D5"/>
    <w:rsid w:val="00C4501B"/>
    <w:rsid w:val="00C64C29"/>
    <w:rsid w:val="00C86414"/>
    <w:rsid w:val="00CA3415"/>
    <w:rsid w:val="00CA3598"/>
    <w:rsid w:val="00CB25BD"/>
    <w:rsid w:val="00CF2649"/>
    <w:rsid w:val="00D0209F"/>
    <w:rsid w:val="00D16F4C"/>
    <w:rsid w:val="00D2236C"/>
    <w:rsid w:val="00D26F2E"/>
    <w:rsid w:val="00D362AD"/>
    <w:rsid w:val="00D45E11"/>
    <w:rsid w:val="00D5046C"/>
    <w:rsid w:val="00D67670"/>
    <w:rsid w:val="00D76499"/>
    <w:rsid w:val="00D97EB1"/>
    <w:rsid w:val="00DA2D28"/>
    <w:rsid w:val="00DB4022"/>
    <w:rsid w:val="00DB4B76"/>
    <w:rsid w:val="00DB70BE"/>
    <w:rsid w:val="00DD34D5"/>
    <w:rsid w:val="00DE2342"/>
    <w:rsid w:val="00DE52E1"/>
    <w:rsid w:val="00E1044C"/>
    <w:rsid w:val="00E163C7"/>
    <w:rsid w:val="00E201A0"/>
    <w:rsid w:val="00E210B2"/>
    <w:rsid w:val="00E40FB8"/>
    <w:rsid w:val="00E52D22"/>
    <w:rsid w:val="00E812BD"/>
    <w:rsid w:val="00E82691"/>
    <w:rsid w:val="00E82E7E"/>
    <w:rsid w:val="00EB7DCD"/>
    <w:rsid w:val="00ED5B19"/>
    <w:rsid w:val="00EE501E"/>
    <w:rsid w:val="00EE6386"/>
    <w:rsid w:val="00EF7F20"/>
    <w:rsid w:val="00F17D1E"/>
    <w:rsid w:val="00F21BBF"/>
    <w:rsid w:val="00F2332C"/>
    <w:rsid w:val="00F3402F"/>
    <w:rsid w:val="00F4534E"/>
    <w:rsid w:val="00F91143"/>
    <w:rsid w:val="00FE68E2"/>
    <w:rsid w:val="00FE793A"/>
    <w:rsid w:val="00FF2D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4A20DE"/>
  <w15:docId w15:val="{9294CF34-6CB7-4937-A7CF-BE2E088C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504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4CC"/>
    <w:pPr>
      <w:ind w:left="720"/>
      <w:contextualSpacing/>
    </w:pPr>
  </w:style>
  <w:style w:type="paragraph" w:customStyle="1" w:styleId="Default">
    <w:name w:val="Default"/>
    <w:rsid w:val="003C6B07"/>
    <w:pPr>
      <w:autoSpaceDE w:val="0"/>
      <w:autoSpaceDN w:val="0"/>
      <w:adjustRightInd w:val="0"/>
      <w:spacing w:after="0" w:line="240" w:lineRule="auto"/>
    </w:pPr>
    <w:rPr>
      <w:rFonts w:ascii="Times New Roman" w:hAnsi="Times New Roman" w:cs="Times New Roman"/>
      <w:color w:val="000000"/>
      <w:sz w:val="24"/>
      <w:szCs w:val="24"/>
    </w:rPr>
  </w:style>
  <w:style w:type="table" w:styleId="Tabelraster">
    <w:name w:val="Table Grid"/>
    <w:basedOn w:val="Standaardtabel"/>
    <w:uiPriority w:val="39"/>
    <w:rsid w:val="00AE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1B8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D1B84"/>
  </w:style>
  <w:style w:type="paragraph" w:styleId="Voettekst">
    <w:name w:val="footer"/>
    <w:basedOn w:val="Standaard"/>
    <w:link w:val="VoettekstChar"/>
    <w:uiPriority w:val="99"/>
    <w:unhideWhenUsed/>
    <w:rsid w:val="008D1B8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D1B84"/>
  </w:style>
  <w:style w:type="paragraph" w:styleId="Ballontekst">
    <w:name w:val="Balloon Text"/>
    <w:basedOn w:val="Standaard"/>
    <w:link w:val="BallontekstChar"/>
    <w:uiPriority w:val="99"/>
    <w:semiHidden/>
    <w:unhideWhenUsed/>
    <w:rsid w:val="00A158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58E0"/>
    <w:rPr>
      <w:rFonts w:ascii="Segoe UI" w:hAnsi="Segoe UI" w:cs="Segoe UI"/>
      <w:sz w:val="18"/>
      <w:szCs w:val="18"/>
    </w:rPr>
  </w:style>
  <w:style w:type="paragraph" w:styleId="Revisie">
    <w:name w:val="Revision"/>
    <w:hidden/>
    <w:uiPriority w:val="99"/>
    <w:semiHidden/>
    <w:rsid w:val="007D6D80"/>
    <w:pPr>
      <w:spacing w:after="0" w:line="240" w:lineRule="auto"/>
    </w:pPr>
  </w:style>
  <w:style w:type="paragraph" w:styleId="Titel">
    <w:name w:val="Title"/>
    <w:basedOn w:val="Standaard"/>
    <w:next w:val="Standaard"/>
    <w:link w:val="TitelChar"/>
    <w:uiPriority w:val="10"/>
    <w:qFormat/>
    <w:rsid w:val="00B120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1207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D5046C"/>
    <w:rPr>
      <w:color w:val="0563C1" w:themeColor="hyperlink"/>
      <w:u w:val="single"/>
    </w:rPr>
  </w:style>
  <w:style w:type="character" w:customStyle="1" w:styleId="UnresolvedMention1">
    <w:name w:val="Unresolved Mention1"/>
    <w:basedOn w:val="Standaardalinea-lettertype"/>
    <w:uiPriority w:val="99"/>
    <w:semiHidden/>
    <w:unhideWhenUsed/>
    <w:rsid w:val="00D5046C"/>
    <w:rPr>
      <w:color w:val="605E5C"/>
      <w:shd w:val="clear" w:color="auto" w:fill="E1DFDD"/>
    </w:rPr>
  </w:style>
  <w:style w:type="character" w:customStyle="1" w:styleId="Kop1Char">
    <w:name w:val="Kop 1 Char"/>
    <w:basedOn w:val="Standaardalinea-lettertype"/>
    <w:link w:val="Kop1"/>
    <w:uiPriority w:val="9"/>
    <w:rsid w:val="00D5046C"/>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6D46BD"/>
    <w:pPr>
      <w:outlineLvl w:val="9"/>
    </w:pPr>
    <w:rPr>
      <w:lang w:val="nl-BE" w:eastAsia="nl-BE"/>
    </w:rPr>
  </w:style>
  <w:style w:type="character" w:styleId="Verwijzingopmerking">
    <w:name w:val="annotation reference"/>
    <w:basedOn w:val="Standaardalinea-lettertype"/>
    <w:uiPriority w:val="99"/>
    <w:semiHidden/>
    <w:unhideWhenUsed/>
    <w:rsid w:val="00C4501B"/>
    <w:rPr>
      <w:sz w:val="16"/>
      <w:szCs w:val="16"/>
    </w:rPr>
  </w:style>
  <w:style w:type="paragraph" w:styleId="Tekstopmerking">
    <w:name w:val="annotation text"/>
    <w:basedOn w:val="Standaard"/>
    <w:link w:val="TekstopmerkingChar"/>
    <w:uiPriority w:val="99"/>
    <w:semiHidden/>
    <w:unhideWhenUsed/>
    <w:rsid w:val="00C450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501B"/>
    <w:rPr>
      <w:sz w:val="20"/>
      <w:szCs w:val="20"/>
    </w:rPr>
  </w:style>
  <w:style w:type="paragraph" w:styleId="Onderwerpvanopmerking">
    <w:name w:val="annotation subject"/>
    <w:basedOn w:val="Tekstopmerking"/>
    <w:next w:val="Tekstopmerking"/>
    <w:link w:val="OnderwerpvanopmerkingChar"/>
    <w:uiPriority w:val="99"/>
    <w:semiHidden/>
    <w:unhideWhenUsed/>
    <w:rsid w:val="00C4501B"/>
    <w:rPr>
      <w:b/>
      <w:bCs/>
    </w:rPr>
  </w:style>
  <w:style w:type="character" w:customStyle="1" w:styleId="OnderwerpvanopmerkingChar">
    <w:name w:val="Onderwerp van opmerking Char"/>
    <w:basedOn w:val="TekstopmerkingChar"/>
    <w:link w:val="Onderwerpvanopmerking"/>
    <w:uiPriority w:val="99"/>
    <w:semiHidden/>
    <w:rsid w:val="00C4501B"/>
    <w:rPr>
      <w:b/>
      <w:bCs/>
      <w:sz w:val="20"/>
      <w:szCs w:val="20"/>
    </w:rPr>
  </w:style>
  <w:style w:type="character" w:styleId="Onopgelostemelding">
    <w:name w:val="Unresolved Mention"/>
    <w:basedOn w:val="Standaardalinea-lettertype"/>
    <w:uiPriority w:val="99"/>
    <w:semiHidden/>
    <w:unhideWhenUsed/>
    <w:rsid w:val="00096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6509">
      <w:bodyDiv w:val="1"/>
      <w:marLeft w:val="0"/>
      <w:marRight w:val="0"/>
      <w:marTop w:val="0"/>
      <w:marBottom w:val="0"/>
      <w:divBdr>
        <w:top w:val="none" w:sz="0" w:space="0" w:color="auto"/>
        <w:left w:val="none" w:sz="0" w:space="0" w:color="auto"/>
        <w:bottom w:val="none" w:sz="0" w:space="0" w:color="auto"/>
        <w:right w:val="none" w:sz="0" w:space="0" w:color="auto"/>
      </w:divBdr>
    </w:div>
    <w:div w:id="165705046">
      <w:bodyDiv w:val="1"/>
      <w:marLeft w:val="0"/>
      <w:marRight w:val="0"/>
      <w:marTop w:val="0"/>
      <w:marBottom w:val="0"/>
      <w:divBdr>
        <w:top w:val="none" w:sz="0" w:space="0" w:color="auto"/>
        <w:left w:val="none" w:sz="0" w:space="0" w:color="auto"/>
        <w:bottom w:val="none" w:sz="0" w:space="0" w:color="auto"/>
        <w:right w:val="none" w:sz="0" w:space="0" w:color="auto"/>
      </w:divBdr>
    </w:div>
    <w:div w:id="271665637">
      <w:bodyDiv w:val="1"/>
      <w:marLeft w:val="0"/>
      <w:marRight w:val="0"/>
      <w:marTop w:val="0"/>
      <w:marBottom w:val="0"/>
      <w:divBdr>
        <w:top w:val="none" w:sz="0" w:space="0" w:color="auto"/>
        <w:left w:val="none" w:sz="0" w:space="0" w:color="auto"/>
        <w:bottom w:val="none" w:sz="0" w:space="0" w:color="auto"/>
        <w:right w:val="none" w:sz="0" w:space="0" w:color="auto"/>
      </w:divBdr>
    </w:div>
    <w:div w:id="514275096">
      <w:bodyDiv w:val="1"/>
      <w:marLeft w:val="0"/>
      <w:marRight w:val="0"/>
      <w:marTop w:val="0"/>
      <w:marBottom w:val="0"/>
      <w:divBdr>
        <w:top w:val="none" w:sz="0" w:space="0" w:color="auto"/>
        <w:left w:val="none" w:sz="0" w:space="0" w:color="auto"/>
        <w:bottom w:val="none" w:sz="0" w:space="0" w:color="auto"/>
        <w:right w:val="none" w:sz="0" w:space="0" w:color="auto"/>
      </w:divBdr>
    </w:div>
    <w:div w:id="654995450">
      <w:bodyDiv w:val="1"/>
      <w:marLeft w:val="0"/>
      <w:marRight w:val="0"/>
      <w:marTop w:val="0"/>
      <w:marBottom w:val="0"/>
      <w:divBdr>
        <w:top w:val="none" w:sz="0" w:space="0" w:color="auto"/>
        <w:left w:val="none" w:sz="0" w:space="0" w:color="auto"/>
        <w:bottom w:val="none" w:sz="0" w:space="0" w:color="auto"/>
        <w:right w:val="none" w:sz="0" w:space="0" w:color="auto"/>
      </w:divBdr>
    </w:div>
    <w:div w:id="709846189">
      <w:bodyDiv w:val="1"/>
      <w:marLeft w:val="0"/>
      <w:marRight w:val="0"/>
      <w:marTop w:val="0"/>
      <w:marBottom w:val="0"/>
      <w:divBdr>
        <w:top w:val="none" w:sz="0" w:space="0" w:color="auto"/>
        <w:left w:val="none" w:sz="0" w:space="0" w:color="auto"/>
        <w:bottom w:val="none" w:sz="0" w:space="0" w:color="auto"/>
        <w:right w:val="none" w:sz="0" w:space="0" w:color="auto"/>
      </w:divBdr>
    </w:div>
    <w:div w:id="926160700">
      <w:bodyDiv w:val="1"/>
      <w:marLeft w:val="0"/>
      <w:marRight w:val="0"/>
      <w:marTop w:val="0"/>
      <w:marBottom w:val="0"/>
      <w:divBdr>
        <w:top w:val="none" w:sz="0" w:space="0" w:color="auto"/>
        <w:left w:val="none" w:sz="0" w:space="0" w:color="auto"/>
        <w:bottom w:val="none" w:sz="0" w:space="0" w:color="auto"/>
        <w:right w:val="none" w:sz="0" w:space="0" w:color="auto"/>
      </w:divBdr>
    </w:div>
    <w:div w:id="987855552">
      <w:bodyDiv w:val="1"/>
      <w:marLeft w:val="0"/>
      <w:marRight w:val="0"/>
      <w:marTop w:val="0"/>
      <w:marBottom w:val="0"/>
      <w:divBdr>
        <w:top w:val="none" w:sz="0" w:space="0" w:color="auto"/>
        <w:left w:val="none" w:sz="0" w:space="0" w:color="auto"/>
        <w:bottom w:val="none" w:sz="0" w:space="0" w:color="auto"/>
        <w:right w:val="none" w:sz="0" w:space="0" w:color="auto"/>
      </w:divBdr>
    </w:div>
    <w:div w:id="1176337943">
      <w:bodyDiv w:val="1"/>
      <w:marLeft w:val="0"/>
      <w:marRight w:val="0"/>
      <w:marTop w:val="0"/>
      <w:marBottom w:val="0"/>
      <w:divBdr>
        <w:top w:val="none" w:sz="0" w:space="0" w:color="auto"/>
        <w:left w:val="none" w:sz="0" w:space="0" w:color="auto"/>
        <w:bottom w:val="none" w:sz="0" w:space="0" w:color="auto"/>
        <w:right w:val="none" w:sz="0" w:space="0" w:color="auto"/>
      </w:divBdr>
    </w:div>
    <w:div w:id="1287659942">
      <w:bodyDiv w:val="1"/>
      <w:marLeft w:val="0"/>
      <w:marRight w:val="0"/>
      <w:marTop w:val="0"/>
      <w:marBottom w:val="0"/>
      <w:divBdr>
        <w:top w:val="none" w:sz="0" w:space="0" w:color="auto"/>
        <w:left w:val="none" w:sz="0" w:space="0" w:color="auto"/>
        <w:bottom w:val="none" w:sz="0" w:space="0" w:color="auto"/>
        <w:right w:val="none" w:sz="0" w:space="0" w:color="auto"/>
      </w:divBdr>
    </w:div>
    <w:div w:id="1340742187">
      <w:bodyDiv w:val="1"/>
      <w:marLeft w:val="0"/>
      <w:marRight w:val="0"/>
      <w:marTop w:val="0"/>
      <w:marBottom w:val="0"/>
      <w:divBdr>
        <w:top w:val="none" w:sz="0" w:space="0" w:color="auto"/>
        <w:left w:val="none" w:sz="0" w:space="0" w:color="auto"/>
        <w:bottom w:val="none" w:sz="0" w:space="0" w:color="auto"/>
        <w:right w:val="none" w:sz="0" w:space="0" w:color="auto"/>
      </w:divBdr>
    </w:div>
    <w:div w:id="1786074070">
      <w:bodyDiv w:val="1"/>
      <w:marLeft w:val="0"/>
      <w:marRight w:val="0"/>
      <w:marTop w:val="0"/>
      <w:marBottom w:val="0"/>
      <w:divBdr>
        <w:top w:val="none" w:sz="0" w:space="0" w:color="auto"/>
        <w:left w:val="none" w:sz="0" w:space="0" w:color="auto"/>
        <w:bottom w:val="none" w:sz="0" w:space="0" w:color="auto"/>
        <w:right w:val="none" w:sz="0" w:space="0" w:color="auto"/>
      </w:divBdr>
    </w:div>
    <w:div w:id="20706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vbbv@vbbv.be"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8.campaign-archive.com/?u=fc2b34091076a21b79f8d47e0&amp;id=5bcd86c1b0"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TS-bestand" ma:contentTypeID="0x010100BB7D6F85C1FED14EB9BA2AF672C79E5B01001F97499EFA68924A9F68EC2EB6DA9BFC" ma:contentTypeVersion="7" ma:contentTypeDescription="" ma:contentTypeScope="" ma:versionID="78cbfc73d327f4aabdbad5ebfa703fb3">
  <xsd:schema xmlns:xsd="http://www.w3.org/2001/XMLSchema" xmlns:xs="http://www.w3.org/2001/XMLSchema" xmlns:p="http://schemas.microsoft.com/office/2006/metadata/properties" xmlns:ns2="071eca32-85d3-4baf-8b57-b8706dd84d64" xmlns:ns3="9a9ec0f0-7796-43d0-ac1f-4c8c46ee0bd1" xmlns:ns4="bfe1e1cb-2522-4fb9-b340-47bb1104747a" targetNamespace="http://schemas.microsoft.com/office/2006/metadata/properties" ma:root="true" ma:fieldsID="84f4e3d64bbcaa77cfd8f9d5de541df2" ns2:_="" ns3:_="" ns4:_="">
    <xsd:import namespace="071eca32-85d3-4baf-8b57-b8706dd84d64"/>
    <xsd:import namespace="9a9ec0f0-7796-43d0-ac1f-4c8c46ee0bd1"/>
    <xsd:import namespace="bfe1e1cb-2522-4fb9-b340-47bb1104747a"/>
    <xsd:element name="properties">
      <xsd:complexType>
        <xsd:sequence>
          <xsd:element name="documentManagement">
            <xsd:complexType>
              <xsd:all>
                <xsd:element ref="ns2:Beschrijving" minOccurs="0"/>
                <xsd:element ref="ns2:Documentdatum" minOccurs="0"/>
                <xsd:element ref="ns2:_dlc_DocIdPersistId" minOccurs="0"/>
                <xsd:element ref="ns2:k4f250ad144446d0870b1b27d6c49c47" minOccurs="0"/>
                <xsd:element ref="ns3:TaxCatchAll" minOccurs="0"/>
                <xsd:element ref="ns3:TaxCatchAllLabel" minOccurs="0"/>
                <xsd:element ref="ns2:ge8f3523ee6d4cb2b95f904ff699c84b" minOccurs="0"/>
                <xsd:element ref="ns2:cf1a9610a87f4901991bb44604c8d2c3" minOccurs="0"/>
                <xsd:element ref="ns2:_dlc_DocId" minOccurs="0"/>
                <xsd:element ref="ns2:p59ef1a9c98a48cd9d43cdd8796a6a43" minOccurs="0"/>
                <xsd:element ref="ns2:_dlc_DocIdUrl" minOccurs="0"/>
                <xsd:element ref="ns2:h2792a289fc34c8a964c04eb3efdfbc9" minOccurs="0"/>
                <xsd:element ref="ns2:i708b76796d24dd9870bc5296e859ea0"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eca32-85d3-4baf-8b57-b8706dd84d64" elementFormDefault="qualified">
    <xsd:import namespace="http://schemas.microsoft.com/office/2006/documentManagement/types"/>
    <xsd:import namespace="http://schemas.microsoft.com/office/infopath/2007/PartnerControls"/>
    <xsd:element name="Beschrijving" ma:index="1" nillable="true" ma:displayName="Beschrijving" ma:description="Optioneel vrij tekstveld met een extra woordje uitleg over je document." ma:internalName="Beschrijving" ma:readOnly="false">
      <xsd:simpleType>
        <xsd:restriction base="dms:Note">
          <xsd:maxLength value="255"/>
        </xsd:restriction>
      </xsd:simpleType>
    </xsd:element>
    <xsd:element name="Documentdatum" ma:index="2" nillable="true" ma:displayName="Documentdatum" ma:default="[today]" ma:description="Standaard wordt hier de datum ingevuld waarop je het document hebt opgeladen. Pas die datum zo nodig aan. Deze datum zal in de toekomst niet meer wijzigen in tegenstelling tot het veld &quot;Gewijzigd op&quot;." ma:format="DateOnly" ma:internalName="Documentdatum" ma:readOnly="false">
      <xsd:simpleType>
        <xsd:restriction base="dms:DateTime"/>
      </xsd:simple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k4f250ad144446d0870b1b27d6c49c47" ma:index="11" nillable="true" ma:taxonomy="true" ma:internalName="k4f250ad144446d0870b1b27d6c49c47" ma:taxonomyFieldName="Documentsoort" ma:displayName="Documentsoort" ma:readOnly="false" ma:default="" ma:fieldId="{44f250ad-1444-46d0-870b-1b27d6c49c47}" ma:sspId="49ca8161-7180-459b-a0ef-1a71cf6ffea5" ma:termSetId="b7679fbf-2c84-4831-a1b7-f18cf4b546e0" ma:anchorId="00000000-0000-0000-0000-000000000000" ma:open="false" ma:isKeyword="false">
      <xsd:complexType>
        <xsd:sequence>
          <xsd:element ref="pc:Terms" minOccurs="0" maxOccurs="1"/>
        </xsd:sequence>
      </xsd:complexType>
    </xsd:element>
    <xsd:element name="ge8f3523ee6d4cb2b95f904ff699c84b" ma:index="18" nillable="true" ma:taxonomy="true" ma:internalName="ge8f3523ee6d4cb2b95f904ff699c84b" ma:taxonomyFieldName="Sitethema" ma:displayName="Sitethema" ma:readOnly="false" ma:default="1;#Industrieel klimaatbeleid|678895cd-ec20-4265-9cba-ee51fbc7e8e4;#2;#EU ETS|caa3bb60-80c5-4f9b-85b5-ef3831571a18;#3;#Energie- en klimaattransitie|236e6c75-c1c0-4f46-b61c-8c597e1ff9f0" ma:fieldId="{0e8f3523-ee6d-4cb2-b95f-904ff699c84b}" ma:taxonomyMulti="true" ma:sspId="49ca8161-7180-459b-a0ef-1a71cf6ffea5" ma:termSetId="c7f1d544-3886-43fa-874c-1cdd2802d06b" ma:anchorId="00000000-0000-0000-0000-000000000000" ma:open="false" ma:isKeyword="false">
      <xsd:complexType>
        <xsd:sequence>
          <xsd:element ref="pc:Terms" minOccurs="0" maxOccurs="1"/>
        </xsd:sequence>
      </xsd:complexType>
    </xsd:element>
    <xsd:element name="cf1a9610a87f4901991bb44604c8d2c3" ma:index="20" nillable="true" ma:taxonomy="true" ma:internalName="cf1a9610a87f4901991bb44604c8d2c3" ma:taxonomyFieldName="Proces" ma:displayName="Proces" ma:readOnly="false" ma:default="" ma:fieldId="{cf1a9610-a87f-4901-991b-b44604c8d2c3}" ma:sspId="49ca8161-7180-459b-a0ef-1a71cf6ffea5" ma:termSetId="4f14d647-cd9e-4bdb-be87-3ee2b8c9eaef" ma:anchorId="00000000-0000-0000-0000-000000000000" ma:open="false" ma:isKeyword="false">
      <xsd:complexType>
        <xsd:sequence>
          <xsd:element ref="pc:Terms" minOccurs="0" maxOccurs="1"/>
        </xsd:sequence>
      </xsd:complex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p59ef1a9c98a48cd9d43cdd8796a6a43" ma:index="22" nillable="true" ma:taxonomy="true" ma:internalName="p59ef1a9c98a48cd9d43cdd8796a6a43" ma:taxonomyFieldName="Type_x0020_rapport" ma:displayName="Type rapport" ma:default="" ma:fieldId="{959ef1a9-c98a-48cd-9d43-cdd8796a6a43}" ma:sspId="49ca8161-7180-459b-a0ef-1a71cf6ffea5" ma:termSetId="0e86e39c-ff2f-433f-b11b-6397800cf475" ma:anchorId="00000000-0000-0000-0000-000000000000" ma:open="false" ma:isKeyword="false">
      <xsd:complexType>
        <xsd:sequence>
          <xsd:element ref="pc:Terms" minOccurs="0" maxOccurs="1"/>
        </xsd:sequence>
      </xsd:complex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2792a289fc34c8a964c04eb3efdfbc9" ma:index="24" nillable="true" ma:taxonomy="true" ma:internalName="h2792a289fc34c8a964c04eb3efdfbc9" ma:taxonomyFieldName="Status_x0020_rapport" ma:displayName="Status rapport" ma:default="" ma:fieldId="{12792a28-9fc3-4c8a-964c-04eb3efdfbc9}" ma:sspId="49ca8161-7180-459b-a0ef-1a71cf6ffea5" ma:termSetId="88a2a6e7-6dff-42bd-9f21-b29c62b6baf9" ma:anchorId="59f85f9f-5c1f-46a6-b6fd-9f2db5d0e1da" ma:open="false" ma:isKeyword="false">
      <xsd:complexType>
        <xsd:sequence>
          <xsd:element ref="pc:Terms" minOccurs="0" maxOccurs="1"/>
        </xsd:sequence>
      </xsd:complexType>
    </xsd:element>
    <xsd:element name="i708b76796d24dd9870bc5296e859ea0" ma:index="26" nillable="true" ma:taxonomy="true" ma:internalName="i708b76796d24dd9870bc5296e859ea0" ma:taxonomyFieldName="Status_x0020_document" ma:displayName="Status document" ma:default="" ma:fieldId="{2708b767-96d2-4dd9-870b-c5296e859ea0}" ma:sspId="49ca8161-7180-459b-a0ef-1a71cf6ffea5" ma:termSetId="88a2a6e7-6dff-42bd-9f21-b29c62b6baf9" ma:anchorId="4279923b-5f4e-45a4-b775-ac8d90cc9ab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c42226-4aab-4f02-8846-d4b2ab5ecc14}" ma:internalName="TaxCatchAll" ma:readOnly="false" ma:showField="CatchAllData" ma:web="071eca32-85d3-4baf-8b57-b8706dd84d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c42226-4aab-4f02-8846-d4b2ab5ecc14}" ma:internalName="TaxCatchAllLabel" ma:readOnly="true" ma:showField="CatchAllDataLabel" ma:web="071eca32-85d3-4baf-8b57-b8706dd84d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1e1cb-2522-4fb9-b340-47bb1104747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schrijving xmlns="071eca32-85d3-4baf-8b57-b8706dd84d64" xsi:nil="true"/>
    <ge8f3523ee6d4cb2b95f904ff699c84b xmlns="071eca32-85d3-4baf-8b57-b8706dd84d64">
      <Terms xmlns="http://schemas.microsoft.com/office/infopath/2007/PartnerControls">
        <TermInfo xmlns="http://schemas.microsoft.com/office/infopath/2007/PartnerControls">
          <TermName xmlns="http://schemas.microsoft.com/office/infopath/2007/PartnerControls">Industrieel klimaatbeleid</TermName>
          <TermId xmlns="http://schemas.microsoft.com/office/infopath/2007/PartnerControls">678895cd-ec20-4265-9cba-ee51fbc7e8e4</TermId>
        </TermInfo>
        <TermInfo xmlns="http://schemas.microsoft.com/office/infopath/2007/PartnerControls">
          <TermName xmlns="http://schemas.microsoft.com/office/infopath/2007/PartnerControls">EU ETS</TermName>
          <TermId xmlns="http://schemas.microsoft.com/office/infopath/2007/PartnerControls">caa3bb60-80c5-4f9b-85b5-ef3831571a18</TermId>
        </TermInfo>
        <TermInfo xmlns="http://schemas.microsoft.com/office/infopath/2007/PartnerControls">
          <TermName xmlns="http://schemas.microsoft.com/office/infopath/2007/PartnerControls">Energie- en klimaattransitie</TermName>
          <TermId xmlns="http://schemas.microsoft.com/office/infopath/2007/PartnerControls">236e6c75-c1c0-4f46-b61c-8c597e1ff9f0</TermId>
        </TermInfo>
      </Terms>
    </ge8f3523ee6d4cb2b95f904ff699c84b>
    <i708b76796d24dd9870bc5296e859ea0 xmlns="071eca32-85d3-4baf-8b57-b8706dd84d64">
      <Terms xmlns="http://schemas.microsoft.com/office/infopath/2007/PartnerControls"/>
    </i708b76796d24dd9870bc5296e859ea0>
    <k4f250ad144446d0870b1b27d6c49c47 xmlns="071eca32-85d3-4baf-8b57-b8706dd84d64">
      <Terms xmlns="http://schemas.microsoft.com/office/infopath/2007/PartnerControls">
        <TermInfo xmlns="http://schemas.microsoft.com/office/infopath/2007/PartnerControls">
          <TermName xmlns="http://schemas.microsoft.com/office/infopath/2007/PartnerControls">Handleiding</TermName>
          <TermId xmlns="http://schemas.microsoft.com/office/infopath/2007/PartnerControls">6c5f58d3-d169-4956-81d3-9e0c5eee179f</TermId>
        </TermInfo>
      </Terms>
    </k4f250ad144446d0870b1b27d6c49c47>
    <Documentdatum xmlns="071eca32-85d3-4baf-8b57-b8706dd84d64">2019-10-23T07:57:00+00:00</Documentdatum>
    <h2792a289fc34c8a964c04eb3efdfbc9 xmlns="071eca32-85d3-4baf-8b57-b8706dd84d64">
      <Terms xmlns="http://schemas.microsoft.com/office/infopath/2007/PartnerControls"/>
    </h2792a289fc34c8a964c04eb3efdfbc9>
    <cf1a9610a87f4901991bb44604c8d2c3 xmlns="071eca32-85d3-4baf-8b57-b8706dd84d64">
      <Terms xmlns="http://schemas.microsoft.com/office/infopath/2007/PartnerControls"/>
    </cf1a9610a87f4901991bb44604c8d2c3>
    <p59ef1a9c98a48cd9d43cdd8796a6a43 xmlns="071eca32-85d3-4baf-8b57-b8706dd84d64">
      <Terms xmlns="http://schemas.microsoft.com/office/infopath/2007/PartnerControls">
        <TermInfo xmlns="http://schemas.microsoft.com/office/infopath/2007/PartnerControls">
          <TermName xmlns="http://schemas.microsoft.com/office/infopath/2007/PartnerControls">MMP</TermName>
          <TermId xmlns="http://schemas.microsoft.com/office/infopath/2007/PartnerControls">4f6de85f-467f-46df-8a94-2bc7bdc6e736</TermId>
        </TermInfo>
      </Terms>
    </p59ef1a9c98a48cd9d43cdd8796a6a43>
    <TaxCatchAll xmlns="9a9ec0f0-7796-43d0-ac1f-4c8c46ee0bd1">
      <Value>219</Value>
      <Value>215</Value>
      <Value>3</Value>
      <Value>2</Value>
      <Value>1</Value>
    </TaxCatchAll>
    <_dlc_DocId xmlns="071eca32-85d3-4baf-8b57-b8706dd84d64">SHF3VDE4SWFP-1949273808-41</_dlc_DocId>
    <_dlc_DocIdUrl xmlns="071eca32-85d3-4baf-8b57-b8706dd84d64">
      <Url>https://vlaamseoverheid.sharepoint.com/sites/veka-ets/_layouts/15/DocIdRedir.aspx?ID=SHF3VDE4SWFP-1949273808-41</Url>
      <Description>SHF3VDE4SWFP-1949273808-41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340D43-C82C-4365-A563-F2F3B3E56DC8}">
  <ds:schemaRefs>
    <ds:schemaRef ds:uri="http://schemas.microsoft.com/sharepoint/v3/contenttype/forms"/>
  </ds:schemaRefs>
</ds:datastoreItem>
</file>

<file path=customXml/itemProps2.xml><?xml version="1.0" encoding="utf-8"?>
<ds:datastoreItem xmlns:ds="http://schemas.openxmlformats.org/officeDocument/2006/customXml" ds:itemID="{8F06CCC9-295D-4160-828A-E05D0DBC8EE2}"/>
</file>

<file path=customXml/itemProps3.xml><?xml version="1.0" encoding="utf-8"?>
<ds:datastoreItem xmlns:ds="http://schemas.openxmlformats.org/officeDocument/2006/customXml" ds:itemID="{4946ADE3-4925-49BC-8309-195BA8E59F93}">
  <ds:schemaRefs>
    <ds:schemaRef ds:uri="http://schemas.microsoft.com/office/2006/documentManagement/types"/>
    <ds:schemaRef ds:uri="263e120d-778a-4cc7-b671-8852f89a70b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D2077B5-5F18-4F57-A77F-886D5921F447}">
  <ds:schemaRefs>
    <ds:schemaRef ds:uri="http://schemas.openxmlformats.org/officeDocument/2006/bibliography"/>
  </ds:schemaRefs>
</ds:datastoreItem>
</file>

<file path=customXml/itemProps5.xml><?xml version="1.0" encoding="utf-8"?>
<ds:datastoreItem xmlns:ds="http://schemas.openxmlformats.org/officeDocument/2006/customXml" ds:itemID="{1A90E00F-8730-4585-85F3-EC9B9EBB85AE}"/>
</file>

<file path=docProps/app.xml><?xml version="1.0" encoding="utf-8"?>
<Properties xmlns="http://schemas.openxmlformats.org/officeDocument/2006/extended-properties" xmlns:vt="http://schemas.openxmlformats.org/officeDocument/2006/docPropsVTypes">
  <Template>Normal</Template>
  <TotalTime>42</TotalTime>
  <Pages>14</Pages>
  <Words>5731</Words>
  <Characters>31522</Characters>
  <Application>Microsoft Office Word</Application>
  <DocSecurity>0</DocSecurity>
  <Lines>262</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VITO</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Martens Xavier</dc:creator>
  <cp:lastModifiedBy>Lemmens Pieter-Willem</cp:lastModifiedBy>
  <cp:revision>9</cp:revision>
  <cp:lastPrinted>2019-10-18T05:24:00Z</cp:lastPrinted>
  <dcterms:created xsi:type="dcterms:W3CDTF">2019-10-23T07:57:00Z</dcterms:created>
  <dcterms:modified xsi:type="dcterms:W3CDTF">2019-10-23T09:13:00Z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0x010100BB7D6F85C1FED14EB9BA2AF672C79E5B01001F97499EFA68924A9F68EC2EB6DA9BFC</vt:lpwstr>
  </property>
  <property fmtid="{D5CDD505-2E9C-101B-9397-08002B2CF9AE}" pid="3" name="Order">
    <vt:r8>100</vt:r8>
  </property>
  <property fmtid="{D5CDD505-2E9C-101B-9397-08002B2CF9AE}" pid="4" name="Status rapport">
    <vt:lpwstr/>
  </property>
  <property fmtid="{D5CDD505-2E9C-101B-9397-08002B2CF9AE}" pid="5" name="Sitethema">
    <vt:lpwstr>1;#Industrieel klimaatbeleid|678895cd-ec20-4265-9cba-ee51fbc7e8e4;#2;#EU ETS|caa3bb60-80c5-4f9b-85b5-ef3831571a18;#3;#Energie- en klimaattransitie|236e6c75-c1c0-4f46-b61c-8c597e1ff9f0</vt:lpwstr>
  </property>
  <property fmtid="{D5CDD505-2E9C-101B-9397-08002B2CF9AE}" pid="6" name="Documentsoort">
    <vt:lpwstr>215;#Handleiding|6c5f58d3-d169-4956-81d3-9e0c5eee179f</vt:lpwstr>
  </property>
  <property fmtid="{D5CDD505-2E9C-101B-9397-08002B2CF9AE}" pid="7" name="Status document">
    <vt:lpwstr/>
  </property>
  <property fmtid="{D5CDD505-2E9C-101B-9397-08002B2CF9AE}" pid="8" name="Proces">
    <vt:lpwstr/>
  </property>
  <property fmtid="{D5CDD505-2E9C-101B-9397-08002B2CF9AE}" pid="9" name="Type rapport">
    <vt:lpwstr>219;#MMP|4f6de85f-467f-46df-8a94-2bc7bdc6e736</vt:lpwstr>
  </property>
  <property fmtid="{D5CDD505-2E9C-101B-9397-08002B2CF9AE}" pid="10" name="_dlc_DocIdItemGuid">
    <vt:lpwstr>34394456-e9ae-4d94-96f9-753679db80fe</vt:lpwstr>
  </property>
</Properties>
</file>