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3F11" w14:textId="02D60B07" w:rsidR="00051CA8" w:rsidRPr="008872CF" w:rsidRDefault="009650C8" w:rsidP="00C33FB5">
      <w:pPr>
        <w:pStyle w:val="Titel"/>
        <w:jc w:val="both"/>
        <w:rPr>
          <w:rFonts w:ascii="Arial" w:hAnsi="Arial" w:cs="Arial"/>
          <w:b/>
          <w:bCs/>
          <w:sz w:val="48"/>
          <w:szCs w:val="48"/>
          <w:lang w:val="nl-BE"/>
        </w:rPr>
      </w:pPr>
      <w:r w:rsidRPr="69FC4E74">
        <w:rPr>
          <w:rFonts w:ascii="Arial" w:hAnsi="Arial" w:cs="Arial"/>
          <w:b/>
          <w:bCs/>
          <w:sz w:val="48"/>
          <w:szCs w:val="48"/>
          <w:lang w:val="nl-BE"/>
        </w:rPr>
        <w:t>T</w:t>
      </w:r>
      <w:r w:rsidR="00051CA8" w:rsidRPr="69FC4E74">
        <w:rPr>
          <w:rFonts w:ascii="Arial" w:hAnsi="Arial" w:cs="Arial"/>
          <w:b/>
          <w:bCs/>
          <w:sz w:val="48"/>
          <w:szCs w:val="48"/>
          <w:lang w:val="nl-BE"/>
        </w:rPr>
        <w:t xml:space="preserve">oelichting bij </w:t>
      </w:r>
      <w:r w:rsidR="00494C48">
        <w:rPr>
          <w:rFonts w:ascii="Arial" w:hAnsi="Arial" w:cs="Arial"/>
          <w:b/>
          <w:bCs/>
          <w:sz w:val="48"/>
          <w:szCs w:val="48"/>
          <w:lang w:val="nl-BE"/>
        </w:rPr>
        <w:t>opstellen rapport over de activiteitsniveaus</w:t>
      </w:r>
      <w:r w:rsidR="0DC874CB" w:rsidRPr="69FC4E74">
        <w:rPr>
          <w:rFonts w:ascii="Arial" w:hAnsi="Arial" w:cs="Arial"/>
          <w:b/>
          <w:bCs/>
          <w:sz w:val="48"/>
          <w:szCs w:val="48"/>
          <w:lang w:val="nl-BE"/>
        </w:rPr>
        <w:t xml:space="preserve"> </w:t>
      </w:r>
      <w:r w:rsidR="008872CF" w:rsidRPr="69FC4E74">
        <w:rPr>
          <w:rFonts w:ascii="Arial" w:hAnsi="Arial" w:cs="Arial"/>
          <w:b/>
          <w:bCs/>
          <w:sz w:val="48"/>
          <w:szCs w:val="48"/>
          <w:lang w:val="nl-BE"/>
        </w:rPr>
        <w:t xml:space="preserve">in de handelsperiode </w:t>
      </w:r>
      <w:r w:rsidR="0DC874CB" w:rsidRPr="69FC4E74">
        <w:rPr>
          <w:rFonts w:ascii="Arial" w:hAnsi="Arial" w:cs="Arial"/>
          <w:b/>
          <w:bCs/>
          <w:sz w:val="48"/>
          <w:szCs w:val="48"/>
          <w:lang w:val="nl-BE"/>
        </w:rPr>
        <w:t>2021-20</w:t>
      </w:r>
      <w:r w:rsidR="008872CF" w:rsidRPr="69FC4E74">
        <w:rPr>
          <w:rFonts w:ascii="Arial" w:hAnsi="Arial" w:cs="Arial"/>
          <w:b/>
          <w:bCs/>
          <w:sz w:val="48"/>
          <w:szCs w:val="48"/>
          <w:lang w:val="nl-BE"/>
        </w:rPr>
        <w:t>30</w:t>
      </w:r>
    </w:p>
    <w:p w14:paraId="3D5B6689" w14:textId="01AB3B6A" w:rsidR="00051CA8" w:rsidRPr="001C57A8" w:rsidRDefault="00051CA8" w:rsidP="00C33FB5">
      <w:pPr>
        <w:autoSpaceDE w:val="0"/>
        <w:autoSpaceDN w:val="0"/>
        <w:adjustRightInd w:val="0"/>
        <w:spacing w:after="0" w:line="240" w:lineRule="auto"/>
        <w:jc w:val="both"/>
        <w:rPr>
          <w:color w:val="1C1A15"/>
          <w:lang w:val="nl-BE"/>
        </w:rPr>
      </w:pPr>
    </w:p>
    <w:p w14:paraId="78806340" w14:textId="502EDEFF" w:rsidR="00096EDD" w:rsidRPr="001C57A8" w:rsidRDefault="00096EDD" w:rsidP="00C33FB5">
      <w:pPr>
        <w:autoSpaceDE w:val="0"/>
        <w:autoSpaceDN w:val="0"/>
        <w:adjustRightInd w:val="0"/>
        <w:spacing w:after="0" w:line="240" w:lineRule="auto"/>
        <w:jc w:val="both"/>
        <w:rPr>
          <w:i/>
          <w:iCs/>
          <w:color w:val="FF0000"/>
          <w:lang w:val="nl-BE"/>
        </w:rPr>
      </w:pPr>
      <w:r w:rsidRPr="69FC4E74">
        <w:rPr>
          <w:i/>
          <w:iCs/>
          <w:color w:val="1C1A15"/>
          <w:lang w:val="nl-BE"/>
        </w:rPr>
        <w:t xml:space="preserve">Datum laatste </w:t>
      </w:r>
      <w:r w:rsidR="00123606" w:rsidRPr="69FC4E74">
        <w:rPr>
          <w:i/>
          <w:iCs/>
          <w:color w:val="1C1A15"/>
          <w:lang w:val="nl-BE"/>
        </w:rPr>
        <w:t>wijziging</w:t>
      </w:r>
      <w:r w:rsidRPr="00047381">
        <w:rPr>
          <w:i/>
          <w:iCs/>
          <w:color w:val="1C1A15"/>
          <w:lang w:val="nl-BE"/>
        </w:rPr>
        <w:t xml:space="preserve">: </w:t>
      </w:r>
      <w:r w:rsidR="00B811A5">
        <w:rPr>
          <w:i/>
          <w:iCs/>
          <w:color w:val="1C1A15"/>
          <w:lang w:val="nl-BE"/>
        </w:rPr>
        <w:t>3 mei</w:t>
      </w:r>
      <w:r w:rsidR="008550DF" w:rsidRPr="00047381">
        <w:rPr>
          <w:i/>
          <w:iCs/>
          <w:lang w:val="nl-BE"/>
        </w:rPr>
        <w:t xml:space="preserve"> 2021</w:t>
      </w:r>
      <w:r w:rsidR="00B83F92" w:rsidRPr="00047381">
        <w:rPr>
          <w:i/>
          <w:iCs/>
          <w:lang w:val="nl-BE"/>
        </w:rPr>
        <w:t>,</w:t>
      </w:r>
      <w:r w:rsidR="00B83F92" w:rsidRPr="00494C48">
        <w:rPr>
          <w:i/>
          <w:iCs/>
          <w:lang w:val="nl-BE"/>
        </w:rPr>
        <w:t xml:space="preserve"> versienummer: </w:t>
      </w:r>
      <w:r w:rsidR="00B811A5">
        <w:rPr>
          <w:i/>
          <w:iCs/>
          <w:lang w:val="nl-BE"/>
        </w:rPr>
        <w:t>2</w:t>
      </w:r>
    </w:p>
    <w:p w14:paraId="0FB3091D" w14:textId="77777777" w:rsidR="00096EDD" w:rsidRPr="001C57A8" w:rsidRDefault="00096EDD" w:rsidP="00C33FB5">
      <w:pPr>
        <w:autoSpaceDE w:val="0"/>
        <w:autoSpaceDN w:val="0"/>
        <w:adjustRightInd w:val="0"/>
        <w:spacing w:after="0" w:line="240" w:lineRule="auto"/>
        <w:jc w:val="both"/>
        <w:rPr>
          <w:color w:val="1C1A15"/>
          <w:lang w:val="nl-BE"/>
        </w:rPr>
      </w:pPr>
    </w:p>
    <w:p w14:paraId="628AF8C6" w14:textId="609298AA" w:rsidR="00494C48" w:rsidRDefault="00494C48" w:rsidP="00C33FB5">
      <w:pPr>
        <w:autoSpaceDE w:val="0"/>
        <w:autoSpaceDN w:val="0"/>
        <w:adjustRightInd w:val="0"/>
        <w:spacing w:after="0" w:line="240" w:lineRule="auto"/>
        <w:jc w:val="both"/>
        <w:rPr>
          <w:color w:val="1C1A15"/>
          <w:lang w:val="nl-BE"/>
        </w:rPr>
      </w:pPr>
      <w:r>
        <w:rPr>
          <w:color w:val="1C1A15"/>
          <w:lang w:val="nl-BE"/>
        </w:rPr>
        <w:t xml:space="preserve">Vanaf </w:t>
      </w:r>
      <w:r w:rsidR="65FF6906" w:rsidRPr="69FC4E74">
        <w:rPr>
          <w:color w:val="1C1A15"/>
          <w:lang w:val="nl-BE"/>
        </w:rPr>
        <w:t xml:space="preserve">de </w:t>
      </w:r>
      <w:r w:rsidR="006911A4" w:rsidRPr="69FC4E74">
        <w:rPr>
          <w:color w:val="1C1A15"/>
          <w:lang w:val="nl-BE"/>
        </w:rPr>
        <w:t xml:space="preserve">vierde </w:t>
      </w:r>
      <w:r w:rsidR="00FB571D" w:rsidRPr="69FC4E74">
        <w:rPr>
          <w:color w:val="1C1A15"/>
          <w:lang w:val="nl-BE"/>
        </w:rPr>
        <w:t xml:space="preserve">handelsperiode </w:t>
      </w:r>
      <w:r w:rsidR="006911A4" w:rsidRPr="69FC4E74">
        <w:rPr>
          <w:color w:val="1C1A15"/>
          <w:lang w:val="nl-BE"/>
        </w:rPr>
        <w:t>(</w:t>
      </w:r>
      <w:r w:rsidR="1BAA1D8A" w:rsidRPr="69FC4E74">
        <w:rPr>
          <w:color w:val="1C1A15"/>
          <w:lang w:val="nl-BE"/>
        </w:rPr>
        <w:t>2021-2030</w:t>
      </w:r>
      <w:r w:rsidR="006911A4" w:rsidRPr="69FC4E74">
        <w:rPr>
          <w:color w:val="1C1A15"/>
          <w:lang w:val="nl-BE"/>
        </w:rPr>
        <w:t>)</w:t>
      </w:r>
      <w:r w:rsidR="00FB571D" w:rsidRPr="69FC4E74">
        <w:rPr>
          <w:color w:val="1C1A15"/>
          <w:lang w:val="nl-BE"/>
        </w:rPr>
        <w:t xml:space="preserve"> </w:t>
      </w:r>
      <w:r>
        <w:rPr>
          <w:color w:val="1C1A15"/>
          <w:lang w:val="nl-BE"/>
        </w:rPr>
        <w:t>geldt een meer dynamische aanpassing van de kosteloos toegewezen emissierechten.</w:t>
      </w:r>
      <w:r w:rsidR="00E014A5">
        <w:rPr>
          <w:color w:val="1C1A15"/>
          <w:lang w:val="nl-BE"/>
        </w:rPr>
        <w:t xml:space="preserve"> </w:t>
      </w:r>
      <w:r>
        <w:rPr>
          <w:color w:val="1C1A15"/>
          <w:lang w:val="nl-BE"/>
        </w:rPr>
        <w:t xml:space="preserve">Zo zal de oorspronkelijke toewijzing (gebaseerd op het historisch activiteitsniveau, de HAL) aangepast worden wanneer het </w:t>
      </w:r>
      <w:r w:rsidRPr="00494C48">
        <w:rPr>
          <w:color w:val="1C1A15"/>
          <w:lang w:val="nl-BE"/>
        </w:rPr>
        <w:t xml:space="preserve">activiteitsniveau </w:t>
      </w:r>
      <w:r>
        <w:rPr>
          <w:color w:val="1C1A15"/>
          <w:lang w:val="nl-BE"/>
        </w:rPr>
        <w:t>stijgt of daal</w:t>
      </w:r>
      <w:r w:rsidRPr="00494C48">
        <w:rPr>
          <w:color w:val="1C1A15"/>
          <w:lang w:val="nl-BE"/>
        </w:rPr>
        <w:t>t met meer dan 15%</w:t>
      </w:r>
      <w:r>
        <w:rPr>
          <w:color w:val="1C1A15"/>
          <w:lang w:val="nl-BE"/>
        </w:rPr>
        <w:t xml:space="preserve">. Hiervoor wordt gekeken naar een rollend tweejaarlijks gemiddelde van de activiteitsniveaus. Deze dienen jaarlijks gerapporteerd te worden via een </w:t>
      </w:r>
      <w:r w:rsidRPr="00494C48">
        <w:rPr>
          <w:color w:val="1C1A15"/>
          <w:lang w:val="nl-BE"/>
        </w:rPr>
        <w:t xml:space="preserve">geverifieerd rapport over </w:t>
      </w:r>
      <w:r>
        <w:rPr>
          <w:color w:val="1C1A15"/>
          <w:lang w:val="nl-BE"/>
        </w:rPr>
        <w:t>de</w:t>
      </w:r>
      <w:r w:rsidRPr="00494C48">
        <w:rPr>
          <w:color w:val="1C1A15"/>
          <w:lang w:val="nl-BE"/>
        </w:rPr>
        <w:t xml:space="preserve"> activiteitsniveau</w:t>
      </w:r>
      <w:r>
        <w:rPr>
          <w:color w:val="1C1A15"/>
          <w:lang w:val="nl-BE"/>
        </w:rPr>
        <w:t>s.</w:t>
      </w:r>
      <w:r w:rsidR="00E014A5" w:rsidRPr="00E014A5">
        <w:rPr>
          <w:color w:val="1C1A15"/>
          <w:lang w:val="nl-BE"/>
        </w:rPr>
        <w:t xml:space="preserve"> </w:t>
      </w:r>
      <w:r w:rsidR="00E014A5">
        <w:rPr>
          <w:color w:val="1C1A15"/>
          <w:lang w:val="nl-BE"/>
        </w:rPr>
        <w:t>Via dit rapport wordt nagegaan of de oorspronkelijke toewijzing al dan niet hoeft bijgesteld te worden.</w:t>
      </w:r>
    </w:p>
    <w:p w14:paraId="5DAFF740" w14:textId="77777777" w:rsidR="00494C48" w:rsidRDefault="00494C48" w:rsidP="00C33FB5">
      <w:pPr>
        <w:autoSpaceDE w:val="0"/>
        <w:autoSpaceDN w:val="0"/>
        <w:adjustRightInd w:val="0"/>
        <w:spacing w:after="0" w:line="240" w:lineRule="auto"/>
        <w:jc w:val="both"/>
        <w:rPr>
          <w:color w:val="1C1A15"/>
          <w:lang w:val="nl-BE"/>
        </w:rPr>
      </w:pPr>
    </w:p>
    <w:p w14:paraId="0C3BBB29" w14:textId="1B52C925" w:rsidR="00285464" w:rsidRDefault="37A08EC6" w:rsidP="00C33FB5">
      <w:pPr>
        <w:autoSpaceDE w:val="0"/>
        <w:autoSpaceDN w:val="0"/>
        <w:adjustRightInd w:val="0"/>
        <w:spacing w:after="0" w:line="240" w:lineRule="auto"/>
        <w:jc w:val="both"/>
        <w:rPr>
          <w:color w:val="1C1A15"/>
          <w:lang w:val="nl-BE"/>
        </w:rPr>
      </w:pPr>
      <w:r w:rsidRPr="69FC4E74">
        <w:rPr>
          <w:color w:val="1C1A15"/>
          <w:lang w:val="nl-BE"/>
        </w:rPr>
        <w:t xml:space="preserve">Deze toelichting verduidelijkt wat van een exploitant wordt verwacht m.b.t. de timing en opstelling van het </w:t>
      </w:r>
      <w:r w:rsidR="00494C48">
        <w:rPr>
          <w:color w:val="1C1A15"/>
          <w:lang w:val="nl-BE"/>
        </w:rPr>
        <w:t>jaarlijks rapport over de activiteitsniveaus</w:t>
      </w:r>
      <w:r w:rsidRPr="69FC4E74">
        <w:rPr>
          <w:color w:val="1C1A15"/>
          <w:lang w:val="nl-BE"/>
        </w:rPr>
        <w:t xml:space="preserve">. </w:t>
      </w:r>
    </w:p>
    <w:p w14:paraId="2CD06070" w14:textId="51107603" w:rsidR="00DA0C12" w:rsidRDefault="00DA0C12" w:rsidP="00C33FB5">
      <w:pPr>
        <w:autoSpaceDE w:val="0"/>
        <w:autoSpaceDN w:val="0"/>
        <w:adjustRightInd w:val="0"/>
        <w:spacing w:after="0" w:line="240" w:lineRule="auto"/>
        <w:jc w:val="both"/>
        <w:rPr>
          <w:color w:val="1C1A15"/>
          <w:lang w:val="nl-BE"/>
        </w:rPr>
      </w:pPr>
    </w:p>
    <w:p w14:paraId="7F8C3C4F" w14:textId="765712E1" w:rsidR="00DA0C12" w:rsidRDefault="00DA0C12" w:rsidP="00C33FB5">
      <w:pPr>
        <w:autoSpaceDE w:val="0"/>
        <w:autoSpaceDN w:val="0"/>
        <w:adjustRightInd w:val="0"/>
        <w:spacing w:after="0" w:line="240" w:lineRule="auto"/>
        <w:jc w:val="both"/>
        <w:rPr>
          <w:color w:val="1C1A15"/>
          <w:lang w:val="nl-BE"/>
        </w:rPr>
      </w:pPr>
      <w:r>
        <w:rPr>
          <w:color w:val="1C1A15"/>
          <w:lang w:val="nl-BE"/>
        </w:rPr>
        <w:t xml:space="preserve">Het </w:t>
      </w:r>
      <w:r w:rsidR="00F55069">
        <w:rPr>
          <w:color w:val="1C1A15"/>
          <w:lang w:val="nl-BE"/>
        </w:rPr>
        <w:t xml:space="preserve">momenteel beschikbare </w:t>
      </w:r>
      <w:hyperlink r:id="rId11" w:history="1">
        <w:r w:rsidRPr="00DA0C12">
          <w:rPr>
            <w:rStyle w:val="Hyperlink"/>
            <w:lang w:val="nl-BE"/>
          </w:rPr>
          <w:t>Guidance Document 5</w:t>
        </w:r>
      </w:hyperlink>
      <w:r>
        <w:rPr>
          <w:color w:val="1C1A15"/>
          <w:lang w:val="nl-BE"/>
        </w:rPr>
        <w:t xml:space="preserve"> van de Europese Commissie bevat bijkomende informatie en voorbeelden bij het invullen van het sjabloon</w:t>
      </w:r>
      <w:r w:rsidRPr="00DA0C12">
        <w:rPr>
          <w:color w:val="1C1A15"/>
          <w:lang w:val="nl-BE"/>
        </w:rPr>
        <w:t xml:space="preserve">, voornamelijk </w:t>
      </w:r>
      <w:r>
        <w:rPr>
          <w:color w:val="1C1A15"/>
          <w:lang w:val="nl-BE"/>
        </w:rPr>
        <w:t xml:space="preserve">de </w:t>
      </w:r>
      <w:r w:rsidRPr="00DA0C12">
        <w:rPr>
          <w:color w:val="1C1A15"/>
          <w:lang w:val="nl-BE"/>
        </w:rPr>
        <w:t>hoofdstuk</w:t>
      </w:r>
      <w:r>
        <w:rPr>
          <w:color w:val="1C1A15"/>
          <w:lang w:val="nl-BE"/>
        </w:rPr>
        <w:t>ken</w:t>
      </w:r>
      <w:r w:rsidRPr="00DA0C12">
        <w:rPr>
          <w:color w:val="1C1A15"/>
          <w:lang w:val="nl-BE"/>
        </w:rPr>
        <w:t xml:space="preserve"> 6 “monitoring rules” en 7 “Annex A – Central concepts”.</w:t>
      </w:r>
      <w:r>
        <w:rPr>
          <w:color w:val="1C1A15"/>
          <w:lang w:val="nl-BE"/>
        </w:rPr>
        <w:t xml:space="preserve"> Dit document zal in de loop van 2021 geüpdatet worden.</w:t>
      </w:r>
    </w:p>
    <w:p w14:paraId="666354C9" w14:textId="774DED4A" w:rsidR="00502D8E" w:rsidRDefault="00502D8E" w:rsidP="00C33FB5">
      <w:pPr>
        <w:autoSpaceDE w:val="0"/>
        <w:autoSpaceDN w:val="0"/>
        <w:adjustRightInd w:val="0"/>
        <w:spacing w:after="0" w:line="240" w:lineRule="auto"/>
        <w:jc w:val="both"/>
        <w:rPr>
          <w:color w:val="1C1A15"/>
          <w:lang w:val="nl-BE"/>
        </w:rPr>
      </w:pPr>
    </w:p>
    <w:tbl>
      <w:tblPr>
        <w:tblStyle w:val="Tabel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06"/>
      </w:tblGrid>
      <w:tr w:rsidR="00350FFA" w14:paraId="00A5A472" w14:textId="77777777" w:rsidTr="00350FFA">
        <w:tc>
          <w:tcPr>
            <w:tcW w:w="9016" w:type="dxa"/>
            <w:tcBorders>
              <w:top w:val="single" w:sz="8" w:space="0" w:color="auto"/>
              <w:left w:val="single" w:sz="8" w:space="0" w:color="auto"/>
              <w:bottom w:val="single" w:sz="8" w:space="0" w:color="auto"/>
              <w:right w:val="single" w:sz="8" w:space="0" w:color="auto"/>
            </w:tcBorders>
          </w:tcPr>
          <w:p w14:paraId="20B2E334" w14:textId="09C2FE83" w:rsidR="00ED524E" w:rsidRPr="00ED524E" w:rsidRDefault="00350FFA" w:rsidP="00C33FB5">
            <w:pPr>
              <w:autoSpaceDE w:val="0"/>
              <w:autoSpaceDN w:val="0"/>
              <w:adjustRightInd w:val="0"/>
              <w:jc w:val="both"/>
              <w:rPr>
                <w:b/>
                <w:bCs/>
                <w:color w:val="1C1A15"/>
                <w:lang w:val="nl-BE"/>
              </w:rPr>
            </w:pPr>
            <w:r w:rsidRPr="00ED524E">
              <w:rPr>
                <w:b/>
                <w:bCs/>
                <w:color w:val="1C1A15"/>
                <w:lang w:val="nl-BE"/>
              </w:rPr>
              <w:t>In de volgende gevallen wordt de oorspronkelijke toewijzing aangepast:</w:t>
            </w:r>
          </w:p>
          <w:p w14:paraId="56B890B9" w14:textId="678D6FEA" w:rsidR="00350FFA" w:rsidRDefault="00350FFA" w:rsidP="00C33FB5">
            <w:pPr>
              <w:pStyle w:val="Lijstalinea"/>
              <w:numPr>
                <w:ilvl w:val="0"/>
                <w:numId w:val="44"/>
              </w:numPr>
              <w:autoSpaceDE w:val="0"/>
              <w:autoSpaceDN w:val="0"/>
              <w:adjustRightInd w:val="0"/>
              <w:jc w:val="both"/>
              <w:rPr>
                <w:color w:val="1C1A15"/>
                <w:lang w:val="nl-BE"/>
              </w:rPr>
            </w:pPr>
            <w:r w:rsidRPr="00350FFA">
              <w:rPr>
                <w:color w:val="1C1A15"/>
                <w:lang w:val="nl-BE"/>
              </w:rPr>
              <w:t xml:space="preserve">Het </w:t>
            </w:r>
            <w:r w:rsidR="00ED524E">
              <w:rPr>
                <w:color w:val="1C1A15"/>
                <w:lang w:val="nl-BE"/>
              </w:rPr>
              <w:t xml:space="preserve">tweejaarlijks gemiddelde van het </w:t>
            </w:r>
            <w:r w:rsidRPr="00ED524E">
              <w:rPr>
                <w:b/>
                <w:bCs/>
                <w:color w:val="1C1A15"/>
                <w:lang w:val="nl-BE"/>
              </w:rPr>
              <w:t>activiteitsniveau</w:t>
            </w:r>
            <w:r w:rsidR="00A2688C" w:rsidRPr="00ED524E">
              <w:rPr>
                <w:b/>
                <w:bCs/>
                <w:color w:val="1C1A15"/>
                <w:lang w:val="nl-BE"/>
              </w:rPr>
              <w:t xml:space="preserve"> (AL)</w:t>
            </w:r>
            <w:r w:rsidRPr="00350FFA">
              <w:rPr>
                <w:color w:val="1C1A15"/>
                <w:lang w:val="nl-BE"/>
              </w:rPr>
              <w:t xml:space="preserve"> </w:t>
            </w:r>
            <w:r>
              <w:rPr>
                <w:color w:val="1C1A15"/>
                <w:lang w:val="nl-BE"/>
              </w:rPr>
              <w:t>overschrijdt een eerste keer de drempel van</w:t>
            </w:r>
            <w:r w:rsidRPr="00350FFA">
              <w:rPr>
                <w:color w:val="1C1A15"/>
                <w:lang w:val="nl-BE"/>
              </w:rPr>
              <w:t xml:space="preserve"> 15% t.o.v. het historische activiteitsniveau (o.b.v. een rollend tweejaarlijks gemiddelde)</w:t>
            </w:r>
            <w:r w:rsidR="00A2688C">
              <w:rPr>
                <w:color w:val="1C1A15"/>
                <w:lang w:val="nl-BE"/>
              </w:rPr>
              <w:t xml:space="preserve"> en het absolute verschil in toewijzing is meer dan 100 emissierechten</w:t>
            </w:r>
            <w:r w:rsidRPr="00350FFA">
              <w:rPr>
                <w:color w:val="1C1A15"/>
                <w:lang w:val="nl-BE"/>
              </w:rPr>
              <w:t>;</w:t>
            </w:r>
          </w:p>
          <w:p w14:paraId="7F3D545D" w14:textId="5D4887A8" w:rsidR="00A2688C" w:rsidRDefault="00A2688C" w:rsidP="00C33FB5">
            <w:pPr>
              <w:autoSpaceDE w:val="0"/>
              <w:autoSpaceDN w:val="0"/>
              <w:adjustRightInd w:val="0"/>
              <w:ind w:left="360"/>
              <w:jc w:val="both"/>
              <w:rPr>
                <w:color w:val="1C1A15"/>
                <w:lang w:val="nl-BE"/>
              </w:rPr>
            </w:pPr>
            <w:r>
              <w:rPr>
                <w:noProof/>
                <w:lang w:val="nl-BE"/>
              </w:rPr>
              <w:drawing>
                <wp:anchor distT="0" distB="0" distL="114300" distR="114300" simplePos="0" relativeHeight="251658240" behindDoc="1" locked="0" layoutInCell="1" allowOverlap="1" wp14:anchorId="37E61126" wp14:editId="1BDA4F53">
                  <wp:simplePos x="0" y="0"/>
                  <wp:positionH relativeFrom="column">
                    <wp:posOffset>490855</wp:posOffset>
                  </wp:positionH>
                  <wp:positionV relativeFrom="paragraph">
                    <wp:posOffset>20320</wp:posOffset>
                  </wp:positionV>
                  <wp:extent cx="290195" cy="290195"/>
                  <wp:effectExtent l="0" t="0" r="0" b="0"/>
                  <wp:wrapTight wrapText="bothSides">
                    <wp:wrapPolygon edited="0">
                      <wp:start x="7090" y="0"/>
                      <wp:lineTo x="0" y="12761"/>
                      <wp:lineTo x="0" y="19851"/>
                      <wp:lineTo x="19851" y="19851"/>
                      <wp:lineTo x="19851" y="14179"/>
                      <wp:lineTo x="14179" y="0"/>
                      <wp:lineTo x="7090" y="0"/>
                    </wp:wrapPolygon>
                  </wp:wrapTight>
                  <wp:docPr id="1" name="Graphic 1" descr="Waarschu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arschuw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0195" cy="290195"/>
                          </a:xfrm>
                          <a:prstGeom prst="rect">
                            <a:avLst/>
                          </a:prstGeom>
                        </pic:spPr>
                      </pic:pic>
                    </a:graphicData>
                  </a:graphic>
                  <wp14:sizeRelH relativeFrom="margin">
                    <wp14:pctWidth>0</wp14:pctWidth>
                  </wp14:sizeRelH>
                  <wp14:sizeRelV relativeFrom="margin">
                    <wp14:pctHeight>0</wp14:pctHeight>
                  </wp14:sizeRelV>
                </wp:anchor>
              </w:drawing>
            </w:r>
            <w:r>
              <w:rPr>
                <w:color w:val="1C1A15"/>
                <w:lang w:val="nl-BE"/>
              </w:rPr>
              <w:t xml:space="preserve">  </w:t>
            </w:r>
            <w:r w:rsidRPr="00A2688C">
              <w:rPr>
                <w:color w:val="1C1A15"/>
                <w:lang w:val="nl-BE"/>
              </w:rPr>
              <w:t xml:space="preserve">In geval van de </w:t>
            </w:r>
            <w:r>
              <w:rPr>
                <w:color w:val="1C1A15"/>
                <w:lang w:val="nl-BE"/>
              </w:rPr>
              <w:t>heat en fuel benchmarks wordt hier ook naar de efficiëntieverbetering gekeken, bv:</w:t>
            </w:r>
          </w:p>
          <w:p w14:paraId="2BCBDDCC" w14:textId="69A4EAF2" w:rsidR="00A2688C" w:rsidRDefault="00A2688C" w:rsidP="00C33FB5">
            <w:pPr>
              <w:pStyle w:val="Lijstalinea"/>
              <w:numPr>
                <w:ilvl w:val="0"/>
                <w:numId w:val="45"/>
              </w:numPr>
              <w:autoSpaceDE w:val="0"/>
              <w:autoSpaceDN w:val="0"/>
              <w:adjustRightInd w:val="0"/>
              <w:jc w:val="both"/>
              <w:rPr>
                <w:color w:val="1C1A15"/>
                <w:lang w:val="nl-BE"/>
              </w:rPr>
            </w:pPr>
            <w:r>
              <w:rPr>
                <w:color w:val="1C1A15"/>
                <w:lang w:val="nl-BE"/>
              </w:rPr>
              <w:t xml:space="preserve">AL daalt met </w:t>
            </w:r>
            <w:r w:rsidR="00843BAA">
              <w:rPr>
                <w:color w:val="1C1A15"/>
                <w:lang w:val="nl-BE"/>
              </w:rPr>
              <w:t>meer dan 15 %</w:t>
            </w:r>
            <w:r>
              <w:rPr>
                <w:color w:val="1C1A15"/>
                <w:lang w:val="nl-BE"/>
              </w:rPr>
              <w:t xml:space="preserve"> maar de exploitant kan aantonen dat </w:t>
            </w:r>
            <w:r w:rsidR="00843BAA">
              <w:rPr>
                <w:color w:val="1C1A15"/>
                <w:lang w:val="nl-BE"/>
              </w:rPr>
              <w:t xml:space="preserve">dit te wijten is aan een gelijkaardige toename in energie efficiëntie (van meer dan 15 %) </w:t>
            </w:r>
            <w:r w:rsidRPr="00A2688C">
              <w:rPr>
                <w:color w:val="1C1A15"/>
                <w:lang w:val="nl-BE"/>
              </w:rPr>
              <w:sym w:font="Wingdings" w:char="F0E0"/>
            </w:r>
            <w:r>
              <w:rPr>
                <w:color w:val="1C1A15"/>
                <w:lang w:val="nl-BE"/>
              </w:rPr>
              <w:t xml:space="preserve"> De toewijzing wordt niet bijgesteld.</w:t>
            </w:r>
          </w:p>
          <w:p w14:paraId="168E6D99" w14:textId="227909D2" w:rsidR="00A2688C" w:rsidRPr="00A2688C" w:rsidRDefault="00A2688C" w:rsidP="00C33FB5">
            <w:pPr>
              <w:pStyle w:val="Lijstalinea"/>
              <w:numPr>
                <w:ilvl w:val="0"/>
                <w:numId w:val="45"/>
              </w:numPr>
              <w:autoSpaceDE w:val="0"/>
              <w:autoSpaceDN w:val="0"/>
              <w:adjustRightInd w:val="0"/>
              <w:jc w:val="both"/>
              <w:rPr>
                <w:color w:val="1C1A15"/>
                <w:lang w:val="nl-BE"/>
              </w:rPr>
            </w:pPr>
            <w:r>
              <w:rPr>
                <w:color w:val="1C1A15"/>
                <w:lang w:val="nl-BE"/>
              </w:rPr>
              <w:t xml:space="preserve">AL stijgt met meer dan 15 % en de exploitant kan niet aantonen </w:t>
            </w:r>
            <w:r w:rsidRPr="00A2688C">
              <w:rPr>
                <w:color w:val="1C1A15"/>
                <w:lang w:val="nl-BE"/>
              </w:rPr>
              <w:t xml:space="preserve">dat dit niet veroorzaakt is door </w:t>
            </w:r>
            <w:r>
              <w:rPr>
                <w:color w:val="1C1A15"/>
                <w:lang w:val="nl-BE"/>
              </w:rPr>
              <w:t xml:space="preserve">een </w:t>
            </w:r>
            <w:r w:rsidRPr="00A2688C">
              <w:rPr>
                <w:color w:val="1C1A15"/>
                <w:lang w:val="nl-BE"/>
              </w:rPr>
              <w:t xml:space="preserve">afgenomen </w:t>
            </w:r>
            <w:r>
              <w:rPr>
                <w:color w:val="1C1A15"/>
                <w:lang w:val="nl-BE"/>
              </w:rPr>
              <w:t xml:space="preserve">energie </w:t>
            </w:r>
            <w:r w:rsidRPr="00A2688C">
              <w:rPr>
                <w:color w:val="1C1A15"/>
                <w:lang w:val="nl-BE"/>
              </w:rPr>
              <w:t>efficiëntie</w:t>
            </w:r>
            <w:r>
              <w:rPr>
                <w:color w:val="1C1A15"/>
                <w:lang w:val="nl-BE"/>
              </w:rPr>
              <w:t xml:space="preserve"> </w:t>
            </w:r>
            <w:r w:rsidRPr="00A2688C">
              <w:rPr>
                <w:color w:val="1C1A15"/>
                <w:lang w:val="nl-BE"/>
              </w:rPr>
              <w:sym w:font="Wingdings" w:char="F0E0"/>
            </w:r>
            <w:r>
              <w:rPr>
                <w:color w:val="1C1A15"/>
                <w:lang w:val="nl-BE"/>
              </w:rPr>
              <w:t xml:space="preserve"> De toewijzing wordt niet bijgesteld. </w:t>
            </w:r>
          </w:p>
          <w:p w14:paraId="1E62B22A" w14:textId="36F8173D" w:rsidR="00A2688C" w:rsidRDefault="00ED524E" w:rsidP="00C33FB5">
            <w:pPr>
              <w:pStyle w:val="Lijstalinea"/>
              <w:numPr>
                <w:ilvl w:val="0"/>
                <w:numId w:val="44"/>
              </w:numPr>
              <w:autoSpaceDE w:val="0"/>
              <w:autoSpaceDN w:val="0"/>
              <w:adjustRightInd w:val="0"/>
              <w:jc w:val="both"/>
              <w:rPr>
                <w:color w:val="1C1A15"/>
                <w:lang w:val="nl-BE"/>
              </w:rPr>
            </w:pPr>
            <w:r>
              <w:rPr>
                <w:color w:val="1C1A15"/>
                <w:lang w:val="nl-BE"/>
              </w:rPr>
              <w:t xml:space="preserve">Het tweejaarlijks gemiddelde van </w:t>
            </w:r>
            <w:r w:rsidRPr="00ED524E">
              <w:rPr>
                <w:b/>
                <w:bCs/>
                <w:color w:val="1C1A15"/>
                <w:lang w:val="nl-BE"/>
              </w:rPr>
              <w:t>bepaalde</w:t>
            </w:r>
            <w:r w:rsidR="00A2688C" w:rsidRPr="00ED524E">
              <w:rPr>
                <w:b/>
                <w:bCs/>
                <w:color w:val="1C1A15"/>
                <w:lang w:val="nl-BE"/>
              </w:rPr>
              <w:t xml:space="preserve"> parameter</w:t>
            </w:r>
            <w:r w:rsidRPr="00ED524E">
              <w:rPr>
                <w:b/>
                <w:bCs/>
                <w:color w:val="1C1A15"/>
                <w:lang w:val="nl-BE"/>
              </w:rPr>
              <w:t>s</w:t>
            </w:r>
            <w:r w:rsidR="00A2688C">
              <w:rPr>
                <w:color w:val="1C1A15"/>
                <w:lang w:val="nl-BE"/>
              </w:rPr>
              <w:t xml:space="preserve"> relevant voor de toewijzing (bv. warmte import uit een niet-ETS installatie, </w:t>
            </w:r>
            <w:r>
              <w:rPr>
                <w:color w:val="1C1A15"/>
                <w:lang w:val="nl-BE"/>
              </w:rPr>
              <w:t>u</w:t>
            </w:r>
            <w:r w:rsidRPr="00ED524E">
              <w:rPr>
                <w:color w:val="1C1A15"/>
                <w:lang w:val="nl-BE"/>
              </w:rPr>
              <w:t>itwisselbaarheid van brandstof en elektriciteit</w:t>
            </w:r>
            <w:r>
              <w:rPr>
                <w:color w:val="1C1A15"/>
                <w:lang w:val="nl-BE"/>
              </w:rPr>
              <w:t xml:space="preserve">) verandert met meer dan 15 % t.o.v. de waarde gebruikt voor de oorspronkelijke toewijzing, en dit leidt tot een absoluut verschil in toewijzing van meer dan 100 emissierechten; </w:t>
            </w:r>
          </w:p>
          <w:p w14:paraId="0194F58F" w14:textId="6EB7DB3D" w:rsidR="00350FFA" w:rsidRPr="00350FFA" w:rsidRDefault="00350FFA" w:rsidP="00C33FB5">
            <w:pPr>
              <w:pStyle w:val="Lijstalinea"/>
              <w:numPr>
                <w:ilvl w:val="0"/>
                <w:numId w:val="44"/>
              </w:numPr>
              <w:autoSpaceDE w:val="0"/>
              <w:autoSpaceDN w:val="0"/>
              <w:adjustRightInd w:val="0"/>
              <w:jc w:val="both"/>
              <w:rPr>
                <w:color w:val="1C1A15"/>
                <w:lang w:val="nl-BE"/>
              </w:rPr>
            </w:pPr>
            <w:r w:rsidRPr="00350FFA">
              <w:rPr>
                <w:color w:val="1C1A15"/>
                <w:lang w:val="nl-BE"/>
              </w:rPr>
              <w:t xml:space="preserve">Er is sprake van een </w:t>
            </w:r>
            <w:r w:rsidRPr="00ED524E">
              <w:rPr>
                <w:b/>
                <w:bCs/>
                <w:color w:val="1C1A15"/>
                <w:lang w:val="nl-BE"/>
              </w:rPr>
              <w:t>stopzetting</w:t>
            </w:r>
            <w:r w:rsidRPr="00350FFA">
              <w:rPr>
                <w:color w:val="1C1A15"/>
                <w:lang w:val="nl-BE"/>
              </w:rPr>
              <w:t xml:space="preserve"> van een (sub-)installatie;</w:t>
            </w:r>
          </w:p>
          <w:p w14:paraId="4A9D1516" w14:textId="77777777" w:rsidR="00350FFA" w:rsidRPr="00350FFA" w:rsidRDefault="00350FFA" w:rsidP="00C33FB5">
            <w:pPr>
              <w:pStyle w:val="Lijstalinea"/>
              <w:numPr>
                <w:ilvl w:val="0"/>
                <w:numId w:val="44"/>
              </w:numPr>
              <w:autoSpaceDE w:val="0"/>
              <w:autoSpaceDN w:val="0"/>
              <w:adjustRightInd w:val="0"/>
              <w:jc w:val="both"/>
              <w:rPr>
                <w:color w:val="1C1A15"/>
                <w:lang w:val="nl-BE"/>
              </w:rPr>
            </w:pPr>
            <w:r w:rsidRPr="00350FFA">
              <w:rPr>
                <w:color w:val="1C1A15"/>
                <w:lang w:val="nl-BE"/>
              </w:rPr>
              <w:t xml:space="preserve">Er is sprake van een </w:t>
            </w:r>
            <w:r w:rsidRPr="00ED524E">
              <w:rPr>
                <w:b/>
                <w:bCs/>
                <w:color w:val="1C1A15"/>
                <w:lang w:val="nl-BE"/>
              </w:rPr>
              <w:t>nieuwkomer</w:t>
            </w:r>
            <w:r w:rsidRPr="00350FFA">
              <w:rPr>
                <w:color w:val="1C1A15"/>
                <w:lang w:val="nl-BE"/>
              </w:rPr>
              <w:t xml:space="preserve"> of een nieuwe (sub-)installatie;</w:t>
            </w:r>
          </w:p>
          <w:p w14:paraId="0C051D86" w14:textId="77777777" w:rsidR="00350FFA" w:rsidRDefault="00350FFA" w:rsidP="00C33FB5">
            <w:pPr>
              <w:autoSpaceDE w:val="0"/>
              <w:autoSpaceDN w:val="0"/>
              <w:adjustRightInd w:val="0"/>
              <w:jc w:val="both"/>
              <w:rPr>
                <w:color w:val="1C1A15"/>
                <w:lang w:val="nl-BE"/>
              </w:rPr>
            </w:pPr>
            <w:r>
              <w:rPr>
                <w:color w:val="1C1A15"/>
                <w:lang w:val="nl-BE"/>
              </w:rPr>
              <w:t xml:space="preserve">Zie ook </w:t>
            </w:r>
            <w:hyperlink r:id="rId14" w:history="1">
              <w:r w:rsidRPr="00350FFA">
                <w:rPr>
                  <w:rStyle w:val="Hyperlink"/>
                  <w:lang w:val="nl-BE"/>
                </w:rPr>
                <w:t>Guidance Document 7</w:t>
              </w:r>
            </w:hyperlink>
            <w:r w:rsidRPr="00350FFA">
              <w:rPr>
                <w:color w:val="1C1A15"/>
                <w:lang w:val="nl-BE"/>
              </w:rPr>
              <w:t xml:space="preserve"> over de </w:t>
            </w:r>
            <w:r>
              <w:rPr>
                <w:color w:val="1C1A15"/>
                <w:lang w:val="nl-BE"/>
              </w:rPr>
              <w:t xml:space="preserve">dynamische </w:t>
            </w:r>
            <w:r w:rsidRPr="00350FFA">
              <w:rPr>
                <w:color w:val="1C1A15"/>
                <w:lang w:val="nl-BE"/>
              </w:rPr>
              <w:t>aanpassing</w:t>
            </w:r>
            <w:r>
              <w:rPr>
                <w:color w:val="1C1A15"/>
                <w:lang w:val="nl-BE"/>
              </w:rPr>
              <w:t xml:space="preserve"> van de toewijzing en artikels 5 en 6 van de </w:t>
            </w:r>
            <w:hyperlink r:id="rId15" w:history="1">
              <w:r w:rsidRPr="00350FFA">
                <w:rPr>
                  <w:rStyle w:val="Hyperlink"/>
                  <w:lang w:val="nl-BE"/>
                </w:rPr>
                <w:t>ALC verordening</w:t>
              </w:r>
            </w:hyperlink>
            <w:r w:rsidRPr="00350FFA">
              <w:rPr>
                <w:color w:val="1C1A15"/>
                <w:lang w:val="nl-BE"/>
              </w:rPr>
              <w:t>.</w:t>
            </w:r>
          </w:p>
          <w:p w14:paraId="4D0CD71F" w14:textId="5FB709F0" w:rsidR="00DA0C12" w:rsidRPr="00350FFA" w:rsidRDefault="00DA0C12" w:rsidP="00C33FB5">
            <w:pPr>
              <w:autoSpaceDE w:val="0"/>
              <w:autoSpaceDN w:val="0"/>
              <w:adjustRightInd w:val="0"/>
              <w:jc w:val="both"/>
              <w:rPr>
                <w:color w:val="1C1A15"/>
                <w:lang w:val="nl-BE"/>
              </w:rPr>
            </w:pPr>
          </w:p>
        </w:tc>
      </w:tr>
    </w:tbl>
    <w:p w14:paraId="03952D18" w14:textId="3509DFB2" w:rsidR="00DA0C12" w:rsidRDefault="00DA0C12" w:rsidP="00C33FB5">
      <w:pPr>
        <w:autoSpaceDE w:val="0"/>
        <w:autoSpaceDN w:val="0"/>
        <w:adjustRightInd w:val="0"/>
        <w:spacing w:after="0" w:line="240" w:lineRule="auto"/>
        <w:jc w:val="both"/>
        <w:rPr>
          <w:color w:val="1C1A15"/>
          <w:lang w:val="nl-BE"/>
        </w:rPr>
      </w:pPr>
    </w:p>
    <w:p w14:paraId="56D77AF7" w14:textId="77777777" w:rsidR="00DA0C12" w:rsidRDefault="00DA0C12" w:rsidP="00C33FB5">
      <w:pPr>
        <w:jc w:val="both"/>
        <w:rPr>
          <w:color w:val="1C1A15"/>
          <w:lang w:val="nl-BE"/>
        </w:rPr>
      </w:pPr>
      <w:r>
        <w:rPr>
          <w:color w:val="1C1A15"/>
          <w:lang w:val="nl-BE"/>
        </w:rPr>
        <w:br w:type="page"/>
      </w:r>
    </w:p>
    <w:p w14:paraId="17E00080" w14:textId="41F80991" w:rsidR="00F66574" w:rsidRPr="005A64DA" w:rsidRDefault="00102C31" w:rsidP="00C33FB5">
      <w:pPr>
        <w:pStyle w:val="Kop1"/>
        <w:numPr>
          <w:ilvl w:val="0"/>
          <w:numId w:val="32"/>
        </w:numPr>
        <w:jc w:val="both"/>
        <w:rPr>
          <w:rFonts w:asciiTheme="minorHAnsi" w:hAnsiTheme="minorHAnsi" w:cstheme="minorHAnsi"/>
          <w:b/>
          <w:bCs/>
          <w:color w:val="auto"/>
          <w:sz w:val="28"/>
          <w:szCs w:val="28"/>
        </w:rPr>
      </w:pPr>
      <w:r>
        <w:rPr>
          <w:rFonts w:asciiTheme="minorHAnsi" w:hAnsiTheme="minorHAnsi" w:cstheme="minorHAnsi"/>
          <w:b/>
          <w:bCs/>
          <w:color w:val="auto"/>
          <w:sz w:val="28"/>
          <w:szCs w:val="28"/>
          <w:lang w:val="nl-BE"/>
        </w:rPr>
        <w:lastRenderedPageBreak/>
        <w:t>Sjabloon</w:t>
      </w:r>
      <w:r w:rsidR="00350FFA">
        <w:rPr>
          <w:rFonts w:asciiTheme="minorHAnsi" w:hAnsiTheme="minorHAnsi" w:cstheme="minorHAnsi"/>
          <w:b/>
          <w:bCs/>
          <w:color w:val="auto"/>
          <w:sz w:val="28"/>
          <w:szCs w:val="28"/>
          <w:lang w:val="nl-BE"/>
        </w:rPr>
        <w:t xml:space="preserve"> en </w:t>
      </w:r>
      <w:r w:rsidR="00494C48">
        <w:rPr>
          <w:rFonts w:asciiTheme="minorHAnsi" w:hAnsiTheme="minorHAnsi" w:cstheme="minorHAnsi"/>
          <w:b/>
          <w:bCs/>
          <w:color w:val="auto"/>
          <w:sz w:val="28"/>
          <w:szCs w:val="28"/>
          <w:lang w:val="nl-BE"/>
        </w:rPr>
        <w:t>indiening</w:t>
      </w:r>
    </w:p>
    <w:p w14:paraId="2E3AEA2E" w14:textId="77777777" w:rsidR="00D272E0" w:rsidRDefault="00D272E0" w:rsidP="00C33FB5">
      <w:pPr>
        <w:autoSpaceDE w:val="0"/>
        <w:autoSpaceDN w:val="0"/>
        <w:adjustRightInd w:val="0"/>
        <w:spacing w:after="0" w:line="240" w:lineRule="auto"/>
        <w:jc w:val="both"/>
        <w:rPr>
          <w:color w:val="1C1A15"/>
          <w:lang w:val="nl-BE"/>
        </w:rPr>
      </w:pPr>
    </w:p>
    <w:p w14:paraId="04140460" w14:textId="1570E81B" w:rsidR="00507922" w:rsidRDefault="00507922" w:rsidP="00507922">
      <w:pPr>
        <w:autoSpaceDE w:val="0"/>
        <w:autoSpaceDN w:val="0"/>
        <w:adjustRightInd w:val="0"/>
        <w:spacing w:after="0" w:line="240" w:lineRule="auto"/>
        <w:jc w:val="both"/>
        <w:rPr>
          <w:color w:val="1C1A15"/>
          <w:lang w:val="nl-BE"/>
        </w:rPr>
      </w:pPr>
      <w:r>
        <w:rPr>
          <w:color w:val="1C1A15"/>
          <w:lang w:val="nl-BE"/>
        </w:rPr>
        <w:t>Het</w:t>
      </w:r>
      <w:r w:rsidR="00434266" w:rsidRPr="006101C6">
        <w:rPr>
          <w:color w:val="1C1A15"/>
          <w:lang w:val="nl-BE"/>
        </w:rPr>
        <w:t xml:space="preserve"> Europees sjabloon </w:t>
      </w:r>
      <w:r w:rsidR="00D43684" w:rsidRPr="006101C6">
        <w:rPr>
          <w:color w:val="1C1A15"/>
          <w:lang w:val="nl-BE"/>
        </w:rPr>
        <w:t>van toepassing</w:t>
      </w:r>
      <w:r w:rsidR="00CE1955" w:rsidRPr="006101C6">
        <w:rPr>
          <w:color w:val="1C1A15"/>
          <w:lang w:val="nl-BE"/>
        </w:rPr>
        <w:t xml:space="preserve"> in het Vlaams Gewest</w:t>
      </w:r>
      <w:r>
        <w:rPr>
          <w:color w:val="1C1A15"/>
          <w:lang w:val="nl-BE"/>
        </w:rPr>
        <w:t xml:space="preserve"> (Engelstalige en Nederlandstalige versies) kunnen gedownload worden op </w:t>
      </w:r>
      <w:hyperlink r:id="rId16" w:history="1">
        <w:r w:rsidRPr="00507922">
          <w:rPr>
            <w:rStyle w:val="Hyperlink"/>
            <w:lang w:val="nl-BE"/>
          </w:rPr>
          <w:t>onze website</w:t>
        </w:r>
      </w:hyperlink>
      <w:r>
        <w:rPr>
          <w:color w:val="1C1A15"/>
          <w:lang w:val="nl-BE"/>
        </w:rPr>
        <w:t>.</w:t>
      </w:r>
      <w:r w:rsidRPr="00507922">
        <w:t xml:space="preserve"> </w:t>
      </w:r>
      <w:r w:rsidRPr="00507922">
        <w:rPr>
          <w:color w:val="1C1A15"/>
          <w:lang w:val="nl-BE"/>
        </w:rPr>
        <w:t xml:space="preserve">Exploitanten mogen zowel een Engelstalige als een Nederlandstalige versie indienen. Om na te gaan met welke versie van het sjabloon u werkt, kan u kijken naar de datum van publicatie, op rij 57 in tabblad a_Contents. De laatste versie werd gepubliceerd op </w:t>
      </w:r>
      <w:r w:rsidR="00DC5432">
        <w:rPr>
          <w:color w:val="1C1A15"/>
          <w:lang w:val="nl-BE"/>
        </w:rPr>
        <w:t>3</w:t>
      </w:r>
      <w:r w:rsidRPr="00507922">
        <w:rPr>
          <w:color w:val="1C1A15"/>
          <w:lang w:val="nl-BE"/>
        </w:rPr>
        <w:t>/0</w:t>
      </w:r>
      <w:r w:rsidR="00DC5432">
        <w:rPr>
          <w:color w:val="1C1A15"/>
          <w:lang w:val="nl-BE"/>
        </w:rPr>
        <w:t>5</w:t>
      </w:r>
      <w:r w:rsidRPr="00507922">
        <w:rPr>
          <w:color w:val="1C1A15"/>
          <w:lang w:val="nl-BE"/>
        </w:rPr>
        <w:t>/2021.</w:t>
      </w:r>
    </w:p>
    <w:p w14:paraId="62A42AF9" w14:textId="77777777" w:rsidR="00507922" w:rsidRDefault="00507922" w:rsidP="00507922">
      <w:pPr>
        <w:autoSpaceDE w:val="0"/>
        <w:autoSpaceDN w:val="0"/>
        <w:adjustRightInd w:val="0"/>
        <w:spacing w:after="0" w:line="240" w:lineRule="auto"/>
        <w:jc w:val="both"/>
        <w:rPr>
          <w:color w:val="1C1A15"/>
          <w:lang w:val="nl-BE"/>
        </w:rPr>
      </w:pPr>
    </w:p>
    <w:p w14:paraId="70E6123A" w14:textId="452BF920" w:rsidR="0072082C" w:rsidRDefault="0072082C" w:rsidP="00507922">
      <w:pPr>
        <w:autoSpaceDE w:val="0"/>
        <w:autoSpaceDN w:val="0"/>
        <w:adjustRightInd w:val="0"/>
        <w:spacing w:after="0" w:line="240" w:lineRule="auto"/>
        <w:jc w:val="both"/>
        <w:rPr>
          <w:color w:val="1C1A15"/>
          <w:lang w:val="nl-BE"/>
        </w:rPr>
      </w:pPr>
      <w:r w:rsidRPr="0072082C">
        <w:rPr>
          <w:color w:val="1C1A15"/>
          <w:lang w:val="nl-BE"/>
        </w:rPr>
        <w:t xml:space="preserve">De verificatie van </w:t>
      </w:r>
      <w:r>
        <w:rPr>
          <w:color w:val="1C1A15"/>
          <w:lang w:val="nl-BE"/>
        </w:rPr>
        <w:t xml:space="preserve">het </w:t>
      </w:r>
      <w:r w:rsidRPr="0072082C">
        <w:rPr>
          <w:color w:val="1C1A15"/>
          <w:lang w:val="nl-BE"/>
        </w:rPr>
        <w:t xml:space="preserve">rapport over </w:t>
      </w:r>
      <w:r>
        <w:rPr>
          <w:color w:val="1C1A15"/>
          <w:lang w:val="nl-BE"/>
        </w:rPr>
        <w:t>de</w:t>
      </w:r>
      <w:r w:rsidRPr="0072082C">
        <w:rPr>
          <w:color w:val="1C1A15"/>
          <w:lang w:val="nl-BE"/>
        </w:rPr>
        <w:t xml:space="preserve"> activiteitsniveau</w:t>
      </w:r>
      <w:r>
        <w:rPr>
          <w:color w:val="1C1A15"/>
          <w:lang w:val="nl-BE"/>
        </w:rPr>
        <w:t>s</w:t>
      </w:r>
      <w:r w:rsidRPr="0072082C">
        <w:rPr>
          <w:color w:val="1C1A15"/>
          <w:lang w:val="nl-BE"/>
        </w:rPr>
        <w:t xml:space="preserve"> moet gebeuren door een onafhankelijke verificatie-instelling</w:t>
      </w:r>
      <w:r w:rsidR="00A777D9">
        <w:rPr>
          <w:color w:val="1C1A15"/>
          <w:lang w:val="nl-BE"/>
        </w:rPr>
        <w:t xml:space="preserve"> </w:t>
      </w:r>
      <w:r w:rsidRPr="0072082C">
        <w:rPr>
          <w:color w:val="1C1A15"/>
          <w:lang w:val="nl-BE"/>
        </w:rPr>
        <w:t xml:space="preserve">die is geaccrediteerd conform de Europese Accreditatie- en Verificatieverordening, en specifiek voor de activiteit die de BKG-installatie in kwestie uitvoert (bv. </w:t>
      </w:r>
      <w:r>
        <w:rPr>
          <w:color w:val="1C1A15"/>
          <w:lang w:val="nl-BE"/>
        </w:rPr>
        <w:t>“</w:t>
      </w:r>
      <w:r w:rsidRPr="0072082C">
        <w:rPr>
          <w:color w:val="1C1A15"/>
          <w:lang w:val="nl-BE"/>
        </w:rPr>
        <w:t>verbranding van brandstoffen</w:t>
      </w:r>
      <w:r>
        <w:rPr>
          <w:color w:val="1C1A15"/>
          <w:lang w:val="nl-BE"/>
        </w:rPr>
        <w:t>”</w:t>
      </w:r>
      <w:r w:rsidRPr="0072082C">
        <w:rPr>
          <w:color w:val="1C1A15"/>
          <w:lang w:val="nl-BE"/>
        </w:rPr>
        <w:t xml:space="preserve"> of </w:t>
      </w:r>
      <w:r>
        <w:rPr>
          <w:color w:val="1C1A15"/>
          <w:lang w:val="nl-BE"/>
        </w:rPr>
        <w:t>“</w:t>
      </w:r>
      <w:r w:rsidRPr="0072082C">
        <w:rPr>
          <w:color w:val="1C1A15"/>
          <w:lang w:val="nl-BE"/>
        </w:rPr>
        <w:t>productie van staal</w:t>
      </w:r>
      <w:r>
        <w:rPr>
          <w:color w:val="1C1A15"/>
          <w:lang w:val="nl-BE"/>
        </w:rPr>
        <w:t>”</w:t>
      </w:r>
      <w:r w:rsidRPr="0072082C">
        <w:rPr>
          <w:color w:val="1C1A15"/>
          <w:lang w:val="nl-BE"/>
        </w:rPr>
        <w:t xml:space="preserve">). Bovendien moet de verificatie-instelling geaccrediteerd zijn voor de zogenaamde </w:t>
      </w:r>
      <w:r>
        <w:rPr>
          <w:color w:val="1C1A15"/>
          <w:lang w:val="nl-BE"/>
        </w:rPr>
        <w:t>“</w:t>
      </w:r>
      <w:r w:rsidRPr="0072082C">
        <w:rPr>
          <w:color w:val="1C1A15"/>
          <w:lang w:val="nl-BE"/>
        </w:rPr>
        <w:t>scope 98</w:t>
      </w:r>
      <w:r>
        <w:rPr>
          <w:color w:val="1C1A15"/>
          <w:lang w:val="nl-BE"/>
        </w:rPr>
        <w:t>”</w:t>
      </w:r>
      <w:r w:rsidRPr="0072082C">
        <w:rPr>
          <w:color w:val="1C1A15"/>
          <w:lang w:val="nl-BE"/>
        </w:rPr>
        <w:t>, wat aantoont dat de instelling vertrouwd is met de Europese toewijzingsregels en in staat is om de gerapporteerde data in het kader van deze toewijzingsregels te verifiëren.</w:t>
      </w:r>
      <w:r w:rsidR="00631B08">
        <w:rPr>
          <w:color w:val="1C1A15"/>
          <w:lang w:val="nl-BE"/>
        </w:rPr>
        <w:t xml:space="preserve"> </w:t>
      </w:r>
      <w:hyperlink r:id="rId17" w:history="1">
        <w:r w:rsidR="00631B08" w:rsidRPr="00631B08">
          <w:rPr>
            <w:rStyle w:val="Hyperlink"/>
            <w:lang w:val="nl-BE"/>
          </w:rPr>
          <w:t>Guidance docume</w:t>
        </w:r>
        <w:r w:rsidR="00631B08">
          <w:rPr>
            <w:rStyle w:val="Hyperlink"/>
            <w:lang w:val="nl-BE"/>
          </w:rPr>
          <w:t>n</w:t>
        </w:r>
        <w:r w:rsidR="00631B08" w:rsidRPr="00631B08">
          <w:rPr>
            <w:rStyle w:val="Hyperlink"/>
            <w:lang w:val="nl-BE"/>
          </w:rPr>
          <w:t>t 4</w:t>
        </w:r>
      </w:hyperlink>
      <w:r w:rsidR="00631B08">
        <w:rPr>
          <w:color w:val="1C1A15"/>
          <w:lang w:val="nl-BE"/>
        </w:rPr>
        <w:t xml:space="preserve"> van de Europese Commissie bevat meer informatie over de verificatie van het rapport over de activiteitsniveaus.</w:t>
      </w:r>
    </w:p>
    <w:p w14:paraId="7B929145" w14:textId="40DBEBFE" w:rsidR="0072082C" w:rsidRDefault="0072082C" w:rsidP="00507922">
      <w:pPr>
        <w:autoSpaceDE w:val="0"/>
        <w:autoSpaceDN w:val="0"/>
        <w:adjustRightInd w:val="0"/>
        <w:spacing w:after="0" w:line="240" w:lineRule="auto"/>
        <w:jc w:val="both"/>
        <w:rPr>
          <w:color w:val="1C1A15"/>
          <w:lang w:val="nl-BE"/>
        </w:rPr>
      </w:pPr>
    </w:p>
    <w:p w14:paraId="4FF946B7" w14:textId="005F2125" w:rsidR="0072082C" w:rsidRDefault="0072082C" w:rsidP="00507922">
      <w:pPr>
        <w:autoSpaceDE w:val="0"/>
        <w:autoSpaceDN w:val="0"/>
        <w:adjustRightInd w:val="0"/>
        <w:spacing w:after="0" w:line="240" w:lineRule="auto"/>
        <w:jc w:val="both"/>
        <w:rPr>
          <w:color w:val="1C1A15"/>
          <w:lang w:val="nl-BE"/>
        </w:rPr>
      </w:pPr>
      <w:r>
        <w:rPr>
          <w:color w:val="1C1A15"/>
          <w:lang w:val="nl-BE"/>
        </w:rPr>
        <w:t>Het sjabloon voor het verificatierapport (momenteel enkel een Engelstalige versie beschikbaar) is te downloaden op dezelfde websitepagina.</w:t>
      </w:r>
    </w:p>
    <w:p w14:paraId="707BA962" w14:textId="77777777" w:rsidR="00507922" w:rsidRDefault="00507922" w:rsidP="00C33FB5">
      <w:pPr>
        <w:autoSpaceDE w:val="0"/>
        <w:autoSpaceDN w:val="0"/>
        <w:adjustRightInd w:val="0"/>
        <w:spacing w:after="0" w:line="240" w:lineRule="auto"/>
        <w:jc w:val="both"/>
        <w:rPr>
          <w:color w:val="1C1A15"/>
          <w:lang w:val="nl-BE"/>
        </w:rPr>
      </w:pPr>
    </w:p>
    <w:p w14:paraId="373D75FD" w14:textId="561DAFD0" w:rsidR="00494C48" w:rsidRDefault="00494C48" w:rsidP="00C33FB5">
      <w:pPr>
        <w:autoSpaceDE w:val="0"/>
        <w:autoSpaceDN w:val="0"/>
        <w:adjustRightInd w:val="0"/>
        <w:spacing w:after="0" w:line="240" w:lineRule="auto"/>
        <w:jc w:val="both"/>
        <w:rPr>
          <w:b/>
          <w:bCs/>
          <w:lang w:val="nl-BE"/>
        </w:rPr>
      </w:pPr>
      <w:r>
        <w:rPr>
          <w:b/>
          <w:bCs/>
          <w:lang w:val="nl-BE"/>
        </w:rPr>
        <w:t>11 juni 2021 is d</w:t>
      </w:r>
      <w:r w:rsidR="004E57ED" w:rsidRPr="000B08F2">
        <w:rPr>
          <w:b/>
          <w:bCs/>
          <w:lang w:val="nl-BE"/>
        </w:rPr>
        <w:t xml:space="preserve">e deadline voor indiening van </w:t>
      </w:r>
      <w:r>
        <w:rPr>
          <w:b/>
          <w:bCs/>
          <w:lang w:val="nl-BE"/>
        </w:rPr>
        <w:t>het eerste geverifieerde rapport over de activiteitsniveaus</w:t>
      </w:r>
      <w:r w:rsidR="004E57ED" w:rsidRPr="000B08F2">
        <w:rPr>
          <w:b/>
          <w:bCs/>
          <w:lang w:val="nl-BE"/>
        </w:rPr>
        <w:t xml:space="preserve"> </w:t>
      </w:r>
      <w:r w:rsidR="00B81485" w:rsidRPr="000B08F2">
        <w:rPr>
          <w:b/>
          <w:bCs/>
          <w:lang w:val="nl-BE"/>
        </w:rPr>
        <w:t>(in Excel-formaat)</w:t>
      </w:r>
      <w:r>
        <w:rPr>
          <w:b/>
          <w:bCs/>
          <w:lang w:val="nl-BE"/>
        </w:rPr>
        <w:t>, over de jaren 2019 en 2020. In de volgende jaren (2022- …) ligt de deadline op 14 maart.</w:t>
      </w:r>
    </w:p>
    <w:p w14:paraId="3CD31C87" w14:textId="77777777" w:rsidR="00FA1F9B" w:rsidRDefault="00FA1F9B" w:rsidP="00C33FB5">
      <w:pPr>
        <w:autoSpaceDE w:val="0"/>
        <w:autoSpaceDN w:val="0"/>
        <w:adjustRightInd w:val="0"/>
        <w:spacing w:after="0" w:line="240" w:lineRule="auto"/>
        <w:jc w:val="both"/>
        <w:rPr>
          <w:lang w:val="nl-BE"/>
        </w:rPr>
      </w:pPr>
    </w:p>
    <w:p w14:paraId="0C4A694D" w14:textId="69D8818A" w:rsidR="00F84A15" w:rsidRDefault="00B81485" w:rsidP="00C33FB5">
      <w:pPr>
        <w:autoSpaceDE w:val="0"/>
        <w:autoSpaceDN w:val="0"/>
        <w:adjustRightInd w:val="0"/>
        <w:spacing w:after="0" w:line="240" w:lineRule="auto"/>
        <w:jc w:val="both"/>
        <w:rPr>
          <w:color w:val="1C1A15"/>
          <w:lang w:val="nl-BE"/>
        </w:rPr>
      </w:pPr>
      <w:bookmarkStart w:id="0" w:name="_Hlk59112980"/>
      <w:r w:rsidRPr="00DD0377">
        <w:rPr>
          <w:lang w:val="nl-BE"/>
        </w:rPr>
        <w:t xml:space="preserve">Indiening gebeurt via </w:t>
      </w:r>
      <w:r w:rsidR="00494C48">
        <w:rPr>
          <w:lang w:val="nl-BE"/>
        </w:rPr>
        <w:t xml:space="preserve">het </w:t>
      </w:r>
      <w:r w:rsidR="00494C48" w:rsidRPr="00494C48">
        <w:rPr>
          <w:lang w:val="nl-BE"/>
        </w:rPr>
        <w:t>e-loket rapport over de activiteitsniveaus</w:t>
      </w:r>
      <w:r w:rsidR="00494C48">
        <w:rPr>
          <w:lang w:val="nl-BE"/>
        </w:rPr>
        <w:t>:</w:t>
      </w:r>
      <w:r w:rsidR="00E146EB">
        <w:rPr>
          <w:lang w:val="nl-BE"/>
        </w:rPr>
        <w:t xml:space="preserve"> </w:t>
      </w:r>
      <w:hyperlink r:id="rId18" w:history="1">
        <w:r w:rsidR="00E146EB" w:rsidRPr="00C863C4">
          <w:rPr>
            <w:rStyle w:val="Hyperlink"/>
            <w:lang w:val="nl-BE"/>
          </w:rPr>
          <w:t>https://www.milieuinfo.be/servicedesk/servicedesk/customer/portal/46</w:t>
        </w:r>
      </w:hyperlink>
      <w:r w:rsidR="00E146EB">
        <w:rPr>
          <w:lang w:val="nl-BE"/>
        </w:rPr>
        <w:t xml:space="preserve"> (klikken op “Stuur rapport door”).</w:t>
      </w:r>
      <w:bookmarkEnd w:id="0"/>
      <w:r w:rsidR="00230272">
        <w:rPr>
          <w:color w:val="1C1A15"/>
          <w:lang w:val="nl-BE"/>
        </w:rPr>
        <w:t xml:space="preserve"> </w:t>
      </w:r>
      <w:r w:rsidR="00494C48" w:rsidRPr="00494C48">
        <w:rPr>
          <w:color w:val="1C1A15"/>
          <w:lang w:val="nl-BE"/>
        </w:rPr>
        <w:t>De toegangsrechten voor dit e-loket worden beheerd via het Gebruikersbeheer van de Vlaamse overheid</w:t>
      </w:r>
      <w:r w:rsidR="00F55069">
        <w:rPr>
          <w:color w:val="1C1A15"/>
          <w:lang w:val="nl-BE"/>
        </w:rPr>
        <w:t>, net zoals de toegang voor het emissiejaarrapport e-loket</w:t>
      </w:r>
      <w:r w:rsidR="00494C48" w:rsidRPr="00494C48">
        <w:rPr>
          <w:color w:val="1C1A15"/>
          <w:lang w:val="nl-BE"/>
        </w:rPr>
        <w:t>.</w:t>
      </w:r>
      <w:r w:rsidR="00E146EB">
        <w:rPr>
          <w:color w:val="1C1A15"/>
          <w:lang w:val="nl-BE"/>
        </w:rPr>
        <w:t xml:space="preserve"> </w:t>
      </w:r>
      <w:r w:rsidR="00494C48" w:rsidRPr="00494C48">
        <w:rPr>
          <w:color w:val="1C1A15"/>
          <w:lang w:val="nl-BE"/>
        </w:rPr>
        <w:t xml:space="preserve">Deze rechten moeten toegekend worden door de hoofdtoegangsbeheerder van uw onderneming. </w:t>
      </w:r>
      <w:r w:rsidR="00494C48" w:rsidRPr="00E146EB">
        <w:rPr>
          <w:b/>
          <w:bCs/>
          <w:color w:val="1C1A15"/>
          <w:lang w:val="nl-BE"/>
        </w:rPr>
        <w:t>Voor dit e-loket kunnen enkel ETS gebruikers die de rol “Indiener” zijn toegekend</w:t>
      </w:r>
      <w:r w:rsidR="006101C6">
        <w:rPr>
          <w:b/>
          <w:bCs/>
          <w:color w:val="1C1A15"/>
          <w:lang w:val="nl-BE"/>
        </w:rPr>
        <w:t>,</w:t>
      </w:r>
      <w:r w:rsidR="00494C48" w:rsidRPr="00E146EB">
        <w:rPr>
          <w:b/>
          <w:bCs/>
          <w:color w:val="1C1A15"/>
          <w:lang w:val="nl-BE"/>
        </w:rPr>
        <w:t xml:space="preserve"> inloggen.</w:t>
      </w:r>
      <w:r w:rsidR="00494C48" w:rsidRPr="00494C48">
        <w:rPr>
          <w:color w:val="1C1A15"/>
          <w:lang w:val="nl-BE"/>
        </w:rPr>
        <w:t xml:space="preserve"> ETS gebruikers met de rol “Invuller” of “Verificateur” hebben geen toegang.</w:t>
      </w:r>
      <w:r w:rsidR="00494C48">
        <w:rPr>
          <w:color w:val="1C1A15"/>
          <w:lang w:val="nl-BE"/>
        </w:rPr>
        <w:t xml:space="preserve"> </w:t>
      </w:r>
      <w:r w:rsidR="00F84A15">
        <w:rPr>
          <w:color w:val="1C1A15"/>
          <w:lang w:val="nl-BE"/>
        </w:rPr>
        <w:t xml:space="preserve">Hoe deze rollen kunnen toegekend of gewijzigd worden, wordt beschreven in </w:t>
      </w:r>
      <w:hyperlink r:id="rId19" w:history="1">
        <w:r w:rsidR="00F84A15" w:rsidRPr="00F84A15">
          <w:rPr>
            <w:rStyle w:val="Hyperlink"/>
            <w:lang w:val="nl-BE"/>
          </w:rPr>
          <w:t>deze handleiding</w:t>
        </w:r>
      </w:hyperlink>
      <w:r w:rsidR="00F84A15">
        <w:rPr>
          <w:color w:val="1C1A15"/>
          <w:lang w:val="nl-BE"/>
        </w:rPr>
        <w:t xml:space="preserve">. </w:t>
      </w:r>
    </w:p>
    <w:p w14:paraId="7778D821" w14:textId="77777777" w:rsidR="00F84A15" w:rsidRDefault="00F84A15" w:rsidP="00C33FB5">
      <w:pPr>
        <w:autoSpaceDE w:val="0"/>
        <w:autoSpaceDN w:val="0"/>
        <w:adjustRightInd w:val="0"/>
        <w:spacing w:after="0" w:line="240" w:lineRule="auto"/>
        <w:jc w:val="both"/>
        <w:rPr>
          <w:color w:val="1C1A15"/>
          <w:lang w:val="nl-BE"/>
        </w:rPr>
      </w:pPr>
    </w:p>
    <w:p w14:paraId="09F31EE5" w14:textId="3CE846DF" w:rsidR="00FB571D" w:rsidRPr="00F34829" w:rsidRDefault="00230272" w:rsidP="00C33FB5">
      <w:pPr>
        <w:autoSpaceDE w:val="0"/>
        <w:autoSpaceDN w:val="0"/>
        <w:adjustRightInd w:val="0"/>
        <w:spacing w:after="0" w:line="240" w:lineRule="auto"/>
        <w:jc w:val="both"/>
        <w:rPr>
          <w:color w:val="FF0000"/>
          <w:lang w:val="nl-BE"/>
        </w:rPr>
      </w:pPr>
      <w:r>
        <w:rPr>
          <w:color w:val="1C1A15"/>
          <w:lang w:val="nl-BE"/>
        </w:rPr>
        <w:t xml:space="preserve">De indiening gebeurt louter digitaal en het ingediende </w:t>
      </w:r>
      <w:r w:rsidR="00494C48">
        <w:rPr>
          <w:color w:val="1C1A15"/>
          <w:lang w:val="nl-BE"/>
        </w:rPr>
        <w:t>rapport</w:t>
      </w:r>
      <w:r>
        <w:rPr>
          <w:color w:val="1C1A15"/>
          <w:lang w:val="nl-BE"/>
        </w:rPr>
        <w:t xml:space="preserve"> moet niet ondertekend zijn.</w:t>
      </w:r>
      <w:r w:rsidR="00F34829">
        <w:rPr>
          <w:color w:val="FF0000"/>
          <w:lang w:val="nl-BE"/>
        </w:rPr>
        <w:t xml:space="preserve"> </w:t>
      </w:r>
      <w:r w:rsidR="00F66574" w:rsidRPr="69FC4E74">
        <w:rPr>
          <w:color w:val="1C1A15"/>
          <w:lang w:val="nl-BE"/>
        </w:rPr>
        <w:t>Bij het indienen</w:t>
      </w:r>
      <w:r w:rsidR="00A7571A" w:rsidRPr="69FC4E74">
        <w:rPr>
          <w:color w:val="1C1A15"/>
          <w:lang w:val="nl-BE"/>
        </w:rPr>
        <w:t xml:space="preserve"> wordt de bestandsnaam </w:t>
      </w:r>
      <w:r w:rsidR="00A7571A" w:rsidRPr="69FC4E74">
        <w:rPr>
          <w:color w:val="5B9AD5"/>
          <w:lang w:val="nl-BE"/>
        </w:rPr>
        <w:t>VER-</w:t>
      </w:r>
      <w:r w:rsidR="00494C48">
        <w:rPr>
          <w:color w:val="5B9AD5"/>
          <w:lang w:val="nl-BE"/>
        </w:rPr>
        <w:t>ALC202Y</w:t>
      </w:r>
      <w:r w:rsidR="00A7571A" w:rsidRPr="69FC4E74">
        <w:rPr>
          <w:color w:val="5B9AD5"/>
          <w:lang w:val="nl-BE"/>
        </w:rPr>
        <w:t xml:space="preserve"> </w:t>
      </w:r>
      <w:r w:rsidR="00A7571A" w:rsidRPr="69FC4E74">
        <w:rPr>
          <w:color w:val="1C1A15"/>
          <w:lang w:val="nl-BE"/>
        </w:rPr>
        <w:t xml:space="preserve">gebruikt, waarbij </w:t>
      </w:r>
      <w:r w:rsidR="2D9233D1" w:rsidRPr="00220118">
        <w:rPr>
          <w:color w:val="1C1A15"/>
          <w:lang w:val="nl-BE"/>
        </w:rPr>
        <w:t>“</w:t>
      </w:r>
      <w:r w:rsidR="00A7571A" w:rsidRPr="00220118">
        <w:rPr>
          <w:color w:val="1C1A15"/>
          <w:lang w:val="nl-BE"/>
        </w:rPr>
        <w:t>VER</w:t>
      </w:r>
      <w:r w:rsidR="2D9233D1" w:rsidRPr="00220118">
        <w:rPr>
          <w:color w:val="1C1A15"/>
          <w:lang w:val="nl-BE"/>
        </w:rPr>
        <w:t>”</w:t>
      </w:r>
      <w:r w:rsidR="00A7571A" w:rsidRPr="69FC4E74">
        <w:rPr>
          <w:color w:val="1C1A15"/>
          <w:lang w:val="nl-BE"/>
        </w:rPr>
        <w:t xml:space="preserve"> staat voor de VER-code van de betreffende installatie</w:t>
      </w:r>
      <w:r w:rsidR="6ED7E527" w:rsidRPr="69FC4E74">
        <w:rPr>
          <w:color w:val="1C1A15"/>
          <w:lang w:val="nl-BE"/>
        </w:rPr>
        <w:t xml:space="preserve"> (bv. 102 of E03)</w:t>
      </w:r>
      <w:r w:rsidR="690AEA5D" w:rsidRPr="69FC4E74">
        <w:rPr>
          <w:color w:val="1C1A15"/>
          <w:lang w:val="nl-BE"/>
        </w:rPr>
        <w:t xml:space="preserve"> en </w:t>
      </w:r>
      <w:r w:rsidR="00494C48">
        <w:rPr>
          <w:color w:val="1C1A15"/>
          <w:lang w:val="nl-BE"/>
        </w:rPr>
        <w:t>Y het rapporteringsjaar</w:t>
      </w:r>
      <w:r w:rsidR="00A7571A" w:rsidRPr="69FC4E74">
        <w:rPr>
          <w:color w:val="1C1A15"/>
          <w:lang w:val="nl-BE"/>
        </w:rPr>
        <w:t>.</w:t>
      </w:r>
    </w:p>
    <w:p w14:paraId="3252E24F" w14:textId="654A69E9" w:rsidR="00DE7C86" w:rsidRDefault="00DE7C86" w:rsidP="00C33FB5">
      <w:pPr>
        <w:autoSpaceDE w:val="0"/>
        <w:autoSpaceDN w:val="0"/>
        <w:adjustRightInd w:val="0"/>
        <w:spacing w:after="0" w:line="240" w:lineRule="auto"/>
        <w:jc w:val="both"/>
        <w:rPr>
          <w:color w:val="1C1A15"/>
          <w:lang w:val="nl-BE"/>
        </w:rPr>
      </w:pPr>
    </w:p>
    <w:p w14:paraId="469E8BBE" w14:textId="0E5062E3" w:rsidR="0067176B" w:rsidRDefault="0067176B">
      <w:pPr>
        <w:rPr>
          <w:color w:val="1C1A15"/>
          <w:lang w:val="nl-BE"/>
        </w:rPr>
      </w:pPr>
      <w:r>
        <w:rPr>
          <w:color w:val="1C1A15"/>
          <w:lang w:val="nl-BE"/>
        </w:rPr>
        <w:br w:type="page"/>
      </w:r>
    </w:p>
    <w:p w14:paraId="3073EA48" w14:textId="5941E8CA" w:rsidR="0CE4A66A" w:rsidRPr="005A64DA" w:rsidRDefault="0CE4A66A" w:rsidP="00C33FB5">
      <w:pPr>
        <w:pStyle w:val="Kop1"/>
        <w:numPr>
          <w:ilvl w:val="0"/>
          <w:numId w:val="32"/>
        </w:numPr>
        <w:jc w:val="both"/>
        <w:rPr>
          <w:rFonts w:asciiTheme="minorHAnsi" w:hAnsiTheme="minorHAnsi" w:cstheme="minorBidi"/>
          <w:b/>
          <w:bCs/>
          <w:color w:val="auto"/>
          <w:sz w:val="28"/>
          <w:szCs w:val="28"/>
          <w:lang w:val="nl-BE"/>
        </w:rPr>
      </w:pPr>
      <w:r w:rsidRPr="23E2087A">
        <w:rPr>
          <w:rFonts w:asciiTheme="minorHAnsi" w:hAnsiTheme="minorHAnsi" w:cstheme="minorBidi"/>
          <w:b/>
          <w:bCs/>
          <w:color w:val="auto"/>
          <w:sz w:val="28"/>
          <w:szCs w:val="28"/>
          <w:lang w:val="nl-BE"/>
        </w:rPr>
        <w:lastRenderedPageBreak/>
        <w:t>Aan</w:t>
      </w:r>
      <w:r w:rsidR="516BEFDD" w:rsidRPr="23E2087A">
        <w:rPr>
          <w:rFonts w:asciiTheme="minorHAnsi" w:hAnsiTheme="minorHAnsi" w:cstheme="minorBidi"/>
          <w:b/>
          <w:bCs/>
          <w:color w:val="auto"/>
          <w:sz w:val="28"/>
          <w:szCs w:val="28"/>
          <w:lang w:val="nl-BE"/>
        </w:rPr>
        <w:t>d</w:t>
      </w:r>
      <w:r w:rsidRPr="23E2087A">
        <w:rPr>
          <w:rFonts w:asciiTheme="minorHAnsi" w:hAnsiTheme="minorHAnsi" w:cstheme="minorBidi"/>
          <w:b/>
          <w:bCs/>
          <w:color w:val="auto"/>
          <w:sz w:val="28"/>
          <w:szCs w:val="28"/>
          <w:lang w:val="nl-BE"/>
        </w:rPr>
        <w:t xml:space="preserve">achtspunten </w:t>
      </w:r>
      <w:r w:rsidR="004C204B" w:rsidRPr="23E2087A">
        <w:rPr>
          <w:rFonts w:asciiTheme="minorHAnsi" w:hAnsiTheme="minorHAnsi" w:cstheme="minorBidi"/>
          <w:b/>
          <w:bCs/>
          <w:color w:val="auto"/>
          <w:sz w:val="28"/>
          <w:szCs w:val="28"/>
          <w:lang w:val="nl-BE"/>
        </w:rPr>
        <w:t xml:space="preserve">en hulp </w:t>
      </w:r>
      <w:r w:rsidRPr="23E2087A">
        <w:rPr>
          <w:rFonts w:asciiTheme="minorHAnsi" w:hAnsiTheme="minorHAnsi" w:cstheme="minorBidi"/>
          <w:b/>
          <w:bCs/>
          <w:color w:val="auto"/>
          <w:sz w:val="28"/>
          <w:szCs w:val="28"/>
          <w:lang w:val="nl-BE"/>
        </w:rPr>
        <w:t xml:space="preserve">bij het invullen van het </w:t>
      </w:r>
      <w:r w:rsidR="00494C48">
        <w:rPr>
          <w:rFonts w:asciiTheme="minorHAnsi" w:hAnsiTheme="minorHAnsi" w:cstheme="minorBidi"/>
          <w:b/>
          <w:bCs/>
          <w:color w:val="auto"/>
          <w:sz w:val="28"/>
          <w:szCs w:val="28"/>
          <w:lang w:val="nl-BE"/>
        </w:rPr>
        <w:t>sjabloon</w:t>
      </w:r>
    </w:p>
    <w:p w14:paraId="17F77CFF" w14:textId="77777777" w:rsidR="0037345B" w:rsidRPr="001C57A8" w:rsidRDefault="0037345B" w:rsidP="00C33FB5">
      <w:pPr>
        <w:spacing w:after="0" w:line="240" w:lineRule="auto"/>
        <w:jc w:val="both"/>
        <w:rPr>
          <w:i/>
          <w:iCs/>
          <w:color w:val="1C1A15"/>
          <w:lang w:val="nl-BE"/>
        </w:rPr>
      </w:pPr>
    </w:p>
    <w:p w14:paraId="736A3C5F" w14:textId="3F853E24" w:rsidR="003F4D9D" w:rsidRPr="00ED524E" w:rsidRDefault="2E1DE1F1" w:rsidP="00C33FB5">
      <w:pPr>
        <w:pStyle w:val="Kop2"/>
        <w:numPr>
          <w:ilvl w:val="1"/>
          <w:numId w:val="32"/>
        </w:numPr>
        <w:jc w:val="both"/>
        <w:rPr>
          <w:rFonts w:asciiTheme="minorHAnsi" w:hAnsiTheme="minorHAnsi" w:cstheme="minorBidi"/>
          <w:sz w:val="24"/>
          <w:szCs w:val="24"/>
          <w:lang w:val="nl-BE"/>
        </w:rPr>
      </w:pPr>
      <w:r w:rsidRPr="23E2087A">
        <w:rPr>
          <w:rFonts w:asciiTheme="minorHAnsi" w:hAnsiTheme="minorHAnsi" w:cstheme="minorBidi"/>
          <w:sz w:val="24"/>
          <w:szCs w:val="24"/>
          <w:lang w:val="nl-BE"/>
        </w:rPr>
        <w:t>V</w:t>
      </w:r>
      <w:r w:rsidR="003A6EBB">
        <w:rPr>
          <w:rFonts w:asciiTheme="minorHAnsi" w:hAnsiTheme="minorHAnsi" w:cstheme="minorBidi"/>
          <w:sz w:val="24"/>
          <w:szCs w:val="24"/>
          <w:lang w:val="nl-BE"/>
        </w:rPr>
        <w:t>ooraleer u van start gaat</w:t>
      </w:r>
      <w:r w:rsidR="00F55069">
        <w:rPr>
          <w:rFonts w:asciiTheme="minorHAnsi" w:hAnsiTheme="minorHAnsi" w:cstheme="minorBidi"/>
          <w:sz w:val="24"/>
          <w:szCs w:val="24"/>
          <w:lang w:val="nl-BE"/>
        </w:rPr>
        <w:t xml:space="preserve"> (o.a. verplichte link tussen baselinerapport </w:t>
      </w:r>
      <w:r w:rsidR="00715977">
        <w:rPr>
          <w:rFonts w:asciiTheme="minorHAnsi" w:hAnsiTheme="minorHAnsi" w:cstheme="minorBidi"/>
          <w:sz w:val="24"/>
          <w:szCs w:val="24"/>
          <w:lang w:val="nl-BE"/>
        </w:rPr>
        <w:t xml:space="preserve">(BDR) </w:t>
      </w:r>
      <w:r w:rsidR="00F55069">
        <w:rPr>
          <w:rFonts w:asciiTheme="minorHAnsi" w:hAnsiTheme="minorHAnsi" w:cstheme="minorBidi"/>
          <w:sz w:val="24"/>
          <w:szCs w:val="24"/>
          <w:lang w:val="nl-BE"/>
        </w:rPr>
        <w:t>en rapport over de activiteitsniveaus)</w:t>
      </w:r>
    </w:p>
    <w:p w14:paraId="6C82A2D1" w14:textId="22E87E27" w:rsidR="001A754F" w:rsidRDefault="001A754F" w:rsidP="00C33FB5">
      <w:pPr>
        <w:jc w:val="both"/>
        <w:rPr>
          <w:lang w:val="nl-BE"/>
        </w:rPr>
      </w:pPr>
      <w:r>
        <w:rPr>
          <w:lang w:val="nl-BE"/>
        </w:rPr>
        <w:t>Open het sjabloon</w:t>
      </w:r>
      <w:r w:rsidR="00631B08">
        <w:rPr>
          <w:lang w:val="nl-BE"/>
        </w:rPr>
        <w:t>.</w:t>
      </w:r>
      <w:r w:rsidR="00FF4D8B" w:rsidRPr="005C2732">
        <w:rPr>
          <w:color w:val="FF0000"/>
          <w:lang w:val="nl-BE"/>
        </w:rPr>
        <w:t xml:space="preserve"> </w:t>
      </w:r>
      <w:r w:rsidR="00FF4D8B">
        <w:rPr>
          <w:lang w:val="nl-BE"/>
        </w:rPr>
        <w:t xml:space="preserve">Indien </w:t>
      </w:r>
      <w:r w:rsidR="00ED524E">
        <w:rPr>
          <w:lang w:val="nl-BE"/>
        </w:rPr>
        <w:t xml:space="preserve">een pop-up verschijnt </w:t>
      </w:r>
      <w:r w:rsidR="00ED524E" w:rsidRPr="00ED524E">
        <w:rPr>
          <w:lang w:val="nl-BE"/>
        </w:rPr>
        <w:t>over de koppelingen die de werkmap bevat</w:t>
      </w:r>
      <w:r w:rsidR="00ED524E">
        <w:rPr>
          <w:lang w:val="nl-BE"/>
        </w:rPr>
        <w:t>, klikt up</w:t>
      </w:r>
      <w:r w:rsidR="00ED524E" w:rsidRPr="00ED524E">
        <w:rPr>
          <w:lang w:val="nl-BE"/>
        </w:rPr>
        <w:t xml:space="preserve"> op “Niet bijwerken”.</w:t>
      </w:r>
    </w:p>
    <w:p w14:paraId="1A1F67D3" w14:textId="5D435147" w:rsidR="00E41083" w:rsidRPr="00E41083" w:rsidRDefault="00E41083" w:rsidP="00C33FB5">
      <w:pPr>
        <w:jc w:val="both"/>
        <w:rPr>
          <w:lang w:val="nl-BE"/>
        </w:rPr>
      </w:pPr>
      <w:r w:rsidRPr="69FC4E74">
        <w:rPr>
          <w:lang w:val="nl-BE"/>
        </w:rPr>
        <w:t>Algemene informatie over het invullen van het sjabloon wordt gegeven in tabblad ‘b_Guid</w:t>
      </w:r>
      <w:r w:rsidR="00617731" w:rsidRPr="69FC4E74">
        <w:rPr>
          <w:lang w:val="nl-BE"/>
        </w:rPr>
        <w:t>e</w:t>
      </w:r>
      <w:r w:rsidRPr="69FC4E74">
        <w:rPr>
          <w:lang w:val="nl-BE"/>
        </w:rPr>
        <w:t xml:space="preserve">lines and conditions. </w:t>
      </w:r>
      <w:r w:rsidRPr="00DA0C12">
        <w:rPr>
          <w:b/>
          <w:bCs/>
          <w:lang w:val="nl-BE"/>
        </w:rPr>
        <w:t>Lees dit tabblad grondig</w:t>
      </w:r>
      <w:r w:rsidRPr="69FC4E74">
        <w:rPr>
          <w:lang w:val="nl-BE"/>
        </w:rPr>
        <w:t xml:space="preserve"> vooraleer van start te gaan met het invullen van het sjabloon.</w:t>
      </w:r>
      <w:r w:rsidR="00CB431F" w:rsidRPr="69FC4E74">
        <w:rPr>
          <w:lang w:val="nl-BE"/>
        </w:rPr>
        <w:t xml:space="preserve"> Het is belangrijk dat het sjabloon van voor naar achteren wordt ingevuld, o.w.v. de automatische berekeningen die in het sjabloon vervat zitten.</w:t>
      </w:r>
      <w:r w:rsidR="004435B0">
        <w:rPr>
          <w:lang w:val="nl-BE"/>
        </w:rPr>
        <w:t xml:space="preserve"> De felgele velden moeten verplicht worden ingevuld.</w:t>
      </w:r>
    </w:p>
    <w:p w14:paraId="35299F48" w14:textId="0A00E555" w:rsidR="00ED524E" w:rsidRPr="00ED524E" w:rsidRDefault="00ED524E" w:rsidP="00C33FB5">
      <w:pPr>
        <w:autoSpaceDE w:val="0"/>
        <w:autoSpaceDN w:val="0"/>
        <w:adjustRightInd w:val="0"/>
        <w:spacing w:after="0" w:line="240" w:lineRule="auto"/>
        <w:jc w:val="both"/>
        <w:rPr>
          <w:lang w:val="nl-BE"/>
        </w:rPr>
      </w:pPr>
      <w:r>
        <w:rPr>
          <w:lang w:val="nl-BE"/>
        </w:rPr>
        <w:t>In het sjabloon worden gegevens gevraagd die reeds verstrekt werden via het baselinerapport</w:t>
      </w:r>
      <w:r w:rsidR="00715977">
        <w:rPr>
          <w:lang w:val="nl-BE"/>
        </w:rPr>
        <w:t xml:space="preserve"> (BDR)</w:t>
      </w:r>
      <w:r>
        <w:rPr>
          <w:lang w:val="nl-BE"/>
        </w:rPr>
        <w:t xml:space="preserve">. </w:t>
      </w:r>
      <w:r w:rsidR="00F55069">
        <w:rPr>
          <w:lang w:val="nl-BE"/>
        </w:rPr>
        <w:t xml:space="preserve">Deze gegevens moeten </w:t>
      </w:r>
      <w:r>
        <w:rPr>
          <w:lang w:val="nl-BE"/>
        </w:rPr>
        <w:t xml:space="preserve">automatisch </w:t>
      </w:r>
      <w:r w:rsidR="00F55069">
        <w:rPr>
          <w:lang w:val="nl-BE"/>
        </w:rPr>
        <w:t>overgenomen worden</w:t>
      </w:r>
      <w:r>
        <w:rPr>
          <w:lang w:val="nl-BE"/>
        </w:rPr>
        <w:t xml:space="preserve"> </w:t>
      </w:r>
      <w:r w:rsidRPr="00ED524E">
        <w:rPr>
          <w:lang w:val="nl-BE"/>
        </w:rPr>
        <w:t>uit het baselinerapport</w:t>
      </w:r>
      <w:r w:rsidR="00F55069">
        <w:rPr>
          <w:lang w:val="nl-BE"/>
        </w:rPr>
        <w:t>. Neem hiervoor de versie die in de maand maart 2021 aan de NIMs contactpersoon van uw installatie bezorgd werd vanuit het VEKA. Daarvoor</w:t>
      </w:r>
      <w:r>
        <w:rPr>
          <w:lang w:val="nl-BE"/>
        </w:rPr>
        <w:t xml:space="preserve"> gaat u als volgt te werk</w:t>
      </w:r>
      <w:r w:rsidRPr="00ED524E">
        <w:rPr>
          <w:lang w:val="nl-BE"/>
        </w:rPr>
        <w:t>:</w:t>
      </w:r>
    </w:p>
    <w:p w14:paraId="18D06E91" w14:textId="4CB9FE48" w:rsidR="00ED524E" w:rsidRPr="00ED524E" w:rsidRDefault="00ED524E" w:rsidP="00C33FB5">
      <w:pPr>
        <w:autoSpaceDE w:val="0"/>
        <w:autoSpaceDN w:val="0"/>
        <w:adjustRightInd w:val="0"/>
        <w:spacing w:after="0" w:line="240" w:lineRule="auto"/>
        <w:jc w:val="both"/>
        <w:rPr>
          <w:lang w:val="nl-BE"/>
        </w:rPr>
      </w:pPr>
      <w:r>
        <w:rPr>
          <w:lang w:val="nl-BE"/>
        </w:rPr>
        <w:t>-</w:t>
      </w:r>
      <w:r w:rsidRPr="00ED524E">
        <w:rPr>
          <w:lang w:val="nl-BE"/>
        </w:rPr>
        <w:t>Ga naar tabblad c_NIMsSummary.</w:t>
      </w:r>
    </w:p>
    <w:p w14:paraId="5CB6FA61" w14:textId="239544A0" w:rsidR="00D5046C" w:rsidRDefault="00ED524E" w:rsidP="00C33FB5">
      <w:pPr>
        <w:autoSpaceDE w:val="0"/>
        <w:autoSpaceDN w:val="0"/>
        <w:adjustRightInd w:val="0"/>
        <w:spacing w:after="0" w:line="240" w:lineRule="auto"/>
        <w:jc w:val="both"/>
        <w:rPr>
          <w:lang w:val="nl-BE"/>
        </w:rPr>
      </w:pPr>
      <w:r>
        <w:rPr>
          <w:lang w:val="nl-BE"/>
        </w:rPr>
        <w:t>-</w:t>
      </w:r>
      <w:r w:rsidRPr="00ED524E">
        <w:rPr>
          <w:lang w:val="nl-BE"/>
        </w:rPr>
        <w:t xml:space="preserve">Ga in het lint bovenaan naar Gegevens </w:t>
      </w:r>
      <w:r w:rsidRPr="00ED524E">
        <w:rPr>
          <w:lang w:val="nl-BE"/>
        </w:rPr>
        <w:sym w:font="Wingdings" w:char="F0E0"/>
      </w:r>
      <w:r w:rsidRPr="00ED524E">
        <w:rPr>
          <w:lang w:val="nl-BE"/>
        </w:rPr>
        <w:t xml:space="preserve"> Koppelingen bewerken </w:t>
      </w:r>
      <w:r w:rsidRPr="00ED524E">
        <w:rPr>
          <w:lang w:val="nl-BE"/>
        </w:rPr>
        <w:sym w:font="Wingdings" w:char="F0E0"/>
      </w:r>
      <w:r w:rsidRPr="00ED524E">
        <w:rPr>
          <w:lang w:val="nl-BE"/>
        </w:rPr>
        <w:t xml:space="preserve"> Bron wijzigen </w:t>
      </w:r>
      <w:r w:rsidRPr="00ED524E">
        <w:rPr>
          <w:lang w:val="nl-BE"/>
        </w:rPr>
        <w:sym w:font="Wingdings" w:char="F0E0"/>
      </w:r>
      <w:r w:rsidRPr="00ED524E">
        <w:rPr>
          <w:lang w:val="nl-BE"/>
        </w:rPr>
        <w:t xml:space="preserve"> Selecteer uw baselinerapport </w:t>
      </w:r>
      <w:r w:rsidRPr="00ED524E">
        <w:rPr>
          <w:lang w:val="nl-BE"/>
        </w:rPr>
        <w:sym w:font="Wingdings" w:char="F0E0"/>
      </w:r>
      <w:r w:rsidRPr="00ED524E">
        <w:rPr>
          <w:lang w:val="nl-BE"/>
        </w:rPr>
        <w:t xml:space="preserve"> de gegevens worden overgenomen (dit kan even duren) </w:t>
      </w:r>
      <w:r w:rsidRPr="00ED524E">
        <w:rPr>
          <w:lang w:val="nl-BE"/>
        </w:rPr>
        <w:sym w:font="Wingdings" w:char="F0E0"/>
      </w:r>
      <w:r w:rsidRPr="00ED524E">
        <w:rPr>
          <w:lang w:val="nl-BE"/>
        </w:rPr>
        <w:t xml:space="preserve"> klik op “Sluiten”.</w:t>
      </w:r>
    </w:p>
    <w:p w14:paraId="3076815F" w14:textId="7218B9BD" w:rsidR="00DA0C12" w:rsidRDefault="00DA0C12" w:rsidP="00C33FB5">
      <w:pPr>
        <w:autoSpaceDE w:val="0"/>
        <w:autoSpaceDN w:val="0"/>
        <w:adjustRightInd w:val="0"/>
        <w:spacing w:after="0" w:line="240" w:lineRule="auto"/>
        <w:jc w:val="both"/>
        <w:rPr>
          <w:lang w:val="nl-BE"/>
        </w:rPr>
      </w:pPr>
    </w:p>
    <w:p w14:paraId="399A8325" w14:textId="77777777" w:rsidR="00DA0C12" w:rsidRDefault="00DA0C12" w:rsidP="00C33FB5">
      <w:pPr>
        <w:autoSpaceDE w:val="0"/>
        <w:autoSpaceDN w:val="0"/>
        <w:adjustRightInd w:val="0"/>
        <w:spacing w:after="0" w:line="240" w:lineRule="auto"/>
        <w:jc w:val="both"/>
        <w:rPr>
          <w:lang w:val="nl-BE"/>
        </w:rPr>
      </w:pPr>
    </w:p>
    <w:p w14:paraId="35081672" w14:textId="0F37FE05" w:rsidR="00DA0C12" w:rsidRPr="00ED524E" w:rsidRDefault="00DA0C12"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t>T</w:t>
      </w:r>
      <w:r w:rsidRPr="00DA0C12">
        <w:rPr>
          <w:rFonts w:asciiTheme="minorHAnsi" w:hAnsiTheme="minorHAnsi" w:cstheme="minorBidi"/>
          <w:sz w:val="24"/>
          <w:szCs w:val="24"/>
          <w:lang w:val="nl-BE"/>
        </w:rPr>
        <w:t>abblad A_InstallationData</w:t>
      </w:r>
    </w:p>
    <w:p w14:paraId="65104994" w14:textId="27C2A204" w:rsidR="00DA0C12" w:rsidRPr="00E014A5" w:rsidRDefault="00DA0C12" w:rsidP="00C33FB5">
      <w:pPr>
        <w:jc w:val="both"/>
      </w:pPr>
      <w:r w:rsidRPr="00E014A5">
        <w:rPr>
          <w:lang w:val="nl-BE"/>
        </w:rPr>
        <w:t>Ook hier</w:t>
      </w:r>
      <w:r w:rsidR="00F55069">
        <w:rPr>
          <w:lang w:val="nl-BE"/>
        </w:rPr>
        <w:t xml:space="preserve"> moeten</w:t>
      </w:r>
      <w:r w:rsidRPr="00E014A5">
        <w:rPr>
          <w:lang w:val="nl-BE"/>
        </w:rPr>
        <w:t xml:space="preserve"> de gegevens uit het baselinerapport automatisch </w:t>
      </w:r>
      <w:r w:rsidR="00F55069">
        <w:rPr>
          <w:lang w:val="nl-BE"/>
        </w:rPr>
        <w:t>overgenomen worden</w:t>
      </w:r>
      <w:r w:rsidR="00E146EB">
        <w:rPr>
          <w:lang w:val="nl-BE"/>
        </w:rPr>
        <w:t>, duid dit aan in cel J31 (“Koppeling naar het baselinerapport”)</w:t>
      </w:r>
      <w:r w:rsidRPr="00E014A5">
        <w:rPr>
          <w:lang w:val="nl-BE"/>
        </w:rPr>
        <w:t xml:space="preserve">. </w:t>
      </w:r>
      <w:r w:rsidR="00E146EB">
        <w:rPr>
          <w:lang w:val="nl-BE"/>
        </w:rPr>
        <w:t>Op die manier worden</w:t>
      </w:r>
      <w:r w:rsidRPr="00E014A5">
        <w:t xml:space="preserve"> de olijfgroene cellen </w:t>
      </w:r>
      <w:r w:rsidR="00E146EB">
        <w:rPr>
          <w:lang w:val="nl-BE"/>
        </w:rPr>
        <w:t>automatisch</w:t>
      </w:r>
      <w:r w:rsidRPr="00E014A5">
        <w:t xml:space="preserve"> ingevuld</w:t>
      </w:r>
      <w:r w:rsidR="00E146EB">
        <w:rPr>
          <w:lang w:val="nl-BE"/>
        </w:rPr>
        <w:t xml:space="preserve">. Indien dit toch een foutmelding zou genereren, </w:t>
      </w:r>
      <w:r w:rsidRPr="00E014A5">
        <w:t xml:space="preserve">kunnen </w:t>
      </w:r>
      <w:r w:rsidR="00E146EB">
        <w:rPr>
          <w:lang w:val="nl-BE"/>
        </w:rPr>
        <w:t xml:space="preserve">ze </w:t>
      </w:r>
      <w:r w:rsidRPr="00E014A5">
        <w:t xml:space="preserve">overschreven worden via de lichtgele velden. De groene cellen (waar uiteindelijk naar gekeken zal worden) nemen de informatie uit de olijfgroene of lichtgele cellen over. Opmerkingen kunnen ingegeven worden in kolom P. Let op, </w:t>
      </w:r>
      <w:r w:rsidRPr="00E014A5">
        <w:rPr>
          <w:lang w:val="nl-BE"/>
        </w:rPr>
        <w:t xml:space="preserve">de </w:t>
      </w:r>
      <w:r w:rsidRPr="00E014A5">
        <w:t>felgele velden moeten nog steeds manueel ingevuld worden.</w:t>
      </w:r>
    </w:p>
    <w:p w14:paraId="5CAC5F01" w14:textId="70CE30BE" w:rsidR="00C33FB5" w:rsidRPr="00E014A5" w:rsidRDefault="00C33FB5" w:rsidP="00C33FB5">
      <w:pPr>
        <w:jc w:val="both"/>
        <w:rPr>
          <w:lang w:val="nl-BE"/>
        </w:rPr>
      </w:pPr>
      <w:r w:rsidRPr="00E014A5">
        <w:rPr>
          <w:lang w:val="nl-BE"/>
        </w:rPr>
        <w:t xml:space="preserve">Wanneer voor het baselinerapport het Engelstalige sjabloon gebruikt werd, maar voor het rapport over de activiteitsniveaus het Nederlandstalige  sjabloon, worden sommige automatische ingevulde velden (lidstaat op rij 51 en activiteiten op rij 215) niet correct herkend. In dit geval </w:t>
      </w:r>
      <w:r w:rsidR="00E014A5" w:rsidRPr="00E014A5">
        <w:rPr>
          <w:lang w:val="nl-BE"/>
        </w:rPr>
        <w:t xml:space="preserve">verschijnt de melding “Conversie uit het NIMs bestand mislukt. Selecteer handmatig!” en </w:t>
      </w:r>
      <w:r w:rsidRPr="00E014A5">
        <w:rPr>
          <w:lang w:val="nl-BE"/>
        </w:rPr>
        <w:t xml:space="preserve">dient u </w:t>
      </w:r>
      <w:r w:rsidR="00E014A5" w:rsidRPr="00E014A5">
        <w:rPr>
          <w:lang w:val="nl-BE"/>
        </w:rPr>
        <w:t>de juiste waarden handmatig in de lichtgele velden in te voeren.</w:t>
      </w:r>
    </w:p>
    <w:p w14:paraId="0A826C1E" w14:textId="24906834" w:rsidR="001A7B38" w:rsidRDefault="00E014A5" w:rsidP="00B811A5">
      <w:pPr>
        <w:rPr>
          <w:lang w:val="nl-BE"/>
        </w:rPr>
      </w:pPr>
      <w:r w:rsidRPr="00E014A5">
        <w:rPr>
          <w:lang w:val="nl-BE"/>
        </w:rPr>
        <w:t xml:space="preserve">Nieuw hier is de gevraagde </w:t>
      </w:r>
      <w:r w:rsidR="00072A01">
        <w:rPr>
          <w:lang w:val="nl-BE"/>
        </w:rPr>
        <w:t>verplichte</w:t>
      </w:r>
      <w:r w:rsidR="00072A01">
        <w:rPr>
          <w:rStyle w:val="Voetnootmarkering"/>
          <w:lang w:val="nl-BE"/>
        </w:rPr>
        <w:footnoteReference w:id="2"/>
      </w:r>
      <w:r w:rsidR="00072A01">
        <w:rPr>
          <w:lang w:val="nl-BE"/>
        </w:rPr>
        <w:t xml:space="preserve"> </w:t>
      </w:r>
      <w:r w:rsidRPr="00E014A5">
        <w:rPr>
          <w:lang w:val="nl-BE"/>
        </w:rPr>
        <w:t xml:space="preserve">informatie over de structuur van de </w:t>
      </w:r>
      <w:r w:rsidR="00072A01">
        <w:rPr>
          <w:lang w:val="nl-BE"/>
        </w:rPr>
        <w:t xml:space="preserve">eventuele </w:t>
      </w:r>
      <w:r w:rsidRPr="00E014A5">
        <w:rPr>
          <w:lang w:val="nl-BE"/>
        </w:rPr>
        <w:t xml:space="preserve">groep </w:t>
      </w:r>
      <w:r w:rsidR="00072A01">
        <w:rPr>
          <w:lang w:val="nl-BE"/>
        </w:rPr>
        <w:t xml:space="preserve">waartoe de installatie behoort </w:t>
      </w:r>
      <w:r w:rsidRPr="00E014A5">
        <w:rPr>
          <w:lang w:val="nl-BE"/>
        </w:rPr>
        <w:t>(rij 150)</w:t>
      </w:r>
      <w:r w:rsidR="001A7B38">
        <w:rPr>
          <w:lang w:val="nl-BE"/>
        </w:rPr>
        <w:t>, alsmede de installation IDs van andere installaties van de groep die elders in Vlaanderen, België of Europa onder EU ETS vallen</w:t>
      </w:r>
      <w:r w:rsidRPr="00E014A5">
        <w:rPr>
          <w:lang w:val="nl-BE"/>
        </w:rPr>
        <w:t>.</w:t>
      </w:r>
      <w:r w:rsidR="00072A01">
        <w:rPr>
          <w:lang w:val="nl-BE"/>
        </w:rPr>
        <w:t xml:space="preserve"> </w:t>
      </w:r>
      <w:r w:rsidR="001A7B38">
        <w:rPr>
          <w:lang w:val="nl-BE"/>
        </w:rPr>
        <w:t>Best is deze informatie op te vragen bij de hoofdzetel, en/of zelf op te zoeken via</w:t>
      </w:r>
      <w:r w:rsidR="00B811A5">
        <w:rPr>
          <w:lang w:val="nl-BE"/>
        </w:rPr>
        <w:t xml:space="preserve"> volgend gegevensbestand gepubliceerd door DG CLIMA: </w:t>
      </w:r>
      <w:hyperlink r:id="rId20" w:history="1">
        <w:r w:rsidR="00B811A5" w:rsidRPr="00B811A5">
          <w:rPr>
            <w:rStyle w:val="Hyperlink"/>
            <w:lang w:val="nl-BE"/>
          </w:rPr>
          <w:t>https://ec.europa.eu/clima/sites/default/files/ets/registry/docs/operators_ets_en.xlsx</w:t>
        </w:r>
      </w:hyperlink>
      <w:r w:rsidR="001A7B38">
        <w:rPr>
          <w:lang w:val="nl-BE"/>
        </w:rPr>
        <w:t xml:space="preserve">. </w:t>
      </w:r>
    </w:p>
    <w:p w14:paraId="0A69D397" w14:textId="18638537" w:rsidR="00E014A5" w:rsidRPr="00E014A5" w:rsidRDefault="00E014A5" w:rsidP="00C33FB5">
      <w:pPr>
        <w:jc w:val="both"/>
        <w:rPr>
          <w:lang w:val="nl-BE"/>
        </w:rPr>
      </w:pPr>
    </w:p>
    <w:p w14:paraId="052E30AE" w14:textId="4B1FFC36" w:rsidR="00DA0C12" w:rsidRDefault="00DA0C12"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lastRenderedPageBreak/>
        <w:t>T</w:t>
      </w:r>
      <w:r w:rsidRPr="00DA0C12">
        <w:rPr>
          <w:rFonts w:asciiTheme="minorHAnsi" w:hAnsiTheme="minorHAnsi" w:cstheme="minorBidi"/>
          <w:sz w:val="24"/>
          <w:szCs w:val="24"/>
          <w:lang w:val="nl-BE"/>
        </w:rPr>
        <w:t xml:space="preserve">abblad </w:t>
      </w:r>
      <w:r w:rsidR="003C68B1">
        <w:rPr>
          <w:rFonts w:asciiTheme="minorHAnsi" w:hAnsiTheme="minorHAnsi" w:cstheme="minorBidi"/>
          <w:sz w:val="24"/>
          <w:szCs w:val="24"/>
          <w:lang w:val="nl-BE"/>
        </w:rPr>
        <w:t>B+C_SubInstallations</w:t>
      </w:r>
    </w:p>
    <w:p w14:paraId="251B88B3" w14:textId="135E9004" w:rsidR="003C68B1" w:rsidRDefault="003C68B1" w:rsidP="00C33FB5">
      <w:pPr>
        <w:jc w:val="both"/>
        <w:rPr>
          <w:lang w:val="nl-BE"/>
        </w:rPr>
      </w:pPr>
      <w:r>
        <w:rPr>
          <w:lang w:val="nl-BE"/>
        </w:rPr>
        <w:t>Voeg hier informatie toe over de productBM en fall-back sub-installaties die op uw installatie van toepassing zijn. In het geval dat de koppeling met het baselin</w:t>
      </w:r>
      <w:r w:rsidR="00715977">
        <w:rPr>
          <w:lang w:val="nl-BE"/>
        </w:rPr>
        <w:t>e</w:t>
      </w:r>
      <w:r>
        <w:rPr>
          <w:lang w:val="nl-BE"/>
        </w:rPr>
        <w:t xml:space="preserve">rapport gemaakt wordt, wordt ook hier een deel het tabblad (de olijfgroene velden) automatisch ingevuld. </w:t>
      </w:r>
      <w:r w:rsidR="00E014A5">
        <w:rPr>
          <w:lang w:val="nl-BE"/>
        </w:rPr>
        <w:t>Informatie over e</w:t>
      </w:r>
      <w:r>
        <w:rPr>
          <w:lang w:val="nl-BE"/>
        </w:rPr>
        <w:t xml:space="preserve">ventuele </w:t>
      </w:r>
      <w:r w:rsidR="00E014A5">
        <w:rPr>
          <w:lang w:val="nl-BE"/>
        </w:rPr>
        <w:t xml:space="preserve">stopzettingen of </w:t>
      </w:r>
      <w:r>
        <w:rPr>
          <w:lang w:val="nl-BE"/>
        </w:rPr>
        <w:t>nieuwe sub-installaties dien</w:t>
      </w:r>
      <w:r w:rsidR="00E014A5">
        <w:rPr>
          <w:lang w:val="nl-BE"/>
        </w:rPr>
        <w:t>t</w:t>
      </w:r>
      <w:r>
        <w:rPr>
          <w:lang w:val="nl-BE"/>
        </w:rPr>
        <w:t xml:space="preserve"> echter manueel toegevoegd te worden.</w:t>
      </w:r>
    </w:p>
    <w:p w14:paraId="019EFB40" w14:textId="07C76285" w:rsidR="003C68B1" w:rsidRDefault="003C68B1"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t>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D_Emissions</w:t>
      </w:r>
    </w:p>
    <w:p w14:paraId="109DE004" w14:textId="77777777" w:rsidR="001939C8" w:rsidRDefault="003C68B1" w:rsidP="00C33FB5">
      <w:pPr>
        <w:jc w:val="both"/>
      </w:pPr>
      <w:r>
        <w:rPr>
          <w:lang w:val="nl-BE"/>
        </w:rPr>
        <w:t xml:space="preserve">Voer hier de totale emissies (geaggregeerd op installatieniveau) en de totale energie-input uit brandstoffen in. </w:t>
      </w:r>
      <w:r w:rsidR="001939C8" w:rsidRPr="001939C8">
        <w:t xml:space="preserve"> </w:t>
      </w:r>
    </w:p>
    <w:p w14:paraId="5DDE38BD" w14:textId="6E080494" w:rsidR="003C68B1" w:rsidRPr="003C68B1" w:rsidRDefault="001939C8" w:rsidP="00C33FB5">
      <w:pPr>
        <w:jc w:val="both"/>
        <w:rPr>
          <w:lang w:val="nl-BE"/>
        </w:rPr>
      </w:pPr>
      <w:r>
        <w:rPr>
          <w:lang w:val="nl-BE"/>
        </w:rPr>
        <w:t xml:space="preserve">De (in Vlaanderen verplichte) toewijzing </w:t>
      </w:r>
      <w:r w:rsidRPr="001939C8">
        <w:rPr>
          <w:lang w:val="nl-BE"/>
        </w:rPr>
        <w:t>van emissies aan sub</w:t>
      </w:r>
      <w:r>
        <w:rPr>
          <w:lang w:val="nl-BE"/>
        </w:rPr>
        <w:t>-</w:t>
      </w:r>
      <w:r w:rsidRPr="001939C8">
        <w:rPr>
          <w:lang w:val="nl-BE"/>
        </w:rPr>
        <w:t xml:space="preserve">installaties moet </w:t>
      </w:r>
      <w:r>
        <w:rPr>
          <w:lang w:val="nl-BE"/>
        </w:rPr>
        <w:t xml:space="preserve">(later) </w:t>
      </w:r>
      <w:r w:rsidRPr="001939C8">
        <w:rPr>
          <w:lang w:val="nl-BE"/>
        </w:rPr>
        <w:t>voor elke sub</w:t>
      </w:r>
      <w:r>
        <w:rPr>
          <w:lang w:val="nl-BE"/>
        </w:rPr>
        <w:t>-</w:t>
      </w:r>
      <w:r w:rsidRPr="001939C8">
        <w:rPr>
          <w:lang w:val="nl-BE"/>
        </w:rPr>
        <w:t xml:space="preserve">installatie gebeuren in </w:t>
      </w:r>
      <w:r>
        <w:rPr>
          <w:lang w:val="nl-BE"/>
        </w:rPr>
        <w:t>tab</w:t>
      </w:r>
      <w:r w:rsidRPr="001939C8">
        <w:rPr>
          <w:lang w:val="nl-BE"/>
        </w:rPr>
        <w:t>bladen F en G.</w:t>
      </w:r>
      <w:r>
        <w:rPr>
          <w:lang w:val="nl-BE"/>
        </w:rPr>
        <w:t xml:space="preserve"> Deze toewijzing is nodig </w:t>
      </w:r>
      <w:r w:rsidRPr="001939C8">
        <w:rPr>
          <w:lang w:val="nl-BE"/>
        </w:rPr>
        <w:t xml:space="preserve">voor het bepalen van het benchmarkverbeteringspercentage </w:t>
      </w:r>
      <w:r>
        <w:rPr>
          <w:lang w:val="nl-BE"/>
        </w:rPr>
        <w:t>voor de handelsperiode 2026-2030</w:t>
      </w:r>
      <w:r>
        <w:rPr>
          <w:rStyle w:val="Voetnootmarkering"/>
          <w:lang w:val="nl-BE"/>
        </w:rPr>
        <w:footnoteReference w:id="3"/>
      </w:r>
      <w:r>
        <w:rPr>
          <w:lang w:val="nl-BE"/>
        </w:rPr>
        <w:t xml:space="preserve">. </w:t>
      </w:r>
    </w:p>
    <w:p w14:paraId="60E1EE1F" w14:textId="1EDD8A75" w:rsidR="003C68B1" w:rsidRDefault="003C68B1" w:rsidP="00C33FB5">
      <w:pPr>
        <w:jc w:val="both"/>
        <w:rPr>
          <w:lang w:val="nl-BE"/>
        </w:rPr>
      </w:pPr>
      <w:r>
        <w:rPr>
          <w:lang w:val="nl-BE"/>
        </w:rPr>
        <w:t xml:space="preserve">Dit tabblad bevat ook tools voor WKKs en afgassen, zoals ook het geval was bij het baselinerapport. </w:t>
      </w:r>
    </w:p>
    <w:p w14:paraId="7A7D48F2" w14:textId="05D6B417" w:rsidR="003C68B1" w:rsidRDefault="003C68B1"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t>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E_EnergyFlows</w:t>
      </w:r>
    </w:p>
    <w:p w14:paraId="18FF9B6A" w14:textId="0BB3F41B" w:rsidR="003C68B1" w:rsidRPr="003C68B1" w:rsidRDefault="003C68B1" w:rsidP="00C33FB5">
      <w:pPr>
        <w:jc w:val="both"/>
        <w:rPr>
          <w:lang w:val="nl-BE"/>
        </w:rPr>
      </w:pPr>
      <w:r>
        <w:rPr>
          <w:lang w:val="nl-BE"/>
        </w:rPr>
        <w:t xml:space="preserve">Dit tabblad is grotendeels gelijk </w:t>
      </w:r>
      <w:r w:rsidRPr="003C68B1">
        <w:rPr>
          <w:lang w:val="nl-BE"/>
        </w:rPr>
        <w:t xml:space="preserve">aan tabblad </w:t>
      </w:r>
      <w:r>
        <w:rPr>
          <w:lang w:val="nl-BE"/>
        </w:rPr>
        <w:t xml:space="preserve">E </w:t>
      </w:r>
      <w:r w:rsidRPr="003C68B1">
        <w:rPr>
          <w:lang w:val="nl-BE"/>
        </w:rPr>
        <w:t>uit</w:t>
      </w:r>
      <w:r>
        <w:rPr>
          <w:lang w:val="nl-BE"/>
        </w:rPr>
        <w:t xml:space="preserve"> het baselinerapport, </w:t>
      </w:r>
      <w:r w:rsidRPr="003C68B1">
        <w:rPr>
          <w:lang w:val="nl-BE"/>
        </w:rPr>
        <w:t xml:space="preserve">maar </w:t>
      </w:r>
      <w:r w:rsidR="00C9613A">
        <w:rPr>
          <w:lang w:val="nl-BE"/>
        </w:rPr>
        <w:t xml:space="preserve">gaat </w:t>
      </w:r>
      <w:r w:rsidRPr="003C68B1">
        <w:rPr>
          <w:lang w:val="nl-BE"/>
        </w:rPr>
        <w:t>nu over de jaren 2019 en 2020 (voor het eerste rapport</w:t>
      </w:r>
      <w:r w:rsidR="00C9613A">
        <w:rPr>
          <w:lang w:val="nl-BE"/>
        </w:rPr>
        <w:t xml:space="preserve"> over de activiteitsniveaus</w:t>
      </w:r>
      <w:r w:rsidRPr="003C68B1">
        <w:rPr>
          <w:lang w:val="nl-BE"/>
        </w:rPr>
        <w:t>).</w:t>
      </w:r>
    </w:p>
    <w:p w14:paraId="415B426E" w14:textId="717F5BD8" w:rsidR="00DA0C12" w:rsidRPr="00C9613A" w:rsidRDefault="00C9613A"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t>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F_ProductBM</w:t>
      </w:r>
    </w:p>
    <w:p w14:paraId="2131DC85" w14:textId="1C2845F2" w:rsidR="00C9613A" w:rsidRDefault="00C9613A" w:rsidP="00C33FB5">
      <w:pPr>
        <w:jc w:val="both"/>
        <w:rPr>
          <w:lang w:val="nl-BE"/>
        </w:rPr>
      </w:pPr>
      <w:r w:rsidRPr="00C9613A">
        <w:rPr>
          <w:lang w:val="nl-BE"/>
        </w:rPr>
        <w:t xml:space="preserve">Dit tabblad </w:t>
      </w:r>
      <w:r>
        <w:rPr>
          <w:lang w:val="nl-BE"/>
        </w:rPr>
        <w:t>lijkt sterk op</w:t>
      </w:r>
      <w:r w:rsidRPr="00C9613A">
        <w:t xml:space="preserve"> tabblad </w:t>
      </w:r>
      <w:r w:rsidRPr="00C9613A">
        <w:rPr>
          <w:lang w:val="nl-BE"/>
        </w:rPr>
        <w:t xml:space="preserve">F </w:t>
      </w:r>
      <w:r w:rsidRPr="00C9613A">
        <w:t xml:space="preserve">uit </w:t>
      </w:r>
      <w:r w:rsidRPr="00C9613A">
        <w:rPr>
          <w:lang w:val="nl-BE"/>
        </w:rPr>
        <w:t>het baselinerapport, maar gaat nu over de jaren 2019 en 2020 (voor het eerste rapport over de activiteitsniveaus).</w:t>
      </w:r>
      <w:r>
        <w:rPr>
          <w:lang w:val="nl-BE"/>
        </w:rPr>
        <w:t xml:space="preserve"> Er werden echter oranje kaders toegevoegd ter vergelijking van de </w:t>
      </w:r>
      <w:r w:rsidRPr="00C9613A">
        <w:rPr>
          <w:lang w:val="nl-BE"/>
        </w:rPr>
        <w:t xml:space="preserve">activiteitsniveaus met de HAL uit het baselinerapport, op basis waarvan wordt nagegaan of een aanpassing van de activiteitsniveaus nodig is (15% regel) (onder 1 b </w:t>
      </w:r>
      <w:r w:rsidR="00E146EB">
        <w:rPr>
          <w:lang w:val="nl-BE"/>
        </w:rPr>
        <w:t>“</w:t>
      </w:r>
      <w:r w:rsidRPr="00C9613A">
        <w:rPr>
          <w:lang w:val="nl-BE"/>
        </w:rPr>
        <w:t>Bepaling van eventuele aanpassingen van het activiteitsniveau</w:t>
      </w:r>
      <w:r w:rsidR="00E146EB">
        <w:rPr>
          <w:lang w:val="nl-BE"/>
        </w:rPr>
        <w:t>”</w:t>
      </w:r>
      <w:r w:rsidRPr="00C9613A">
        <w:rPr>
          <w:lang w:val="nl-BE"/>
        </w:rPr>
        <w:t xml:space="preserve">). Hetzelfde geldt voor een aantal </w:t>
      </w:r>
      <w:r>
        <w:rPr>
          <w:lang w:val="nl-BE"/>
        </w:rPr>
        <w:t>parameters</w:t>
      </w:r>
      <w:r w:rsidRPr="00C9613A">
        <w:rPr>
          <w:lang w:val="nl-BE"/>
        </w:rPr>
        <w:t xml:space="preserve"> (uitwisselbaarheid van brandstof en elektriciteit en warmte import uit niet-ETS)</w:t>
      </w:r>
      <w:r>
        <w:rPr>
          <w:lang w:val="nl-BE"/>
        </w:rPr>
        <w:t>.</w:t>
      </w:r>
    </w:p>
    <w:p w14:paraId="50100B76" w14:textId="6872CBDD" w:rsidR="00535568" w:rsidRDefault="00535568" w:rsidP="00C33FB5">
      <w:pPr>
        <w:jc w:val="both"/>
        <w:rPr>
          <w:lang w:val="nl-BE"/>
        </w:rPr>
      </w:pPr>
      <w:r>
        <w:rPr>
          <w:lang w:val="nl-BE"/>
        </w:rPr>
        <w:t xml:space="preserve">In de lichtblauwe kaders wordt reeds de informatie verzameld die zal gebruikt worden bij de benchmark berekening voor de periode 2026-2030. In Vlaanderen wordt deze informatie reeds gevraagd, met het oog op een tijdige en zorgvuldige verzameling van de gegevens. </w:t>
      </w:r>
    </w:p>
    <w:p w14:paraId="2991DA1D" w14:textId="0E4B0141" w:rsidR="00C9613A" w:rsidRPr="00C9613A" w:rsidRDefault="00C9613A"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t>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G_Fall-back</w:t>
      </w:r>
    </w:p>
    <w:p w14:paraId="3F92FDD1" w14:textId="610C0770" w:rsidR="0034022A" w:rsidRDefault="00C9613A" w:rsidP="00E014A5">
      <w:pPr>
        <w:jc w:val="both"/>
        <w:rPr>
          <w:lang w:val="nl-BE"/>
        </w:rPr>
      </w:pPr>
      <w:r w:rsidRPr="0034022A">
        <w:rPr>
          <w:lang w:val="nl-BE"/>
        </w:rPr>
        <w:t>Dit tabblad lijkt sterk op</w:t>
      </w:r>
      <w:r w:rsidRPr="00C9613A">
        <w:t xml:space="preserve"> tabblad </w:t>
      </w:r>
      <w:r w:rsidRPr="0034022A">
        <w:rPr>
          <w:lang w:val="nl-BE"/>
        </w:rPr>
        <w:t xml:space="preserve">G </w:t>
      </w:r>
      <w:r w:rsidRPr="00C9613A">
        <w:t xml:space="preserve">uit </w:t>
      </w:r>
      <w:r w:rsidRPr="0034022A">
        <w:rPr>
          <w:lang w:val="nl-BE"/>
        </w:rPr>
        <w:t xml:space="preserve">het baselinerapport, maar gaat nu over de jaren 2019 en 2020 (voor het eerste rapport over de activiteitsniveaus). </w:t>
      </w:r>
      <w:r w:rsidRPr="00C9613A">
        <w:t xml:space="preserve">Ook hier </w:t>
      </w:r>
      <w:r w:rsidRPr="0034022A">
        <w:rPr>
          <w:lang w:val="nl-BE"/>
        </w:rPr>
        <w:t>werden</w:t>
      </w:r>
      <w:r w:rsidRPr="00C9613A">
        <w:t xml:space="preserve"> oranje kaders toegevoegd om de </w:t>
      </w:r>
      <w:r w:rsidRPr="0034022A">
        <w:rPr>
          <w:lang w:val="nl-BE"/>
        </w:rPr>
        <w:t>dynamische toewijzings</w:t>
      </w:r>
      <w:r w:rsidRPr="00C9613A">
        <w:t xml:space="preserve">regels toe te passen. </w:t>
      </w:r>
      <w:r w:rsidR="00843BAA" w:rsidRPr="0034022A">
        <w:rPr>
          <w:lang w:val="nl-BE"/>
        </w:rPr>
        <w:t>Daarnaast werden nieuwe secties (b.1 en b.2) toegevoegd over het</w:t>
      </w:r>
      <w:r w:rsidRPr="00C9613A">
        <w:t xml:space="preserve"> energieverbruik per product</w:t>
      </w:r>
      <w:r w:rsidR="00843BAA" w:rsidRPr="0034022A">
        <w:rPr>
          <w:lang w:val="nl-BE"/>
        </w:rPr>
        <w:t xml:space="preserve">, </w:t>
      </w:r>
      <w:r w:rsidRPr="0034022A">
        <w:rPr>
          <w:lang w:val="nl-BE"/>
        </w:rPr>
        <w:t xml:space="preserve">aangezien bij de </w:t>
      </w:r>
      <w:r w:rsidR="00AF74DD" w:rsidRPr="0034022A">
        <w:rPr>
          <w:b/>
          <w:bCs/>
          <w:lang w:val="nl-BE"/>
        </w:rPr>
        <w:t>warmte en brandstof</w:t>
      </w:r>
      <w:r w:rsidRPr="0067176B">
        <w:rPr>
          <w:b/>
          <w:bCs/>
          <w:lang w:val="nl-BE"/>
        </w:rPr>
        <w:t xml:space="preserve"> sub-installaties</w:t>
      </w:r>
      <w:r w:rsidRPr="0067176B">
        <w:rPr>
          <w:lang w:val="nl-BE"/>
        </w:rPr>
        <w:t xml:space="preserve"> naast de activiteitsniveaus ook regels i.v.m. efficiëntieverbetering gelden. </w:t>
      </w:r>
    </w:p>
    <w:p w14:paraId="0030CBDC" w14:textId="419061DD" w:rsidR="00C9613A" w:rsidRDefault="00E014A5" w:rsidP="00E014A5">
      <w:pPr>
        <w:jc w:val="both"/>
        <w:rPr>
          <w:lang w:val="nl-BE"/>
        </w:rPr>
      </w:pPr>
      <w:r>
        <w:rPr>
          <w:lang w:val="nl-BE"/>
        </w:rPr>
        <w:t xml:space="preserve">Hier wordt </w:t>
      </w:r>
      <w:r w:rsidR="0034022A">
        <w:rPr>
          <w:lang w:val="nl-BE"/>
        </w:rPr>
        <w:t xml:space="preserve">een </w:t>
      </w:r>
      <w:r>
        <w:rPr>
          <w:lang w:val="nl-BE"/>
        </w:rPr>
        <w:t>onderscheid gemaakt tussen twee gevallen:</w:t>
      </w:r>
    </w:p>
    <w:p w14:paraId="0CC749D7" w14:textId="3B8EC1A2" w:rsidR="00843BAA" w:rsidRDefault="00843BAA" w:rsidP="00843BAA">
      <w:pPr>
        <w:pStyle w:val="Lijstalinea"/>
        <w:numPr>
          <w:ilvl w:val="0"/>
          <w:numId w:val="49"/>
        </w:numPr>
        <w:jc w:val="both"/>
        <w:rPr>
          <w:lang w:val="nl-BE"/>
        </w:rPr>
      </w:pPr>
      <w:r>
        <w:rPr>
          <w:lang w:val="nl-BE"/>
        </w:rPr>
        <w:t xml:space="preserve">Het </w:t>
      </w:r>
      <w:r w:rsidRPr="00A56186">
        <w:rPr>
          <w:b/>
          <w:bCs/>
          <w:lang w:val="nl-BE"/>
        </w:rPr>
        <w:t xml:space="preserve">activiteitsniveau </w:t>
      </w:r>
      <w:r w:rsidR="00AF74DD">
        <w:rPr>
          <w:b/>
          <w:bCs/>
          <w:lang w:val="nl-BE"/>
        </w:rPr>
        <w:t xml:space="preserve">van een warmte of brandstof sub-installatie </w:t>
      </w:r>
      <w:r w:rsidRPr="00A56186">
        <w:rPr>
          <w:b/>
          <w:bCs/>
          <w:lang w:val="nl-BE"/>
        </w:rPr>
        <w:t>daalt</w:t>
      </w:r>
      <w:r w:rsidRPr="00843BAA">
        <w:rPr>
          <w:lang w:val="nl-BE"/>
        </w:rPr>
        <w:t xml:space="preserve"> met meer dan 15 % maar de exploitant kan aantonen (</w:t>
      </w:r>
      <w:r>
        <w:rPr>
          <w:lang w:val="nl-BE"/>
        </w:rPr>
        <w:t xml:space="preserve">niet verplicht) </w:t>
      </w:r>
      <w:r w:rsidRPr="00843BAA">
        <w:rPr>
          <w:lang w:val="nl-BE"/>
        </w:rPr>
        <w:t xml:space="preserve">dat dit te wijten is aan een </w:t>
      </w:r>
      <w:r>
        <w:rPr>
          <w:lang w:val="nl-BE"/>
        </w:rPr>
        <w:t xml:space="preserve">gelijkaardige </w:t>
      </w:r>
      <w:r w:rsidRPr="00843BAA">
        <w:rPr>
          <w:lang w:val="nl-BE"/>
        </w:rPr>
        <w:t>toename in energie efficiëntie</w:t>
      </w:r>
      <w:r w:rsidR="00715977">
        <w:rPr>
          <w:lang w:val="nl-BE"/>
        </w:rPr>
        <w:t xml:space="preserve">. </w:t>
      </w:r>
      <w:r w:rsidR="0067176B">
        <w:rPr>
          <w:lang w:val="nl-BE"/>
        </w:rPr>
        <w:t xml:space="preserve">In dit geval kan </w:t>
      </w:r>
      <w:r>
        <w:rPr>
          <w:lang w:val="nl-BE"/>
        </w:rPr>
        <w:t xml:space="preserve">de exploitant </w:t>
      </w:r>
      <w:r w:rsidR="0067176B">
        <w:rPr>
          <w:lang w:val="nl-BE"/>
        </w:rPr>
        <w:t xml:space="preserve">ervoor kiezen om een </w:t>
      </w:r>
      <w:r w:rsidRPr="00A56186">
        <w:rPr>
          <w:b/>
          <w:bCs/>
          <w:lang w:val="nl-BE"/>
        </w:rPr>
        <w:t xml:space="preserve">uitzondering </w:t>
      </w:r>
      <w:r w:rsidR="00715977" w:rsidRPr="00A56186">
        <w:rPr>
          <w:b/>
          <w:bCs/>
          <w:lang w:val="nl-BE"/>
        </w:rPr>
        <w:t>op het verlagen van de toewijzing</w:t>
      </w:r>
      <w:r w:rsidR="00715977">
        <w:rPr>
          <w:b/>
          <w:bCs/>
          <w:lang w:val="nl-BE"/>
        </w:rPr>
        <w:t xml:space="preserve"> </w:t>
      </w:r>
      <w:r w:rsidR="0067176B">
        <w:rPr>
          <w:b/>
          <w:bCs/>
          <w:lang w:val="nl-BE"/>
        </w:rPr>
        <w:t xml:space="preserve">aan te </w:t>
      </w:r>
      <w:r w:rsidRPr="00A56186">
        <w:rPr>
          <w:b/>
          <w:bCs/>
          <w:lang w:val="nl-BE"/>
        </w:rPr>
        <w:t>vragen</w:t>
      </w:r>
      <w:r w:rsidR="0067176B">
        <w:rPr>
          <w:b/>
          <w:bCs/>
          <w:lang w:val="nl-BE"/>
        </w:rPr>
        <w:t xml:space="preserve">. </w:t>
      </w:r>
      <w:r w:rsidR="0067176B">
        <w:rPr>
          <w:lang w:val="nl-BE"/>
        </w:rPr>
        <w:t>Voor deze aanvraag zijn de volgende gegevens nodig:</w:t>
      </w:r>
    </w:p>
    <w:p w14:paraId="26CB2C6B" w14:textId="39D9ED9E" w:rsidR="00843BAA" w:rsidDel="0034022A" w:rsidRDefault="00843BAA" w:rsidP="00843BAA">
      <w:pPr>
        <w:pStyle w:val="Lijstalinea"/>
        <w:numPr>
          <w:ilvl w:val="1"/>
          <w:numId w:val="49"/>
        </w:numPr>
        <w:jc w:val="both"/>
        <w:rPr>
          <w:lang w:val="nl-BE"/>
        </w:rPr>
      </w:pPr>
      <w:r w:rsidDel="0034022A">
        <w:rPr>
          <w:lang w:val="nl-BE"/>
        </w:rPr>
        <w:t xml:space="preserve">Productienaam volgens de Prodcom-code </w:t>
      </w:r>
      <w:r w:rsidR="00A56186" w:rsidDel="0034022A">
        <w:rPr>
          <w:lang w:val="nl-BE"/>
        </w:rPr>
        <w:t>onder b (bv op rij 64 voor warmte CL)</w:t>
      </w:r>
      <w:r w:rsidR="0067176B">
        <w:rPr>
          <w:lang w:val="nl-BE"/>
        </w:rPr>
        <w:t>;</w:t>
      </w:r>
    </w:p>
    <w:p w14:paraId="28398CB6" w14:textId="6EA73359" w:rsidR="00843BAA" w:rsidRDefault="00A56186" w:rsidP="00843BAA">
      <w:pPr>
        <w:pStyle w:val="Lijstalinea"/>
        <w:numPr>
          <w:ilvl w:val="1"/>
          <w:numId w:val="49"/>
        </w:numPr>
        <w:jc w:val="both"/>
        <w:rPr>
          <w:lang w:val="nl-BE"/>
        </w:rPr>
      </w:pPr>
      <w:r>
        <w:rPr>
          <w:lang w:val="nl-BE"/>
        </w:rPr>
        <w:lastRenderedPageBreak/>
        <w:t>Herverdeling van het energieverbruik per Prodcom product (b.1) volgens methode uit het goedgekeurd monitoringmethodiekplan (MMP). Indien hier geen methode voor is opgenomen, wordt een wijziging aan het MMP ingediend</w:t>
      </w:r>
      <w:r w:rsidR="00AF74DD">
        <w:rPr>
          <w:lang w:val="nl-BE"/>
        </w:rPr>
        <w:t>;</w:t>
      </w:r>
    </w:p>
    <w:p w14:paraId="4F1A4B4F" w14:textId="7C007D84" w:rsidR="00A56186" w:rsidRDefault="00A56186" w:rsidP="00843BAA">
      <w:pPr>
        <w:pStyle w:val="Lijstalinea"/>
        <w:numPr>
          <w:ilvl w:val="1"/>
          <w:numId w:val="49"/>
        </w:numPr>
        <w:jc w:val="both"/>
        <w:rPr>
          <w:lang w:val="nl-BE"/>
        </w:rPr>
      </w:pPr>
      <w:r>
        <w:rPr>
          <w:lang w:val="nl-BE"/>
        </w:rPr>
        <w:t>De efficiëntieverbetering t.o.v. de referentiewaarde (uit het baselinerapport) wordt automatisch berekend in de oranje kader. Om in aanmerking te komen voor de uitzondering dient deze waarde groter te zijn dan 15% en ongeveer gelijk te zijn aan de verandering van het activiteitsniveau</w:t>
      </w:r>
      <w:r w:rsidR="00AF74DD">
        <w:rPr>
          <w:lang w:val="nl-BE"/>
        </w:rPr>
        <w:t>;</w:t>
      </w:r>
    </w:p>
    <w:p w14:paraId="39DC247E" w14:textId="3D48B462" w:rsidR="0067176B" w:rsidRDefault="0067176B" w:rsidP="00843BAA">
      <w:pPr>
        <w:pStyle w:val="Lijstalinea"/>
        <w:numPr>
          <w:ilvl w:val="1"/>
          <w:numId w:val="49"/>
        </w:numPr>
        <w:jc w:val="both"/>
        <w:rPr>
          <w:lang w:val="nl-BE"/>
        </w:rPr>
      </w:pPr>
      <w:r>
        <w:rPr>
          <w:lang w:val="nl-BE"/>
        </w:rPr>
        <w:t>Een apart Engelstalig document om de efficiëntieverbetering te beargumenteren.</w:t>
      </w:r>
    </w:p>
    <w:p w14:paraId="54346638" w14:textId="1F69D2D2" w:rsidR="00A56186" w:rsidRPr="0067176B" w:rsidRDefault="005F668A" w:rsidP="0067176B">
      <w:pPr>
        <w:ind w:left="720"/>
        <w:jc w:val="both"/>
        <w:rPr>
          <w:lang w:val="nl-BE"/>
        </w:rPr>
      </w:pPr>
      <w:r w:rsidRPr="0067176B">
        <w:rPr>
          <w:lang w:val="nl-BE"/>
        </w:rPr>
        <w:t xml:space="preserve">Standaard gaat het sjabloon uit van een aanpassing </w:t>
      </w:r>
      <w:r w:rsidR="0034022A" w:rsidRPr="0067176B">
        <w:rPr>
          <w:lang w:val="nl-BE"/>
        </w:rPr>
        <w:t xml:space="preserve">(verlaging) </w:t>
      </w:r>
      <w:r w:rsidRPr="0067176B">
        <w:rPr>
          <w:lang w:val="nl-BE"/>
        </w:rPr>
        <w:t xml:space="preserve">van de toewijzing (dus geen goedkeuring van de uitzondering). </w:t>
      </w:r>
      <w:r w:rsidR="00A56186" w:rsidRPr="0067176B">
        <w:rPr>
          <w:lang w:val="nl-BE"/>
        </w:rPr>
        <w:t xml:space="preserve">Het Vlaams Energie- en Klimaatagentschap (VEKA) </w:t>
      </w:r>
      <w:r w:rsidRPr="0067176B">
        <w:rPr>
          <w:lang w:val="nl-BE"/>
        </w:rPr>
        <w:t xml:space="preserve">moet </w:t>
      </w:r>
      <w:r w:rsidR="0034022A" w:rsidRPr="0067176B">
        <w:rPr>
          <w:lang w:val="nl-BE"/>
        </w:rPr>
        <w:t xml:space="preserve">immers </w:t>
      </w:r>
      <w:r w:rsidR="00A56186" w:rsidRPr="0067176B">
        <w:rPr>
          <w:lang w:val="nl-BE"/>
        </w:rPr>
        <w:t xml:space="preserve">nog zijn goedkeuring geven op de aangevraagde uitzondering (zie hieronder). </w:t>
      </w:r>
    </w:p>
    <w:p w14:paraId="7AE8962A" w14:textId="77777777" w:rsidR="00AF74DD" w:rsidRDefault="00AF74DD" w:rsidP="00AF74DD">
      <w:pPr>
        <w:pStyle w:val="Lijstalinea"/>
        <w:ind w:left="1440"/>
        <w:jc w:val="both"/>
        <w:rPr>
          <w:lang w:val="nl-BE"/>
        </w:rPr>
      </w:pPr>
    </w:p>
    <w:p w14:paraId="5DD8650A" w14:textId="4E199DD5" w:rsidR="00A56186" w:rsidRDefault="00A56186" w:rsidP="00AF74DD">
      <w:pPr>
        <w:pStyle w:val="Lijstalinea"/>
        <w:numPr>
          <w:ilvl w:val="0"/>
          <w:numId w:val="49"/>
        </w:numPr>
        <w:spacing w:before="240"/>
        <w:jc w:val="both"/>
        <w:rPr>
          <w:lang w:val="nl-BE"/>
        </w:rPr>
      </w:pPr>
      <w:r>
        <w:rPr>
          <w:lang w:val="nl-BE"/>
        </w:rPr>
        <w:t xml:space="preserve">Het </w:t>
      </w:r>
      <w:r w:rsidRPr="00A56186">
        <w:rPr>
          <w:b/>
          <w:bCs/>
          <w:lang w:val="nl-BE"/>
        </w:rPr>
        <w:t xml:space="preserve">activiteitsniveau </w:t>
      </w:r>
      <w:r w:rsidR="00AF74DD">
        <w:rPr>
          <w:b/>
          <w:bCs/>
          <w:lang w:val="nl-BE"/>
        </w:rPr>
        <w:t xml:space="preserve">van een warmte of brandstof sub-installatie </w:t>
      </w:r>
      <w:r w:rsidRPr="00A56186">
        <w:rPr>
          <w:b/>
          <w:bCs/>
          <w:lang w:val="nl-BE"/>
        </w:rPr>
        <w:t xml:space="preserve">stijgt </w:t>
      </w:r>
      <w:r w:rsidRPr="00A56186">
        <w:rPr>
          <w:lang w:val="nl-BE"/>
        </w:rPr>
        <w:t>met meer dan 15 %</w:t>
      </w:r>
      <w:r w:rsidR="0067176B">
        <w:rPr>
          <w:lang w:val="nl-BE"/>
        </w:rPr>
        <w:t xml:space="preserve">. In dit geval </w:t>
      </w:r>
      <w:r w:rsidR="0067176B" w:rsidRPr="0067176B">
        <w:rPr>
          <w:b/>
          <w:bCs/>
          <w:lang w:val="nl-BE"/>
        </w:rPr>
        <w:t>moet de</w:t>
      </w:r>
      <w:r w:rsidR="0067176B">
        <w:rPr>
          <w:lang w:val="nl-BE"/>
        </w:rPr>
        <w:t xml:space="preserve"> </w:t>
      </w:r>
      <w:r w:rsidRPr="00AF74DD">
        <w:rPr>
          <w:b/>
          <w:bCs/>
          <w:lang w:val="nl-BE"/>
        </w:rPr>
        <w:t xml:space="preserve">exploitant </w:t>
      </w:r>
      <w:r w:rsidR="00535568">
        <w:rPr>
          <w:b/>
          <w:bCs/>
          <w:lang w:val="nl-BE"/>
        </w:rPr>
        <w:t>bevestigen</w:t>
      </w:r>
      <w:r w:rsidRPr="00AF74DD">
        <w:rPr>
          <w:b/>
          <w:bCs/>
          <w:lang w:val="nl-BE"/>
        </w:rPr>
        <w:t xml:space="preserve"> dat</w:t>
      </w:r>
      <w:r w:rsidRPr="00A56186">
        <w:rPr>
          <w:lang w:val="nl-BE"/>
        </w:rPr>
        <w:t xml:space="preserve"> dit niet veroorzaakt is door een afgenomen energie efficiëntie</w:t>
      </w:r>
      <w:r w:rsidR="00535568">
        <w:rPr>
          <w:lang w:val="nl-BE"/>
        </w:rPr>
        <w:t>. Hiervoor zijn volgende gegevens nodig:</w:t>
      </w:r>
    </w:p>
    <w:p w14:paraId="7C3F80AE" w14:textId="054BE7ED" w:rsidR="00AF74DD" w:rsidRDefault="00AF74DD" w:rsidP="00AF74DD">
      <w:pPr>
        <w:pStyle w:val="Lijstalinea"/>
        <w:numPr>
          <w:ilvl w:val="1"/>
          <w:numId w:val="49"/>
        </w:numPr>
        <w:jc w:val="both"/>
        <w:rPr>
          <w:lang w:val="nl-BE"/>
        </w:rPr>
      </w:pPr>
      <w:r>
        <w:rPr>
          <w:lang w:val="nl-BE"/>
        </w:rPr>
        <w:t>Productienaam volgens de Prodcom-code onder b (bv op rij 64 voor warmte CL);</w:t>
      </w:r>
    </w:p>
    <w:p w14:paraId="2B389F41" w14:textId="331C23DA" w:rsidR="00AF74DD" w:rsidRDefault="00AF74DD" w:rsidP="00AF74DD">
      <w:pPr>
        <w:pStyle w:val="Lijstalinea"/>
        <w:numPr>
          <w:ilvl w:val="1"/>
          <w:numId w:val="49"/>
        </w:numPr>
        <w:jc w:val="both"/>
        <w:rPr>
          <w:lang w:val="nl-BE"/>
        </w:rPr>
      </w:pPr>
      <w:r>
        <w:rPr>
          <w:lang w:val="nl-BE"/>
        </w:rPr>
        <w:t>Herverdeling van het energieverbruik per Prodcom product (b.1) volgens methode uit het goedgekeurd monitoringmethodiekplan (MMP). Indien hier geen methode voor is opgenomen, wordt een wijziging aan het MMP ingediend;</w:t>
      </w:r>
    </w:p>
    <w:p w14:paraId="6EE57D8D" w14:textId="3F030F34" w:rsidR="00AF74DD" w:rsidRDefault="00AF74DD" w:rsidP="00AF74DD">
      <w:pPr>
        <w:pStyle w:val="Lijstalinea"/>
        <w:numPr>
          <w:ilvl w:val="1"/>
          <w:numId w:val="49"/>
        </w:numPr>
        <w:jc w:val="both"/>
        <w:rPr>
          <w:lang w:val="nl-BE"/>
        </w:rPr>
      </w:pPr>
      <w:r>
        <w:rPr>
          <w:lang w:val="nl-BE"/>
        </w:rPr>
        <w:t>De efficiëntieverbetering t.o.v. de referentiewaarde (uit het baselinerapport) wordt automatisch berekend in de oranje kader zodat deze kan vergeleken worden met de stijging in activiteitsniveau</w:t>
      </w:r>
      <w:r w:rsidR="00535568">
        <w:rPr>
          <w:lang w:val="nl-BE"/>
        </w:rPr>
        <w:t>;</w:t>
      </w:r>
    </w:p>
    <w:p w14:paraId="32C75CFD" w14:textId="70B2755F" w:rsidR="00535568" w:rsidRDefault="00535568" w:rsidP="00AF74DD">
      <w:pPr>
        <w:pStyle w:val="Lijstalinea"/>
        <w:numPr>
          <w:ilvl w:val="1"/>
          <w:numId w:val="49"/>
        </w:numPr>
        <w:jc w:val="both"/>
        <w:rPr>
          <w:lang w:val="nl-BE"/>
        </w:rPr>
      </w:pPr>
      <w:r>
        <w:rPr>
          <w:lang w:val="nl-BE"/>
        </w:rPr>
        <w:t>Bevestiging dat de toename van het activiteitsniveau met meer dan 15 %, niet te wijten is aan een afname van de energie efficiëntie, maar aan een toename van het productieniveau. Vul hiertoe de tabel in in tabblad I_MSspecific;</w:t>
      </w:r>
    </w:p>
    <w:p w14:paraId="094DA5CE" w14:textId="1EFA95C5" w:rsidR="0067176B" w:rsidRDefault="0067176B" w:rsidP="00AF74DD">
      <w:pPr>
        <w:pStyle w:val="Lijstalinea"/>
        <w:numPr>
          <w:ilvl w:val="1"/>
          <w:numId w:val="49"/>
        </w:numPr>
        <w:jc w:val="both"/>
        <w:rPr>
          <w:lang w:val="nl-BE"/>
        </w:rPr>
      </w:pPr>
      <w:r>
        <w:rPr>
          <w:lang w:val="nl-BE"/>
        </w:rPr>
        <w:t>Een apart Engelstalig document om de afwezigheid van efficiëntiedaling te beargumenteren.</w:t>
      </w:r>
    </w:p>
    <w:p w14:paraId="5E6369FE" w14:textId="5B4C5B27" w:rsidR="00843BAA" w:rsidRPr="0067176B" w:rsidRDefault="006C10E0" w:rsidP="0067176B">
      <w:pPr>
        <w:ind w:left="720"/>
        <w:jc w:val="both"/>
        <w:rPr>
          <w:lang w:val="nl-BE"/>
        </w:rPr>
      </w:pPr>
      <w:r w:rsidRPr="0067176B">
        <w:rPr>
          <w:lang w:val="nl-BE"/>
        </w:rPr>
        <w:t xml:space="preserve">Standaard gaat het sjabloon uit van een </w:t>
      </w:r>
      <w:r w:rsidR="0034022A" w:rsidRPr="0067176B">
        <w:rPr>
          <w:lang w:val="nl-BE"/>
        </w:rPr>
        <w:t>aanpassing (</w:t>
      </w:r>
      <w:r w:rsidRPr="0067176B">
        <w:rPr>
          <w:lang w:val="nl-BE"/>
        </w:rPr>
        <w:t>verhoging</w:t>
      </w:r>
      <w:r w:rsidR="0034022A" w:rsidRPr="0067176B">
        <w:rPr>
          <w:lang w:val="nl-BE"/>
        </w:rPr>
        <w:t>)</w:t>
      </w:r>
      <w:r w:rsidRPr="0067176B">
        <w:rPr>
          <w:lang w:val="nl-BE"/>
        </w:rPr>
        <w:t xml:space="preserve"> van de toewijzing</w:t>
      </w:r>
      <w:r w:rsidR="005F668A" w:rsidRPr="0067176B">
        <w:rPr>
          <w:lang w:val="nl-BE"/>
        </w:rPr>
        <w:t>. Het Vlaams Energie- en Klimaatagentschap (VEKA) moet echter nog zijn goedkeuring geven op deze verhoging (zie hieronder).</w:t>
      </w:r>
    </w:p>
    <w:p w14:paraId="36C19A1E" w14:textId="47C8C261" w:rsidR="00EE35AE" w:rsidRDefault="008C069D" w:rsidP="00E014A5">
      <w:pPr>
        <w:jc w:val="both"/>
        <w:rPr>
          <w:lang w:val="nl-BE"/>
        </w:rPr>
      </w:pPr>
      <w:r>
        <w:rPr>
          <w:lang w:val="nl-BE"/>
        </w:rPr>
        <w:t xml:space="preserve">De beslissing over het al dan niet aanpassen van de toewijzing op basis van de regels i.v.m. efficiëntieverbetering, moet </w:t>
      </w:r>
      <w:r w:rsidR="00EE35AE">
        <w:rPr>
          <w:lang w:val="nl-BE"/>
        </w:rPr>
        <w:t xml:space="preserve">in voorkomend geval </w:t>
      </w:r>
      <w:r>
        <w:rPr>
          <w:lang w:val="nl-BE"/>
        </w:rPr>
        <w:t xml:space="preserve">worden goedgekeurd door het Vlaams Energie- en Klimaatagentschap (VEKA). Wanneer dit het geval is, </w:t>
      </w:r>
      <w:r w:rsidR="00DF387A">
        <w:rPr>
          <w:lang w:val="nl-BE"/>
        </w:rPr>
        <w:t>wordt automatisch “WAAR” ingevuld in rij 117</w:t>
      </w:r>
      <w:r>
        <w:rPr>
          <w:lang w:val="nl-BE"/>
        </w:rPr>
        <w:t xml:space="preserve"> (“Goedkeuring van de bevoegde autoriteit relevant?”)</w:t>
      </w:r>
      <w:r w:rsidR="00DF387A">
        <w:rPr>
          <w:lang w:val="nl-BE"/>
        </w:rPr>
        <w:t>.</w:t>
      </w:r>
    </w:p>
    <w:p w14:paraId="2FD044BD" w14:textId="3BC2875C" w:rsidR="00EE35AE" w:rsidRDefault="00DF387A" w:rsidP="00E014A5">
      <w:pPr>
        <w:jc w:val="both"/>
        <w:rPr>
          <w:lang w:val="nl-BE"/>
        </w:rPr>
      </w:pPr>
      <w:r>
        <w:rPr>
          <w:lang w:val="nl-BE"/>
        </w:rPr>
        <w:t xml:space="preserve">Als standaardinstelling wordt deze goedkeuring verleend in rij 121 (de bevoegde autoriteit wijst de aanpassing niet af). </w:t>
      </w:r>
      <w:r w:rsidRPr="00047381">
        <w:rPr>
          <w:b/>
          <w:bCs/>
          <w:lang w:val="nl-BE"/>
        </w:rPr>
        <w:t xml:space="preserve">De exploitant </w:t>
      </w:r>
      <w:r w:rsidR="00EE35AE" w:rsidRPr="00047381">
        <w:rPr>
          <w:b/>
          <w:bCs/>
          <w:lang w:val="nl-BE"/>
        </w:rPr>
        <w:t xml:space="preserve">en/of verificatie-instelling mag dit veld zelf </w:t>
      </w:r>
      <w:r w:rsidR="005F668A" w:rsidRPr="00047381">
        <w:rPr>
          <w:b/>
          <w:bCs/>
          <w:lang w:val="nl-BE"/>
        </w:rPr>
        <w:t xml:space="preserve">niet </w:t>
      </w:r>
      <w:r w:rsidR="00EE35AE" w:rsidRPr="00047381">
        <w:rPr>
          <w:b/>
          <w:bCs/>
          <w:lang w:val="nl-BE"/>
        </w:rPr>
        <w:t>aanpassen</w:t>
      </w:r>
      <w:r w:rsidR="008C069D" w:rsidRPr="00047381">
        <w:rPr>
          <w:b/>
          <w:bCs/>
          <w:lang w:val="nl-BE"/>
        </w:rPr>
        <w:t>.</w:t>
      </w:r>
    </w:p>
    <w:p w14:paraId="06B0BC16" w14:textId="142E451C" w:rsidR="00DF387A" w:rsidRDefault="00EE35AE" w:rsidP="00E014A5">
      <w:pPr>
        <w:jc w:val="both"/>
        <w:rPr>
          <w:lang w:val="nl-BE"/>
        </w:rPr>
      </w:pPr>
      <w:r>
        <w:rPr>
          <w:lang w:val="nl-BE"/>
        </w:rPr>
        <w:t xml:space="preserve">Het is aan de exploitant om in een apart Engelstalig document (dat </w:t>
      </w:r>
      <w:r w:rsidR="006101C6">
        <w:rPr>
          <w:lang w:val="nl-BE"/>
        </w:rPr>
        <w:t xml:space="preserve">niet gebonden is aan bepaalde vormvereisten, en </w:t>
      </w:r>
      <w:r>
        <w:rPr>
          <w:lang w:val="nl-BE"/>
        </w:rPr>
        <w:t>meegestuurd dient te worden met het geverifieerd ALC rapport)</w:t>
      </w:r>
      <w:r w:rsidR="006101C6">
        <w:rPr>
          <w:lang w:val="nl-BE"/>
        </w:rPr>
        <w:t xml:space="preserve"> de efficiëntieverbetering/afwezigheid van efficiëntiedaling</w:t>
      </w:r>
      <w:r>
        <w:rPr>
          <w:lang w:val="nl-BE"/>
        </w:rPr>
        <w:t xml:space="preserve"> </w:t>
      </w:r>
      <w:r w:rsidR="006101C6">
        <w:rPr>
          <w:lang w:val="nl-BE"/>
        </w:rPr>
        <w:t xml:space="preserve">te </w:t>
      </w:r>
      <w:r>
        <w:rPr>
          <w:lang w:val="nl-BE"/>
        </w:rPr>
        <w:t>beargumenteren</w:t>
      </w:r>
      <w:r w:rsidR="006101C6">
        <w:rPr>
          <w:lang w:val="nl-BE"/>
        </w:rPr>
        <w:t>.</w:t>
      </w:r>
      <w:r>
        <w:rPr>
          <w:lang w:val="nl-BE"/>
        </w:rPr>
        <w:t xml:space="preserve"> Op basis daarvan, en na eventueel overleg </w:t>
      </w:r>
      <w:r w:rsidR="006101C6">
        <w:rPr>
          <w:lang w:val="nl-BE"/>
        </w:rPr>
        <w:t xml:space="preserve">tussen exploitant en VEKA, </w:t>
      </w:r>
      <w:r>
        <w:rPr>
          <w:lang w:val="nl-BE"/>
        </w:rPr>
        <w:t>zal het VEKA</w:t>
      </w:r>
      <w:r w:rsidR="006101C6">
        <w:rPr>
          <w:lang w:val="nl-BE"/>
        </w:rPr>
        <w:t xml:space="preserve"> al dan niet haar goedkeuring verlenen (onder voorbehoud van mogelijk andere beoordeling door de Europese Commissie)</w:t>
      </w:r>
      <w:r w:rsidR="00047381">
        <w:rPr>
          <w:lang w:val="nl-BE"/>
        </w:rPr>
        <w:t>. Deze beoordeling vindt plaats na indiening van de geverifieerde documenten (na 11 juni 2021).</w:t>
      </w:r>
      <w:r w:rsidR="006101C6">
        <w:rPr>
          <w:lang w:val="nl-BE"/>
        </w:rPr>
        <w:t xml:space="preserve"> </w:t>
      </w:r>
      <w:r w:rsidR="008C069D">
        <w:rPr>
          <w:lang w:val="nl-BE"/>
        </w:rPr>
        <w:t xml:space="preserve">In </w:t>
      </w:r>
      <w:r w:rsidR="006101C6">
        <w:rPr>
          <w:lang w:val="nl-BE"/>
        </w:rPr>
        <w:t xml:space="preserve">voorkomend </w:t>
      </w:r>
      <w:r w:rsidR="008C069D">
        <w:rPr>
          <w:lang w:val="nl-BE"/>
        </w:rPr>
        <w:t xml:space="preserve">geval </w:t>
      </w:r>
      <w:r w:rsidR="006101C6">
        <w:rPr>
          <w:lang w:val="nl-BE"/>
        </w:rPr>
        <w:t xml:space="preserve">zal </w:t>
      </w:r>
      <w:r w:rsidR="008C069D">
        <w:rPr>
          <w:lang w:val="nl-BE"/>
        </w:rPr>
        <w:t xml:space="preserve">aan de exploitant gevraagd </w:t>
      </w:r>
      <w:r w:rsidR="006101C6">
        <w:rPr>
          <w:lang w:val="nl-BE"/>
        </w:rPr>
        <w:t xml:space="preserve">worden </w:t>
      </w:r>
      <w:r w:rsidR="008C069D">
        <w:rPr>
          <w:lang w:val="nl-BE"/>
        </w:rPr>
        <w:t xml:space="preserve">het rapport opnieuw in te dienen. </w:t>
      </w:r>
    </w:p>
    <w:p w14:paraId="0206860C" w14:textId="76C46E9D" w:rsidR="00C9613A" w:rsidRPr="00535568" w:rsidRDefault="00535568" w:rsidP="00B91AC0">
      <w:pPr>
        <w:jc w:val="both"/>
        <w:rPr>
          <w:lang w:val="nl-BE"/>
        </w:rPr>
      </w:pPr>
      <w:r>
        <w:rPr>
          <w:lang w:val="nl-BE"/>
        </w:rPr>
        <w:lastRenderedPageBreak/>
        <w:t xml:space="preserve">In de lichtblauwe kaders wordt reeds de informatie verzameld die zal gebruikt worden bij de benchmark berekening voor de periode 2026-2030. In Vlaanderen wordt deze informatie reeds gevraagd, met het oog op een tijdige en zorgvuldige verzameling van de gegevens. </w:t>
      </w:r>
    </w:p>
    <w:p w14:paraId="69BCC2FE" w14:textId="56941DF7" w:rsidR="008C5164" w:rsidRDefault="008C5164"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t>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H_SpecialBM</w:t>
      </w:r>
    </w:p>
    <w:p w14:paraId="0B4E630E" w14:textId="03E73272" w:rsidR="008C5164" w:rsidRPr="00E014A5" w:rsidRDefault="008C5164" w:rsidP="00C33FB5">
      <w:pPr>
        <w:jc w:val="both"/>
        <w:rPr>
          <w:sz w:val="20"/>
          <w:szCs w:val="20"/>
          <w:lang w:val="nl-BE"/>
        </w:rPr>
      </w:pPr>
      <w:r w:rsidRPr="00E014A5">
        <w:rPr>
          <w:lang w:val="nl-BE"/>
        </w:rPr>
        <w:t xml:space="preserve">Dit tabblad dient enkel ingevuld te worden voor bepaalde productBM sub-installaties (bv. raffinageproducten). Het tabblad lijkt sterk op tabblad H uit het baselinerapport, maar gaat nu over de jaren 2019 en 2020 (voor het eerste rapport over de activiteitsniveaus). </w:t>
      </w:r>
    </w:p>
    <w:p w14:paraId="756D9F25" w14:textId="7F5A91F1" w:rsidR="008C5164" w:rsidRDefault="008C5164" w:rsidP="00C33FB5">
      <w:pPr>
        <w:pStyle w:val="Kop2"/>
        <w:numPr>
          <w:ilvl w:val="1"/>
          <w:numId w:val="32"/>
        </w:numPr>
        <w:jc w:val="both"/>
        <w:rPr>
          <w:rFonts w:asciiTheme="minorHAnsi" w:hAnsiTheme="minorHAnsi" w:cstheme="minorBidi"/>
          <w:sz w:val="24"/>
          <w:szCs w:val="24"/>
          <w:lang w:val="nl-BE"/>
        </w:rPr>
      </w:pPr>
      <w:r>
        <w:rPr>
          <w:rFonts w:asciiTheme="minorHAnsi" w:hAnsiTheme="minorHAnsi" w:cstheme="minorBidi"/>
          <w:sz w:val="24"/>
          <w:szCs w:val="24"/>
          <w:lang w:val="nl-BE"/>
        </w:rPr>
        <w:t>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I_MSspecific</w:t>
      </w:r>
    </w:p>
    <w:p w14:paraId="509DCF19" w14:textId="73541557" w:rsidR="008C5164" w:rsidRDefault="002E77A6" w:rsidP="00C33FB5">
      <w:pPr>
        <w:jc w:val="both"/>
        <w:rPr>
          <w:lang w:val="nl-BE"/>
        </w:rPr>
      </w:pPr>
      <w:r>
        <w:rPr>
          <w:lang w:val="nl-BE"/>
        </w:rPr>
        <w:t xml:space="preserve">Dit dient enkel ingevuld te worden wanneer bij een warmte of brandstof subinstallatie het activiteitsniveau met meer dan </w:t>
      </w:r>
      <w:r w:rsidR="00A40324">
        <w:rPr>
          <w:lang w:val="nl-BE"/>
        </w:rPr>
        <w:t>15 % stijgt (zie uitleg hierboven onder 2.7).</w:t>
      </w:r>
    </w:p>
    <w:p w14:paraId="077B4E94" w14:textId="443F8AC9" w:rsidR="008C5164" w:rsidRDefault="008C5164" w:rsidP="00C33FB5">
      <w:pPr>
        <w:pStyle w:val="Kop2"/>
        <w:jc w:val="both"/>
        <w:rPr>
          <w:rFonts w:asciiTheme="minorHAnsi" w:hAnsiTheme="minorHAnsi" w:cstheme="minorBidi"/>
          <w:sz w:val="24"/>
          <w:szCs w:val="24"/>
          <w:lang w:val="nl-BE"/>
        </w:rPr>
      </w:pPr>
      <w:r>
        <w:rPr>
          <w:rFonts w:asciiTheme="minorHAnsi" w:hAnsiTheme="minorHAnsi" w:cstheme="minorBidi"/>
          <w:sz w:val="24"/>
          <w:szCs w:val="24"/>
          <w:lang w:val="nl-BE"/>
        </w:rPr>
        <w:t>2.10 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J_Comments</w:t>
      </w:r>
    </w:p>
    <w:p w14:paraId="54BC0AF9" w14:textId="6B99E502" w:rsidR="008C5164" w:rsidRDefault="008C5164" w:rsidP="00C33FB5">
      <w:pPr>
        <w:jc w:val="both"/>
        <w:rPr>
          <w:lang w:val="nl-BE"/>
        </w:rPr>
      </w:pPr>
      <w:r>
        <w:rPr>
          <w:lang w:val="nl-BE"/>
        </w:rPr>
        <w:t xml:space="preserve">Zoals ook het geval was in het baselinerapport, moet hier gerefereerd worden naar het verificatierapport en eventuele ondersteunende documenten. Ook een verklaring voor het optreden van data gaps en eventuele extra informatie kunnen hier ingevoerd worden. </w:t>
      </w:r>
    </w:p>
    <w:p w14:paraId="12FEF59E" w14:textId="586E0353" w:rsidR="008C5164" w:rsidRDefault="008C5164" w:rsidP="00C33FB5">
      <w:pPr>
        <w:pStyle w:val="Kop2"/>
        <w:jc w:val="both"/>
        <w:rPr>
          <w:rFonts w:asciiTheme="minorHAnsi" w:hAnsiTheme="minorHAnsi" w:cstheme="minorBidi"/>
          <w:sz w:val="24"/>
          <w:szCs w:val="24"/>
          <w:lang w:val="nl-BE"/>
        </w:rPr>
      </w:pPr>
      <w:r>
        <w:rPr>
          <w:rFonts w:asciiTheme="minorHAnsi" w:hAnsiTheme="minorHAnsi" w:cstheme="minorBidi"/>
          <w:sz w:val="24"/>
          <w:szCs w:val="24"/>
          <w:lang w:val="nl-BE"/>
        </w:rPr>
        <w:t>2.11 T</w:t>
      </w:r>
      <w:r w:rsidRPr="00DA0C12">
        <w:rPr>
          <w:rFonts w:asciiTheme="minorHAnsi" w:hAnsiTheme="minorHAnsi" w:cstheme="minorBidi"/>
          <w:sz w:val="24"/>
          <w:szCs w:val="24"/>
          <w:lang w:val="nl-BE"/>
        </w:rPr>
        <w:t xml:space="preserve">abblad </w:t>
      </w:r>
      <w:r>
        <w:rPr>
          <w:rFonts w:asciiTheme="minorHAnsi" w:hAnsiTheme="minorHAnsi" w:cstheme="minorBidi"/>
          <w:sz w:val="24"/>
          <w:szCs w:val="24"/>
          <w:lang w:val="nl-BE"/>
        </w:rPr>
        <w:t>K_Summary</w:t>
      </w:r>
    </w:p>
    <w:p w14:paraId="5EE5F010" w14:textId="01C4D342" w:rsidR="008C5164" w:rsidRPr="008C5164" w:rsidRDefault="008C5164" w:rsidP="00C33FB5">
      <w:pPr>
        <w:jc w:val="both"/>
        <w:rPr>
          <w:lang w:val="nl-BE"/>
        </w:rPr>
      </w:pPr>
      <w:r>
        <w:rPr>
          <w:lang w:val="nl-BE"/>
        </w:rPr>
        <w:t>H</w:t>
      </w:r>
      <w:r w:rsidRPr="008C5164">
        <w:rPr>
          <w:lang w:val="nl-BE"/>
        </w:rPr>
        <w:t>ier word</w:t>
      </w:r>
      <w:r>
        <w:rPr>
          <w:lang w:val="nl-BE"/>
        </w:rPr>
        <w:t xml:space="preserve">t automatisch een overzicht van de ingevoerde gegevens gegenereerd. </w:t>
      </w:r>
      <w:r w:rsidRPr="008C5164">
        <w:rPr>
          <w:lang w:val="nl-BE"/>
        </w:rPr>
        <w:t xml:space="preserve">Onder IV “Relevante gegevens van subinstallaties t.b.v. toewijzing en bijwerking van benchmarks” </w:t>
      </w:r>
      <w:r>
        <w:rPr>
          <w:lang w:val="nl-BE"/>
        </w:rPr>
        <w:t>kan u</w:t>
      </w:r>
      <w:r w:rsidRPr="008C5164">
        <w:rPr>
          <w:lang w:val="nl-BE"/>
        </w:rPr>
        <w:t xml:space="preserve"> een </w:t>
      </w:r>
      <w:r>
        <w:rPr>
          <w:lang w:val="nl-BE"/>
        </w:rPr>
        <w:t>samenvatting</w:t>
      </w:r>
      <w:r w:rsidRPr="008C5164">
        <w:rPr>
          <w:lang w:val="nl-BE"/>
        </w:rPr>
        <w:t xml:space="preserve"> </w:t>
      </w:r>
      <w:r>
        <w:rPr>
          <w:lang w:val="nl-BE"/>
        </w:rPr>
        <w:t>vinden</w:t>
      </w:r>
      <w:r w:rsidRPr="008C5164">
        <w:rPr>
          <w:lang w:val="nl-BE"/>
        </w:rPr>
        <w:t xml:space="preserve"> van de parameters die een invloed hebben op de eventuele aanpassing van de toewijzing. Wat de resulterende nieuwe toewijzing volgens de ingevulde gegevens zou zijn, wordt gegeven in lijn 592 (voor de eerste sub-installatie). De (indicatieve!) resulterende totale allocatie wordt gegeven in rij 2584.</w:t>
      </w:r>
    </w:p>
    <w:p w14:paraId="00B9AA1D" w14:textId="1BBF43A2" w:rsidR="00775D3F" w:rsidRDefault="00775D3F" w:rsidP="00C33FB5">
      <w:pPr>
        <w:jc w:val="both"/>
        <w:rPr>
          <w:lang w:val="nl-BE"/>
        </w:rPr>
      </w:pPr>
    </w:p>
    <w:p w14:paraId="139250BB" w14:textId="77777777" w:rsidR="00ED524E" w:rsidRPr="00775D3F" w:rsidRDefault="00ED524E" w:rsidP="00C33FB5">
      <w:pPr>
        <w:jc w:val="both"/>
        <w:rPr>
          <w:lang w:val="nl-BE"/>
        </w:rPr>
      </w:pPr>
    </w:p>
    <w:p w14:paraId="5122A3E5" w14:textId="72F79496" w:rsidR="003D6EF8" w:rsidRPr="005A64DA" w:rsidRDefault="003D6EF8" w:rsidP="00C33FB5">
      <w:pPr>
        <w:pStyle w:val="Kop1"/>
        <w:numPr>
          <w:ilvl w:val="0"/>
          <w:numId w:val="32"/>
        </w:numPr>
        <w:jc w:val="both"/>
        <w:rPr>
          <w:rFonts w:asciiTheme="minorHAnsi" w:hAnsiTheme="minorHAnsi" w:cstheme="minorBidi"/>
          <w:b/>
          <w:bCs/>
          <w:color w:val="auto"/>
          <w:sz w:val="28"/>
          <w:szCs w:val="28"/>
          <w:lang w:val="nl-BE"/>
        </w:rPr>
      </w:pPr>
      <w:r w:rsidRPr="23E2087A">
        <w:rPr>
          <w:rFonts w:asciiTheme="minorHAnsi" w:hAnsiTheme="minorHAnsi" w:cstheme="minorBidi"/>
          <w:b/>
          <w:bCs/>
          <w:color w:val="auto"/>
          <w:sz w:val="28"/>
          <w:szCs w:val="28"/>
          <w:lang w:val="nl-BE"/>
        </w:rPr>
        <w:t>Versiebeheer van deze toelichting</w:t>
      </w:r>
    </w:p>
    <w:p w14:paraId="02748653" w14:textId="77777777" w:rsidR="003D6EF8" w:rsidRPr="003D6EF8" w:rsidRDefault="003D6EF8" w:rsidP="00C33FB5">
      <w:pPr>
        <w:pStyle w:val="Lijstalinea"/>
        <w:spacing w:before="240" w:after="0" w:line="240" w:lineRule="auto"/>
        <w:ind w:left="360"/>
        <w:jc w:val="both"/>
        <w:rPr>
          <w:b/>
          <w:bCs/>
          <w:color w:val="1C1A15"/>
          <w:sz w:val="28"/>
          <w:szCs w:val="28"/>
          <w:lang w:val="nl-BE"/>
        </w:rPr>
      </w:pPr>
    </w:p>
    <w:tbl>
      <w:tblPr>
        <w:tblStyle w:val="Tabelraster"/>
        <w:tblW w:w="0" w:type="auto"/>
        <w:tblLook w:val="04A0" w:firstRow="1" w:lastRow="0" w:firstColumn="1" w:lastColumn="0" w:noHBand="0" w:noVBand="1"/>
      </w:tblPr>
      <w:tblGrid>
        <w:gridCol w:w="988"/>
        <w:gridCol w:w="1417"/>
        <w:gridCol w:w="6611"/>
      </w:tblGrid>
      <w:tr w:rsidR="003D6EF8" w14:paraId="207DDA02" w14:textId="77777777" w:rsidTr="003D6EF8">
        <w:tc>
          <w:tcPr>
            <w:tcW w:w="988" w:type="dxa"/>
            <w:tcBorders>
              <w:top w:val="single" w:sz="4" w:space="0" w:color="auto"/>
              <w:left w:val="single" w:sz="4" w:space="0" w:color="auto"/>
              <w:bottom w:val="single" w:sz="4" w:space="0" w:color="auto"/>
              <w:right w:val="single" w:sz="4" w:space="0" w:color="auto"/>
            </w:tcBorders>
            <w:shd w:val="pct10" w:color="auto" w:fill="auto"/>
            <w:hideMark/>
          </w:tcPr>
          <w:p w14:paraId="7F139466" w14:textId="77777777" w:rsidR="003D6EF8" w:rsidRPr="0066724E" w:rsidRDefault="003D6EF8" w:rsidP="00C33FB5">
            <w:pPr>
              <w:jc w:val="both"/>
              <w:rPr>
                <w:rFonts w:cstheme="minorHAnsi"/>
                <w:b/>
                <w:bCs/>
              </w:rPr>
            </w:pPr>
            <w:r w:rsidRPr="0066724E">
              <w:rPr>
                <w:rFonts w:cstheme="minorHAnsi"/>
                <w:b/>
                <w:bCs/>
              </w:rPr>
              <w:t>Versie</w:t>
            </w:r>
          </w:p>
        </w:tc>
        <w:tc>
          <w:tcPr>
            <w:tcW w:w="1417" w:type="dxa"/>
            <w:tcBorders>
              <w:top w:val="single" w:sz="4" w:space="0" w:color="auto"/>
              <w:left w:val="single" w:sz="4" w:space="0" w:color="auto"/>
              <w:bottom w:val="single" w:sz="4" w:space="0" w:color="auto"/>
              <w:right w:val="single" w:sz="4" w:space="0" w:color="auto"/>
            </w:tcBorders>
            <w:shd w:val="pct10" w:color="auto" w:fill="auto"/>
            <w:hideMark/>
          </w:tcPr>
          <w:p w14:paraId="2D31168D" w14:textId="1D9E36D2" w:rsidR="003D6EF8" w:rsidRPr="0066724E" w:rsidRDefault="000B08F2" w:rsidP="00C33FB5">
            <w:pPr>
              <w:jc w:val="both"/>
              <w:rPr>
                <w:rFonts w:cstheme="minorHAnsi"/>
                <w:b/>
                <w:bCs/>
              </w:rPr>
            </w:pPr>
            <w:r w:rsidRPr="0066724E">
              <w:rPr>
                <w:rFonts w:cstheme="minorHAnsi"/>
                <w:b/>
                <w:bCs/>
              </w:rPr>
              <w:t>D</w:t>
            </w:r>
            <w:r w:rsidR="003D6EF8" w:rsidRPr="0066724E">
              <w:rPr>
                <w:rFonts w:cstheme="minorHAnsi"/>
                <w:b/>
                <w:bCs/>
              </w:rPr>
              <w:t>atum</w:t>
            </w:r>
          </w:p>
        </w:tc>
        <w:tc>
          <w:tcPr>
            <w:tcW w:w="6611" w:type="dxa"/>
            <w:tcBorders>
              <w:top w:val="single" w:sz="4" w:space="0" w:color="auto"/>
              <w:left w:val="single" w:sz="4" w:space="0" w:color="auto"/>
              <w:bottom w:val="single" w:sz="4" w:space="0" w:color="auto"/>
              <w:right w:val="single" w:sz="4" w:space="0" w:color="auto"/>
            </w:tcBorders>
            <w:shd w:val="pct10" w:color="auto" w:fill="auto"/>
            <w:hideMark/>
          </w:tcPr>
          <w:p w14:paraId="4F3ADEB0" w14:textId="77777777" w:rsidR="003D6EF8" w:rsidRPr="0066724E" w:rsidRDefault="003D6EF8" w:rsidP="00C33FB5">
            <w:pPr>
              <w:jc w:val="both"/>
              <w:rPr>
                <w:rFonts w:cstheme="minorHAnsi"/>
                <w:b/>
                <w:bCs/>
              </w:rPr>
            </w:pPr>
            <w:r w:rsidRPr="0066724E">
              <w:rPr>
                <w:rFonts w:cstheme="minorHAnsi"/>
                <w:b/>
                <w:bCs/>
              </w:rPr>
              <w:t>Omschrijving</w:t>
            </w:r>
          </w:p>
        </w:tc>
      </w:tr>
      <w:tr w:rsidR="003D6EF8" w14:paraId="522049D3" w14:textId="77777777" w:rsidTr="003D6EF8">
        <w:tc>
          <w:tcPr>
            <w:tcW w:w="988" w:type="dxa"/>
            <w:tcBorders>
              <w:top w:val="single" w:sz="4" w:space="0" w:color="auto"/>
              <w:left w:val="single" w:sz="4" w:space="0" w:color="auto"/>
              <w:bottom w:val="single" w:sz="4" w:space="0" w:color="auto"/>
              <w:right w:val="single" w:sz="4" w:space="0" w:color="auto"/>
            </w:tcBorders>
            <w:hideMark/>
          </w:tcPr>
          <w:p w14:paraId="172150ED" w14:textId="77777777" w:rsidR="003D6EF8" w:rsidRDefault="003D6EF8" w:rsidP="00C33FB5">
            <w:pPr>
              <w:jc w:val="both"/>
              <w:rPr>
                <w:rFonts w:cstheme="minorHAnsi"/>
              </w:rPr>
            </w:pPr>
            <w:r>
              <w:rPr>
                <w:rFonts w:cstheme="minorHAnsi"/>
              </w:rPr>
              <w:t>1</w:t>
            </w:r>
          </w:p>
        </w:tc>
        <w:tc>
          <w:tcPr>
            <w:tcW w:w="1417" w:type="dxa"/>
            <w:tcBorders>
              <w:top w:val="single" w:sz="4" w:space="0" w:color="auto"/>
              <w:left w:val="single" w:sz="4" w:space="0" w:color="auto"/>
              <w:bottom w:val="single" w:sz="4" w:space="0" w:color="auto"/>
              <w:right w:val="single" w:sz="4" w:space="0" w:color="auto"/>
            </w:tcBorders>
            <w:hideMark/>
          </w:tcPr>
          <w:p w14:paraId="742A5189" w14:textId="02525CF7" w:rsidR="003D6EF8" w:rsidRPr="003F3272" w:rsidRDefault="006101C6" w:rsidP="00C33FB5">
            <w:pPr>
              <w:jc w:val="both"/>
              <w:rPr>
                <w:rFonts w:cstheme="minorHAnsi"/>
                <w:lang w:val="nl-BE"/>
              </w:rPr>
            </w:pPr>
            <w:r>
              <w:rPr>
                <w:rFonts w:cstheme="minorHAnsi"/>
                <w:lang w:val="nl-BE"/>
              </w:rPr>
              <w:t>2</w:t>
            </w:r>
            <w:r w:rsidR="00535568">
              <w:rPr>
                <w:rFonts w:cstheme="minorHAnsi"/>
                <w:lang w:val="nl-BE"/>
              </w:rPr>
              <w:t>-April-2021</w:t>
            </w:r>
          </w:p>
        </w:tc>
        <w:tc>
          <w:tcPr>
            <w:tcW w:w="6611" w:type="dxa"/>
            <w:tcBorders>
              <w:top w:val="single" w:sz="4" w:space="0" w:color="auto"/>
              <w:left w:val="single" w:sz="4" w:space="0" w:color="auto"/>
              <w:bottom w:val="single" w:sz="4" w:space="0" w:color="auto"/>
              <w:right w:val="single" w:sz="4" w:space="0" w:color="auto"/>
            </w:tcBorders>
            <w:hideMark/>
          </w:tcPr>
          <w:p w14:paraId="1686F2E0" w14:textId="2BC10F33" w:rsidR="003D6EF8" w:rsidRPr="003F3272" w:rsidRDefault="003D6EF8" w:rsidP="00C33FB5">
            <w:pPr>
              <w:jc w:val="both"/>
              <w:rPr>
                <w:rFonts w:cstheme="minorHAnsi"/>
                <w:lang w:val="nl-BE"/>
              </w:rPr>
            </w:pPr>
            <w:r>
              <w:rPr>
                <w:rFonts w:cstheme="minorHAnsi"/>
              </w:rPr>
              <w:t xml:space="preserve">Initiële </w:t>
            </w:r>
            <w:r w:rsidR="003F3272">
              <w:rPr>
                <w:rFonts w:cstheme="minorHAnsi"/>
                <w:lang w:val="nl-BE"/>
              </w:rPr>
              <w:t>opmaak van de toelichting</w:t>
            </w:r>
          </w:p>
        </w:tc>
      </w:tr>
      <w:tr w:rsidR="00B811A5" w14:paraId="4DFEC1F7" w14:textId="77777777" w:rsidTr="003D6EF8">
        <w:tc>
          <w:tcPr>
            <w:tcW w:w="988" w:type="dxa"/>
            <w:tcBorders>
              <w:top w:val="single" w:sz="4" w:space="0" w:color="auto"/>
              <w:left w:val="single" w:sz="4" w:space="0" w:color="auto"/>
              <w:bottom w:val="single" w:sz="4" w:space="0" w:color="auto"/>
              <w:right w:val="single" w:sz="4" w:space="0" w:color="auto"/>
            </w:tcBorders>
          </w:tcPr>
          <w:p w14:paraId="457EC849" w14:textId="265735C9" w:rsidR="00B811A5" w:rsidRPr="00B811A5" w:rsidRDefault="00DC5432" w:rsidP="00C33FB5">
            <w:pPr>
              <w:jc w:val="both"/>
              <w:rPr>
                <w:rFonts w:cstheme="minorHAnsi"/>
                <w:lang w:val="nl-BE"/>
              </w:rPr>
            </w:pPr>
            <w:r>
              <w:rPr>
                <w:rFonts w:cstheme="minorHAnsi"/>
                <w:lang w:val="nl-BE"/>
              </w:rPr>
              <w:t>2</w:t>
            </w:r>
          </w:p>
        </w:tc>
        <w:tc>
          <w:tcPr>
            <w:tcW w:w="1417" w:type="dxa"/>
            <w:tcBorders>
              <w:top w:val="single" w:sz="4" w:space="0" w:color="auto"/>
              <w:left w:val="single" w:sz="4" w:space="0" w:color="auto"/>
              <w:bottom w:val="single" w:sz="4" w:space="0" w:color="auto"/>
              <w:right w:val="single" w:sz="4" w:space="0" w:color="auto"/>
            </w:tcBorders>
          </w:tcPr>
          <w:p w14:paraId="2BD66C4A" w14:textId="7D3DB51A" w:rsidR="00B811A5" w:rsidRDefault="00B811A5" w:rsidP="00C33FB5">
            <w:pPr>
              <w:jc w:val="both"/>
              <w:rPr>
                <w:rFonts w:cstheme="minorHAnsi"/>
                <w:lang w:val="nl-BE"/>
              </w:rPr>
            </w:pPr>
            <w:r>
              <w:rPr>
                <w:rFonts w:cstheme="minorHAnsi"/>
                <w:lang w:val="nl-BE"/>
              </w:rPr>
              <w:t>3-Mei-2021</w:t>
            </w:r>
          </w:p>
        </w:tc>
        <w:tc>
          <w:tcPr>
            <w:tcW w:w="6611" w:type="dxa"/>
            <w:tcBorders>
              <w:top w:val="single" w:sz="4" w:space="0" w:color="auto"/>
              <w:left w:val="single" w:sz="4" w:space="0" w:color="auto"/>
              <w:bottom w:val="single" w:sz="4" w:space="0" w:color="auto"/>
              <w:right w:val="single" w:sz="4" w:space="0" w:color="auto"/>
            </w:tcBorders>
          </w:tcPr>
          <w:p w14:paraId="01B57E7E" w14:textId="457041C5" w:rsidR="00631B08" w:rsidRDefault="00631B08" w:rsidP="00C33FB5">
            <w:pPr>
              <w:jc w:val="both"/>
              <w:rPr>
                <w:rFonts w:cstheme="minorHAnsi"/>
                <w:lang w:val="nl-BE"/>
              </w:rPr>
            </w:pPr>
            <w:r>
              <w:rPr>
                <w:rFonts w:cstheme="minorHAnsi"/>
                <w:lang w:val="nl-BE"/>
              </w:rPr>
              <w:t>Toevoegen link naar guidance document 4 onder 1</w:t>
            </w:r>
          </w:p>
          <w:p w14:paraId="5C052F91" w14:textId="19FFB452" w:rsidR="00B811A5" w:rsidRPr="00B811A5" w:rsidRDefault="00B811A5" w:rsidP="00C33FB5">
            <w:pPr>
              <w:jc w:val="both"/>
              <w:rPr>
                <w:rFonts w:cstheme="minorHAnsi"/>
                <w:lang w:val="nl-BE"/>
              </w:rPr>
            </w:pPr>
            <w:r>
              <w:rPr>
                <w:rFonts w:cstheme="minorHAnsi"/>
                <w:lang w:val="nl-BE"/>
              </w:rPr>
              <w:t>Toevoegen link gegevensbestand DG CLIMA onder 2.2</w:t>
            </w:r>
          </w:p>
        </w:tc>
      </w:tr>
    </w:tbl>
    <w:p w14:paraId="20EB039C" w14:textId="44BE79BD" w:rsidR="00E2701A" w:rsidRDefault="00E2701A" w:rsidP="00C33FB5">
      <w:pPr>
        <w:autoSpaceDE w:val="0"/>
        <w:autoSpaceDN w:val="0"/>
        <w:adjustRightInd w:val="0"/>
        <w:spacing w:after="0" w:line="240" w:lineRule="auto"/>
        <w:jc w:val="both"/>
        <w:rPr>
          <w:lang w:val="nl-BE"/>
        </w:rPr>
      </w:pPr>
    </w:p>
    <w:p w14:paraId="56D8EFFD" w14:textId="52119E20" w:rsidR="001040D0" w:rsidRDefault="001040D0" w:rsidP="00C33FB5">
      <w:pPr>
        <w:jc w:val="both"/>
        <w:rPr>
          <w:rFonts w:eastAsiaTheme="majorEastAsia" w:cstheme="minorHAnsi"/>
          <w:b/>
          <w:bCs/>
          <w:sz w:val="32"/>
          <w:szCs w:val="32"/>
          <w:lang w:val="nl-BE"/>
        </w:rPr>
      </w:pPr>
    </w:p>
    <w:sectPr w:rsidR="001040D0" w:rsidSect="00D8478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18C18" w14:textId="77777777" w:rsidR="00C33FB5" w:rsidRDefault="00C33FB5" w:rsidP="008D1B84">
      <w:pPr>
        <w:spacing w:after="0" w:line="240" w:lineRule="auto"/>
      </w:pPr>
      <w:r>
        <w:separator/>
      </w:r>
    </w:p>
  </w:endnote>
  <w:endnote w:type="continuationSeparator" w:id="0">
    <w:p w14:paraId="07EE78A8" w14:textId="77777777" w:rsidR="00C33FB5" w:rsidRDefault="00C33FB5" w:rsidP="008D1B84">
      <w:pPr>
        <w:spacing w:after="0" w:line="240" w:lineRule="auto"/>
      </w:pPr>
      <w:r>
        <w:continuationSeparator/>
      </w:r>
    </w:p>
  </w:endnote>
  <w:endnote w:type="continuationNotice" w:id="1">
    <w:p w14:paraId="6789A9D0" w14:textId="77777777" w:rsidR="00C33FB5" w:rsidRDefault="00C33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E709" w14:textId="77777777" w:rsidR="00C33FB5" w:rsidRDefault="00C33F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653423"/>
      <w:docPartObj>
        <w:docPartGallery w:val="Page Numbers (Bottom of Page)"/>
        <w:docPartUnique/>
      </w:docPartObj>
    </w:sdtPr>
    <w:sdtEndPr/>
    <w:sdtContent>
      <w:p w14:paraId="7A16CF50" w14:textId="4944172E" w:rsidR="00C33FB5" w:rsidRDefault="00C33FB5">
        <w:pPr>
          <w:pStyle w:val="Voettekst"/>
          <w:jc w:val="right"/>
        </w:pPr>
        <w:r>
          <w:fldChar w:fldCharType="begin"/>
        </w:r>
        <w:r>
          <w:instrText>PAGE   \* MERGEFORMAT</w:instrText>
        </w:r>
        <w:r>
          <w:fldChar w:fldCharType="separate"/>
        </w:r>
        <w:r>
          <w:rPr>
            <w:lang w:val="nl-NL"/>
          </w:rPr>
          <w:t>2</w:t>
        </w:r>
        <w:r>
          <w:fldChar w:fldCharType="end"/>
        </w:r>
      </w:p>
    </w:sdtContent>
  </w:sdt>
  <w:p w14:paraId="33B287E7" w14:textId="77777777" w:rsidR="00C33FB5" w:rsidRDefault="00C33F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7AFF" w14:textId="77777777" w:rsidR="00C33FB5" w:rsidRDefault="00C33F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D3F7" w14:textId="77777777" w:rsidR="00C33FB5" w:rsidRDefault="00C33FB5" w:rsidP="008D1B84">
      <w:pPr>
        <w:spacing w:after="0" w:line="240" w:lineRule="auto"/>
      </w:pPr>
      <w:r>
        <w:separator/>
      </w:r>
    </w:p>
  </w:footnote>
  <w:footnote w:type="continuationSeparator" w:id="0">
    <w:p w14:paraId="3962D85F" w14:textId="77777777" w:rsidR="00C33FB5" w:rsidRDefault="00C33FB5" w:rsidP="008D1B84">
      <w:pPr>
        <w:spacing w:after="0" w:line="240" w:lineRule="auto"/>
      </w:pPr>
      <w:r>
        <w:continuationSeparator/>
      </w:r>
    </w:p>
  </w:footnote>
  <w:footnote w:type="continuationNotice" w:id="1">
    <w:p w14:paraId="2AA79497" w14:textId="77777777" w:rsidR="00C33FB5" w:rsidRDefault="00C33FB5">
      <w:pPr>
        <w:spacing w:after="0" w:line="240" w:lineRule="auto"/>
      </w:pPr>
    </w:p>
  </w:footnote>
  <w:footnote w:id="2">
    <w:p w14:paraId="01D1DA3D" w14:textId="0D0A592B" w:rsidR="00072A01" w:rsidRPr="00047381" w:rsidRDefault="00072A01" w:rsidP="00047381">
      <w:pPr>
        <w:pStyle w:val="Voetnoottekst"/>
        <w:tabs>
          <w:tab w:val="left" w:pos="284"/>
        </w:tabs>
        <w:ind w:left="284" w:hanging="284"/>
        <w:jc w:val="both"/>
        <w:rPr>
          <w:lang w:val="nl-BE"/>
        </w:rPr>
      </w:pPr>
      <w:r>
        <w:rPr>
          <w:rStyle w:val="Voetnootmarkering"/>
        </w:rPr>
        <w:footnoteRef/>
      </w:r>
      <w:r>
        <w:t xml:space="preserve"> </w:t>
      </w:r>
      <w:r>
        <w:rPr>
          <w:lang w:val="nl-BE"/>
        </w:rPr>
        <w:tab/>
        <w:t>Art. 3, 2. van uitvoeringsverordening (EU) 201</w:t>
      </w:r>
      <w:r w:rsidRPr="00072A01">
        <w:rPr>
          <w:lang w:val="nl-BE"/>
        </w:rPr>
        <w:t>9/1842</w:t>
      </w:r>
      <w:r>
        <w:rPr>
          <w:lang w:val="nl-BE"/>
        </w:rPr>
        <w:t xml:space="preserve"> van de Commissie </w:t>
      </w:r>
      <w:r w:rsidRPr="00072A01">
        <w:rPr>
          <w:lang w:val="nl-BE"/>
        </w:rPr>
        <w:t>van 31 oktober 2019</w:t>
      </w:r>
      <w:r>
        <w:rPr>
          <w:lang w:val="nl-BE"/>
        </w:rPr>
        <w:t xml:space="preserve"> </w:t>
      </w:r>
      <w:r w:rsidRPr="00072A01">
        <w:rPr>
          <w:lang w:val="nl-BE"/>
        </w:rPr>
        <w:t xml:space="preserve">tot </w:t>
      </w:r>
      <w:r>
        <w:rPr>
          <w:lang w:val="nl-BE"/>
        </w:rPr>
        <w:t>v</w:t>
      </w:r>
      <w:r w:rsidRPr="00072A01">
        <w:rPr>
          <w:lang w:val="nl-BE"/>
        </w:rPr>
        <w:t>aststelling van bepalingen ter uitvoering van Richtlijn 2003/87/EG van het Europees Parlement</w:t>
      </w:r>
      <w:r>
        <w:rPr>
          <w:lang w:val="nl-BE"/>
        </w:rPr>
        <w:t xml:space="preserve"> </w:t>
      </w:r>
      <w:r w:rsidRPr="00072A01">
        <w:rPr>
          <w:lang w:val="nl-BE"/>
        </w:rPr>
        <w:t>en de Raad wat de verdere regelingen voor de aanpassingen van de kosteloze toewijzing van</w:t>
      </w:r>
      <w:r>
        <w:rPr>
          <w:lang w:val="nl-BE"/>
        </w:rPr>
        <w:t xml:space="preserve"> </w:t>
      </w:r>
      <w:r w:rsidRPr="00072A01">
        <w:rPr>
          <w:lang w:val="nl-BE"/>
        </w:rPr>
        <w:t>emissierechten als gevolg van veranderingen in het activiteitsniveau betreft</w:t>
      </w:r>
      <w:r>
        <w:rPr>
          <w:lang w:val="nl-BE"/>
        </w:rPr>
        <w:t>, bepaalt: “</w:t>
      </w:r>
      <w:r w:rsidRPr="00072A01">
        <w:rPr>
          <w:lang w:val="nl-BE"/>
        </w:rPr>
        <w:t>Het verslag over het activiteitsniveau bevat ook informatie</w:t>
      </w:r>
      <w:r>
        <w:rPr>
          <w:lang w:val="nl-BE"/>
        </w:rPr>
        <w:t xml:space="preserve"> </w:t>
      </w:r>
      <w:r w:rsidRPr="00072A01">
        <w:rPr>
          <w:lang w:val="nl-BE"/>
        </w:rPr>
        <w:t xml:space="preserve">over de structuur van de eventuele groep waartoe de installatie behoort </w:t>
      </w:r>
      <w:r>
        <w:rPr>
          <w:lang w:val="nl-BE"/>
        </w:rPr>
        <w:t>[…]</w:t>
      </w:r>
      <w:r w:rsidRPr="00072A01">
        <w:rPr>
          <w:lang w:val="nl-BE"/>
        </w:rPr>
        <w:t>.</w:t>
      </w:r>
    </w:p>
  </w:footnote>
  <w:footnote w:id="3">
    <w:p w14:paraId="44A4A6FD" w14:textId="47F77622" w:rsidR="001939C8" w:rsidRPr="00047381" w:rsidRDefault="001939C8" w:rsidP="00047381">
      <w:pPr>
        <w:pStyle w:val="Voetnoottekst"/>
        <w:tabs>
          <w:tab w:val="left" w:pos="284"/>
        </w:tabs>
        <w:ind w:left="284" w:hanging="284"/>
        <w:jc w:val="both"/>
        <w:rPr>
          <w:lang w:val="nl-BE"/>
        </w:rPr>
      </w:pPr>
      <w:r>
        <w:rPr>
          <w:rStyle w:val="Voetnootmarkering"/>
        </w:rPr>
        <w:footnoteRef/>
      </w:r>
      <w:r>
        <w:t xml:space="preserve"> </w:t>
      </w:r>
      <w:r>
        <w:rPr>
          <w:lang w:val="nl-BE"/>
        </w:rPr>
        <w:tab/>
        <w:t>Door deze toewijzing van emissies aan sub-installaties nu op te vragen (en te laten verifiëren) wordt vermeden dat deze oefening pas plaatsvindt bij de opstelling van het baseline data rapport bij aanvang van de handelsperiode 2026-2030.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CC81" w14:textId="77777777" w:rsidR="00C33FB5" w:rsidRDefault="00C33F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34E2" w14:textId="77777777" w:rsidR="00C33FB5" w:rsidRDefault="00C33F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00D05" w14:textId="77777777" w:rsidR="00C33FB5" w:rsidRDefault="00C33F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5AC"/>
    <w:multiLevelType w:val="multilevel"/>
    <w:tmpl w:val="BEE4B710"/>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976CA"/>
    <w:multiLevelType w:val="hybridMultilevel"/>
    <w:tmpl w:val="0DEC8B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6529AA"/>
    <w:multiLevelType w:val="hybridMultilevel"/>
    <w:tmpl w:val="8D28BD9A"/>
    <w:lvl w:ilvl="0" w:tplc="69707344">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F0928"/>
    <w:multiLevelType w:val="multilevel"/>
    <w:tmpl w:val="9ED6FFC2"/>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B6353D"/>
    <w:multiLevelType w:val="hybridMultilevel"/>
    <w:tmpl w:val="59B6076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0E120A71"/>
    <w:multiLevelType w:val="hybridMultilevel"/>
    <w:tmpl w:val="06E03ECC"/>
    <w:lvl w:ilvl="0" w:tplc="0C000001">
      <w:start w:val="1"/>
      <w:numFmt w:val="bullet"/>
      <w:lvlText w:val=""/>
      <w:lvlJc w:val="left"/>
      <w:pPr>
        <w:ind w:left="-37" w:hanging="360"/>
      </w:pPr>
      <w:rPr>
        <w:rFonts w:ascii="Symbol" w:hAnsi="Symbol" w:hint="default"/>
      </w:rPr>
    </w:lvl>
    <w:lvl w:ilvl="1" w:tplc="0C000001">
      <w:start w:val="1"/>
      <w:numFmt w:val="bullet"/>
      <w:lvlText w:val=""/>
      <w:lvlJc w:val="left"/>
      <w:pPr>
        <w:ind w:left="683" w:hanging="360"/>
      </w:pPr>
      <w:rPr>
        <w:rFonts w:ascii="Symbol" w:hAnsi="Symbol" w:hint="default"/>
      </w:rPr>
    </w:lvl>
    <w:lvl w:ilvl="2" w:tplc="0C000005" w:tentative="1">
      <w:start w:val="1"/>
      <w:numFmt w:val="bullet"/>
      <w:lvlText w:val=""/>
      <w:lvlJc w:val="left"/>
      <w:pPr>
        <w:ind w:left="1403" w:hanging="360"/>
      </w:pPr>
      <w:rPr>
        <w:rFonts w:ascii="Wingdings" w:hAnsi="Wingdings" w:hint="default"/>
      </w:rPr>
    </w:lvl>
    <w:lvl w:ilvl="3" w:tplc="0C000001" w:tentative="1">
      <w:start w:val="1"/>
      <w:numFmt w:val="bullet"/>
      <w:lvlText w:val=""/>
      <w:lvlJc w:val="left"/>
      <w:pPr>
        <w:ind w:left="2123" w:hanging="360"/>
      </w:pPr>
      <w:rPr>
        <w:rFonts w:ascii="Symbol" w:hAnsi="Symbol" w:hint="default"/>
      </w:rPr>
    </w:lvl>
    <w:lvl w:ilvl="4" w:tplc="0C000003" w:tentative="1">
      <w:start w:val="1"/>
      <w:numFmt w:val="bullet"/>
      <w:lvlText w:val="o"/>
      <w:lvlJc w:val="left"/>
      <w:pPr>
        <w:ind w:left="2843" w:hanging="360"/>
      </w:pPr>
      <w:rPr>
        <w:rFonts w:ascii="Courier New" w:hAnsi="Courier New" w:cs="Courier New" w:hint="default"/>
      </w:rPr>
    </w:lvl>
    <w:lvl w:ilvl="5" w:tplc="0C000005" w:tentative="1">
      <w:start w:val="1"/>
      <w:numFmt w:val="bullet"/>
      <w:lvlText w:val=""/>
      <w:lvlJc w:val="left"/>
      <w:pPr>
        <w:ind w:left="3563" w:hanging="360"/>
      </w:pPr>
      <w:rPr>
        <w:rFonts w:ascii="Wingdings" w:hAnsi="Wingdings" w:hint="default"/>
      </w:rPr>
    </w:lvl>
    <w:lvl w:ilvl="6" w:tplc="0C000001" w:tentative="1">
      <w:start w:val="1"/>
      <w:numFmt w:val="bullet"/>
      <w:lvlText w:val=""/>
      <w:lvlJc w:val="left"/>
      <w:pPr>
        <w:ind w:left="4283" w:hanging="360"/>
      </w:pPr>
      <w:rPr>
        <w:rFonts w:ascii="Symbol" w:hAnsi="Symbol" w:hint="default"/>
      </w:rPr>
    </w:lvl>
    <w:lvl w:ilvl="7" w:tplc="0C000003" w:tentative="1">
      <w:start w:val="1"/>
      <w:numFmt w:val="bullet"/>
      <w:lvlText w:val="o"/>
      <w:lvlJc w:val="left"/>
      <w:pPr>
        <w:ind w:left="5003" w:hanging="360"/>
      </w:pPr>
      <w:rPr>
        <w:rFonts w:ascii="Courier New" w:hAnsi="Courier New" w:cs="Courier New" w:hint="default"/>
      </w:rPr>
    </w:lvl>
    <w:lvl w:ilvl="8" w:tplc="0C000005" w:tentative="1">
      <w:start w:val="1"/>
      <w:numFmt w:val="bullet"/>
      <w:lvlText w:val=""/>
      <w:lvlJc w:val="left"/>
      <w:pPr>
        <w:ind w:left="5723" w:hanging="360"/>
      </w:pPr>
      <w:rPr>
        <w:rFonts w:ascii="Wingdings" w:hAnsi="Wingdings" w:hint="default"/>
      </w:rPr>
    </w:lvl>
  </w:abstractNum>
  <w:abstractNum w:abstractNumId="6" w15:restartNumberingAfterBreak="0">
    <w:nsid w:val="0F8B0912"/>
    <w:multiLevelType w:val="multilevel"/>
    <w:tmpl w:val="66D0D1D4"/>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361044"/>
    <w:multiLevelType w:val="hybridMultilevel"/>
    <w:tmpl w:val="2460FE0E"/>
    <w:lvl w:ilvl="0" w:tplc="207218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59519E"/>
    <w:multiLevelType w:val="hybridMultilevel"/>
    <w:tmpl w:val="CBE0C55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1E06C92"/>
    <w:multiLevelType w:val="hybridMultilevel"/>
    <w:tmpl w:val="E0D86F66"/>
    <w:lvl w:ilvl="0" w:tplc="0813000F">
      <w:start w:val="1"/>
      <w:numFmt w:val="decimal"/>
      <w:lvlText w:val="%1."/>
      <w:lvlJc w:val="left"/>
      <w:pPr>
        <w:ind w:left="1429" w:hanging="360"/>
      </w:pPr>
      <w:rPr>
        <w:rFonts w:hint="default"/>
        <w:sz w:val="22"/>
        <w:szCs w:val="22"/>
      </w:rPr>
    </w:lvl>
    <w:lvl w:ilvl="1" w:tplc="08130019">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0" w15:restartNumberingAfterBreak="0">
    <w:nsid w:val="11E70B03"/>
    <w:multiLevelType w:val="hybridMultilevel"/>
    <w:tmpl w:val="342E452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3107FFD"/>
    <w:multiLevelType w:val="hybridMultilevel"/>
    <w:tmpl w:val="8A2665A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5F5087A"/>
    <w:multiLevelType w:val="hybridMultilevel"/>
    <w:tmpl w:val="E710D6E8"/>
    <w:lvl w:ilvl="0" w:tplc="3BAED0C4">
      <w:numFmt w:val="none"/>
      <w:lvlText w:val=""/>
      <w:lvlJc w:val="left"/>
      <w:pPr>
        <w:tabs>
          <w:tab w:val="num" w:pos="360"/>
        </w:tabs>
      </w:pPr>
    </w:lvl>
    <w:lvl w:ilvl="1" w:tplc="70EC941C">
      <w:start w:val="1"/>
      <w:numFmt w:val="lowerLetter"/>
      <w:lvlText w:val="%2."/>
      <w:lvlJc w:val="left"/>
      <w:pPr>
        <w:ind w:left="1440" w:hanging="360"/>
      </w:pPr>
    </w:lvl>
    <w:lvl w:ilvl="2" w:tplc="7AC8A6B8">
      <w:start w:val="1"/>
      <w:numFmt w:val="lowerRoman"/>
      <w:lvlText w:val="%3."/>
      <w:lvlJc w:val="right"/>
      <w:pPr>
        <w:ind w:left="2160" w:hanging="180"/>
      </w:pPr>
    </w:lvl>
    <w:lvl w:ilvl="3" w:tplc="6BDC60C0">
      <w:start w:val="1"/>
      <w:numFmt w:val="decimal"/>
      <w:lvlText w:val="%4."/>
      <w:lvlJc w:val="left"/>
      <w:pPr>
        <w:ind w:left="2880" w:hanging="360"/>
      </w:pPr>
    </w:lvl>
    <w:lvl w:ilvl="4" w:tplc="03124B7E">
      <w:start w:val="1"/>
      <w:numFmt w:val="lowerLetter"/>
      <w:lvlText w:val="%5."/>
      <w:lvlJc w:val="left"/>
      <w:pPr>
        <w:ind w:left="3600" w:hanging="360"/>
      </w:pPr>
    </w:lvl>
    <w:lvl w:ilvl="5" w:tplc="931887E0">
      <w:start w:val="1"/>
      <w:numFmt w:val="lowerRoman"/>
      <w:lvlText w:val="%6."/>
      <w:lvlJc w:val="right"/>
      <w:pPr>
        <w:ind w:left="4320" w:hanging="180"/>
      </w:pPr>
    </w:lvl>
    <w:lvl w:ilvl="6" w:tplc="1C82FA92">
      <w:start w:val="1"/>
      <w:numFmt w:val="decimal"/>
      <w:lvlText w:val="%7."/>
      <w:lvlJc w:val="left"/>
      <w:pPr>
        <w:ind w:left="5040" w:hanging="360"/>
      </w:pPr>
    </w:lvl>
    <w:lvl w:ilvl="7" w:tplc="731A1142">
      <w:start w:val="1"/>
      <w:numFmt w:val="lowerLetter"/>
      <w:lvlText w:val="%8."/>
      <w:lvlJc w:val="left"/>
      <w:pPr>
        <w:ind w:left="5760" w:hanging="360"/>
      </w:pPr>
    </w:lvl>
    <w:lvl w:ilvl="8" w:tplc="60E00BB4">
      <w:start w:val="1"/>
      <w:numFmt w:val="lowerRoman"/>
      <w:lvlText w:val="%9."/>
      <w:lvlJc w:val="right"/>
      <w:pPr>
        <w:ind w:left="6480" w:hanging="180"/>
      </w:pPr>
    </w:lvl>
  </w:abstractNum>
  <w:abstractNum w:abstractNumId="13" w15:restartNumberingAfterBreak="0">
    <w:nsid w:val="17D86EB8"/>
    <w:multiLevelType w:val="hybridMultilevel"/>
    <w:tmpl w:val="C802A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83F5BDE"/>
    <w:multiLevelType w:val="hybridMultilevel"/>
    <w:tmpl w:val="5C7A15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1AD63BA1"/>
    <w:multiLevelType w:val="hybridMultilevel"/>
    <w:tmpl w:val="B674F6E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DE517EB"/>
    <w:multiLevelType w:val="hybridMultilevel"/>
    <w:tmpl w:val="EADA63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1336B89"/>
    <w:multiLevelType w:val="multilevel"/>
    <w:tmpl w:val="2E76BA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E57FBD"/>
    <w:multiLevelType w:val="multilevel"/>
    <w:tmpl w:val="879E2BD0"/>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5637A8"/>
    <w:multiLevelType w:val="multilevel"/>
    <w:tmpl w:val="690087C6"/>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C01B47"/>
    <w:multiLevelType w:val="hybridMultilevel"/>
    <w:tmpl w:val="72E63F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29236826"/>
    <w:multiLevelType w:val="hybridMultilevel"/>
    <w:tmpl w:val="3D344870"/>
    <w:lvl w:ilvl="0" w:tplc="08130003">
      <w:start w:val="1"/>
      <w:numFmt w:val="bullet"/>
      <w:lvlText w:val="o"/>
      <w:lvlJc w:val="left"/>
      <w:pPr>
        <w:ind w:left="2074" w:hanging="360"/>
      </w:pPr>
      <w:rPr>
        <w:rFonts w:ascii="Courier New" w:hAnsi="Courier New" w:cs="Courier New" w:hint="default"/>
      </w:rPr>
    </w:lvl>
    <w:lvl w:ilvl="1" w:tplc="08130003" w:tentative="1">
      <w:start w:val="1"/>
      <w:numFmt w:val="bullet"/>
      <w:lvlText w:val="o"/>
      <w:lvlJc w:val="left"/>
      <w:pPr>
        <w:ind w:left="2794" w:hanging="360"/>
      </w:pPr>
      <w:rPr>
        <w:rFonts w:ascii="Courier New" w:hAnsi="Courier New" w:cs="Courier New" w:hint="default"/>
      </w:rPr>
    </w:lvl>
    <w:lvl w:ilvl="2" w:tplc="08130005" w:tentative="1">
      <w:start w:val="1"/>
      <w:numFmt w:val="bullet"/>
      <w:lvlText w:val=""/>
      <w:lvlJc w:val="left"/>
      <w:pPr>
        <w:ind w:left="3514" w:hanging="360"/>
      </w:pPr>
      <w:rPr>
        <w:rFonts w:ascii="Wingdings" w:hAnsi="Wingdings" w:hint="default"/>
      </w:rPr>
    </w:lvl>
    <w:lvl w:ilvl="3" w:tplc="08130001" w:tentative="1">
      <w:start w:val="1"/>
      <w:numFmt w:val="bullet"/>
      <w:lvlText w:val=""/>
      <w:lvlJc w:val="left"/>
      <w:pPr>
        <w:ind w:left="4234" w:hanging="360"/>
      </w:pPr>
      <w:rPr>
        <w:rFonts w:ascii="Symbol" w:hAnsi="Symbol" w:hint="default"/>
      </w:rPr>
    </w:lvl>
    <w:lvl w:ilvl="4" w:tplc="08130003" w:tentative="1">
      <w:start w:val="1"/>
      <w:numFmt w:val="bullet"/>
      <w:lvlText w:val="o"/>
      <w:lvlJc w:val="left"/>
      <w:pPr>
        <w:ind w:left="4954" w:hanging="360"/>
      </w:pPr>
      <w:rPr>
        <w:rFonts w:ascii="Courier New" w:hAnsi="Courier New" w:cs="Courier New" w:hint="default"/>
      </w:rPr>
    </w:lvl>
    <w:lvl w:ilvl="5" w:tplc="08130005" w:tentative="1">
      <w:start w:val="1"/>
      <w:numFmt w:val="bullet"/>
      <w:lvlText w:val=""/>
      <w:lvlJc w:val="left"/>
      <w:pPr>
        <w:ind w:left="5674" w:hanging="360"/>
      </w:pPr>
      <w:rPr>
        <w:rFonts w:ascii="Wingdings" w:hAnsi="Wingdings" w:hint="default"/>
      </w:rPr>
    </w:lvl>
    <w:lvl w:ilvl="6" w:tplc="08130001" w:tentative="1">
      <w:start w:val="1"/>
      <w:numFmt w:val="bullet"/>
      <w:lvlText w:val=""/>
      <w:lvlJc w:val="left"/>
      <w:pPr>
        <w:ind w:left="6394" w:hanging="360"/>
      </w:pPr>
      <w:rPr>
        <w:rFonts w:ascii="Symbol" w:hAnsi="Symbol" w:hint="default"/>
      </w:rPr>
    </w:lvl>
    <w:lvl w:ilvl="7" w:tplc="08130003" w:tentative="1">
      <w:start w:val="1"/>
      <w:numFmt w:val="bullet"/>
      <w:lvlText w:val="o"/>
      <w:lvlJc w:val="left"/>
      <w:pPr>
        <w:ind w:left="7114" w:hanging="360"/>
      </w:pPr>
      <w:rPr>
        <w:rFonts w:ascii="Courier New" w:hAnsi="Courier New" w:cs="Courier New" w:hint="default"/>
      </w:rPr>
    </w:lvl>
    <w:lvl w:ilvl="8" w:tplc="08130005" w:tentative="1">
      <w:start w:val="1"/>
      <w:numFmt w:val="bullet"/>
      <w:lvlText w:val=""/>
      <w:lvlJc w:val="left"/>
      <w:pPr>
        <w:ind w:left="7834" w:hanging="360"/>
      </w:pPr>
      <w:rPr>
        <w:rFonts w:ascii="Wingdings" w:hAnsi="Wingdings" w:hint="default"/>
      </w:rPr>
    </w:lvl>
  </w:abstractNum>
  <w:abstractNum w:abstractNumId="22" w15:restartNumberingAfterBreak="0">
    <w:nsid w:val="2BD6669F"/>
    <w:multiLevelType w:val="hybridMultilevel"/>
    <w:tmpl w:val="788ADF34"/>
    <w:lvl w:ilvl="0" w:tplc="91A85124">
      <w:start w:val="1"/>
      <w:numFmt w:val="decimal"/>
      <w:lvlText w:val="%1."/>
      <w:lvlJc w:val="left"/>
      <w:pPr>
        <w:ind w:left="720" w:hanging="360"/>
      </w:pPr>
    </w:lvl>
    <w:lvl w:ilvl="1" w:tplc="0C000001">
      <w:start w:val="1"/>
      <w:numFmt w:val="bullet"/>
      <w:lvlText w:val=""/>
      <w:lvlJc w:val="left"/>
      <w:pPr>
        <w:ind w:left="1440" w:hanging="360"/>
      </w:pPr>
      <w:rPr>
        <w:rFonts w:ascii="Symbol" w:hAnsi="Symbol" w:hint="default"/>
      </w:r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2CDD4AE3"/>
    <w:multiLevelType w:val="multilevel"/>
    <w:tmpl w:val="5F3261B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E30034"/>
    <w:multiLevelType w:val="hybridMultilevel"/>
    <w:tmpl w:val="7714A264"/>
    <w:lvl w:ilvl="0" w:tplc="7396B09A">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31750AB0"/>
    <w:multiLevelType w:val="multilevel"/>
    <w:tmpl w:val="5782A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DE26A8"/>
    <w:multiLevelType w:val="hybridMultilevel"/>
    <w:tmpl w:val="5B62101A"/>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7" w15:restartNumberingAfterBreak="0">
    <w:nsid w:val="3DA40650"/>
    <w:multiLevelType w:val="hybridMultilevel"/>
    <w:tmpl w:val="C4326B76"/>
    <w:lvl w:ilvl="0" w:tplc="7E46D8E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FD05A3B"/>
    <w:multiLevelType w:val="hybridMultilevel"/>
    <w:tmpl w:val="3F1678AA"/>
    <w:lvl w:ilvl="0" w:tplc="0813000F">
      <w:start w:val="1"/>
      <w:numFmt w:val="decimal"/>
      <w:lvlText w:val="%1."/>
      <w:lvlJc w:val="left"/>
      <w:pPr>
        <w:ind w:left="720" w:hanging="360"/>
      </w:pPr>
    </w:lvl>
    <w:lvl w:ilvl="1" w:tplc="B2C47FB8">
      <w:start w:val="1"/>
      <w:numFmt w:val="lowerLetter"/>
      <w:lvlText w:val="%2)"/>
      <w:lvlJc w:val="left"/>
      <w:pPr>
        <w:ind w:left="643"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15:restartNumberingAfterBreak="0">
    <w:nsid w:val="40A24BD6"/>
    <w:multiLevelType w:val="hybridMultilevel"/>
    <w:tmpl w:val="15688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0F527E5"/>
    <w:multiLevelType w:val="hybridMultilevel"/>
    <w:tmpl w:val="8FF29D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C0F2E87"/>
    <w:multiLevelType w:val="multilevel"/>
    <w:tmpl w:val="8BC8DFB2"/>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4CB46B98"/>
    <w:multiLevelType w:val="multilevel"/>
    <w:tmpl w:val="2E76BAD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056AF5"/>
    <w:multiLevelType w:val="hybridMultilevel"/>
    <w:tmpl w:val="268080EE"/>
    <w:lvl w:ilvl="0" w:tplc="08130017">
      <w:start w:val="1"/>
      <w:numFmt w:val="lowerLetter"/>
      <w:lvlText w:val="%1)"/>
      <w:lvlJc w:val="left"/>
      <w:pPr>
        <w:ind w:left="784" w:hanging="360"/>
      </w:pPr>
    </w:lvl>
    <w:lvl w:ilvl="1" w:tplc="08130019" w:tentative="1">
      <w:start w:val="1"/>
      <w:numFmt w:val="lowerLetter"/>
      <w:lvlText w:val="%2."/>
      <w:lvlJc w:val="left"/>
      <w:pPr>
        <w:ind w:left="1504" w:hanging="360"/>
      </w:pPr>
    </w:lvl>
    <w:lvl w:ilvl="2" w:tplc="0813001B" w:tentative="1">
      <w:start w:val="1"/>
      <w:numFmt w:val="lowerRoman"/>
      <w:lvlText w:val="%3."/>
      <w:lvlJc w:val="right"/>
      <w:pPr>
        <w:ind w:left="2224" w:hanging="180"/>
      </w:pPr>
    </w:lvl>
    <w:lvl w:ilvl="3" w:tplc="0813000F" w:tentative="1">
      <w:start w:val="1"/>
      <w:numFmt w:val="decimal"/>
      <w:lvlText w:val="%4."/>
      <w:lvlJc w:val="left"/>
      <w:pPr>
        <w:ind w:left="2944" w:hanging="360"/>
      </w:pPr>
    </w:lvl>
    <w:lvl w:ilvl="4" w:tplc="08130019" w:tentative="1">
      <w:start w:val="1"/>
      <w:numFmt w:val="lowerLetter"/>
      <w:lvlText w:val="%5."/>
      <w:lvlJc w:val="left"/>
      <w:pPr>
        <w:ind w:left="3664" w:hanging="360"/>
      </w:pPr>
    </w:lvl>
    <w:lvl w:ilvl="5" w:tplc="0813001B" w:tentative="1">
      <w:start w:val="1"/>
      <w:numFmt w:val="lowerRoman"/>
      <w:lvlText w:val="%6."/>
      <w:lvlJc w:val="right"/>
      <w:pPr>
        <w:ind w:left="4384" w:hanging="180"/>
      </w:pPr>
    </w:lvl>
    <w:lvl w:ilvl="6" w:tplc="0813000F" w:tentative="1">
      <w:start w:val="1"/>
      <w:numFmt w:val="decimal"/>
      <w:lvlText w:val="%7."/>
      <w:lvlJc w:val="left"/>
      <w:pPr>
        <w:ind w:left="5104" w:hanging="360"/>
      </w:pPr>
    </w:lvl>
    <w:lvl w:ilvl="7" w:tplc="08130019" w:tentative="1">
      <w:start w:val="1"/>
      <w:numFmt w:val="lowerLetter"/>
      <w:lvlText w:val="%8."/>
      <w:lvlJc w:val="left"/>
      <w:pPr>
        <w:ind w:left="5824" w:hanging="360"/>
      </w:pPr>
    </w:lvl>
    <w:lvl w:ilvl="8" w:tplc="0813001B" w:tentative="1">
      <w:start w:val="1"/>
      <w:numFmt w:val="lowerRoman"/>
      <w:lvlText w:val="%9."/>
      <w:lvlJc w:val="right"/>
      <w:pPr>
        <w:ind w:left="6544" w:hanging="180"/>
      </w:pPr>
    </w:lvl>
  </w:abstractNum>
  <w:abstractNum w:abstractNumId="34" w15:restartNumberingAfterBreak="0">
    <w:nsid w:val="5965375D"/>
    <w:multiLevelType w:val="hybridMultilevel"/>
    <w:tmpl w:val="3A3A3392"/>
    <w:lvl w:ilvl="0" w:tplc="5B46FAB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FD67196"/>
    <w:multiLevelType w:val="hybridMultilevel"/>
    <w:tmpl w:val="AD868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86477F"/>
    <w:multiLevelType w:val="hybridMultilevel"/>
    <w:tmpl w:val="48D6A1A6"/>
    <w:lvl w:ilvl="0" w:tplc="CCE61468">
      <w:start w:val="1"/>
      <w:numFmt w:val="decimal"/>
      <w:lvlText w:val="%1."/>
      <w:lvlJc w:val="left"/>
      <w:pPr>
        <w:ind w:left="720" w:hanging="360"/>
      </w:pPr>
    </w:lvl>
    <w:lvl w:ilvl="1" w:tplc="29561896">
      <w:start w:val="1"/>
      <w:numFmt w:val="lowerLetter"/>
      <w:lvlText w:val="%2."/>
      <w:lvlJc w:val="left"/>
      <w:pPr>
        <w:ind w:left="1440" w:hanging="360"/>
      </w:pPr>
    </w:lvl>
    <w:lvl w:ilvl="2" w:tplc="8D64E1B4">
      <w:start w:val="1"/>
      <w:numFmt w:val="lowerRoman"/>
      <w:lvlText w:val="%3."/>
      <w:lvlJc w:val="right"/>
      <w:pPr>
        <w:ind w:left="2160" w:hanging="180"/>
      </w:pPr>
    </w:lvl>
    <w:lvl w:ilvl="3" w:tplc="3A4C0382">
      <w:start w:val="1"/>
      <w:numFmt w:val="decimal"/>
      <w:lvlText w:val="%4."/>
      <w:lvlJc w:val="left"/>
      <w:pPr>
        <w:ind w:left="2880" w:hanging="360"/>
      </w:pPr>
    </w:lvl>
    <w:lvl w:ilvl="4" w:tplc="FE14E82A">
      <w:start w:val="1"/>
      <w:numFmt w:val="lowerLetter"/>
      <w:lvlText w:val="%5."/>
      <w:lvlJc w:val="left"/>
      <w:pPr>
        <w:ind w:left="3600" w:hanging="360"/>
      </w:pPr>
    </w:lvl>
    <w:lvl w:ilvl="5" w:tplc="4B349226">
      <w:start w:val="1"/>
      <w:numFmt w:val="lowerRoman"/>
      <w:lvlText w:val="%6."/>
      <w:lvlJc w:val="right"/>
      <w:pPr>
        <w:ind w:left="4320" w:hanging="180"/>
      </w:pPr>
    </w:lvl>
    <w:lvl w:ilvl="6" w:tplc="62E434CE">
      <w:start w:val="1"/>
      <w:numFmt w:val="decimal"/>
      <w:lvlText w:val="%7."/>
      <w:lvlJc w:val="left"/>
      <w:pPr>
        <w:ind w:left="5040" w:hanging="360"/>
      </w:pPr>
    </w:lvl>
    <w:lvl w:ilvl="7" w:tplc="39806554">
      <w:start w:val="1"/>
      <w:numFmt w:val="lowerLetter"/>
      <w:lvlText w:val="%8."/>
      <w:lvlJc w:val="left"/>
      <w:pPr>
        <w:ind w:left="5760" w:hanging="360"/>
      </w:pPr>
    </w:lvl>
    <w:lvl w:ilvl="8" w:tplc="C358C124">
      <w:start w:val="1"/>
      <w:numFmt w:val="lowerRoman"/>
      <w:lvlText w:val="%9."/>
      <w:lvlJc w:val="right"/>
      <w:pPr>
        <w:ind w:left="6480" w:hanging="180"/>
      </w:pPr>
    </w:lvl>
  </w:abstractNum>
  <w:abstractNum w:abstractNumId="37" w15:restartNumberingAfterBreak="0">
    <w:nsid w:val="65D90089"/>
    <w:multiLevelType w:val="hybridMultilevel"/>
    <w:tmpl w:val="8B3ABCE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8" w15:restartNumberingAfterBreak="0">
    <w:nsid w:val="6A852C7B"/>
    <w:multiLevelType w:val="hybridMultilevel"/>
    <w:tmpl w:val="35F430B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B2D6BF4"/>
    <w:multiLevelType w:val="multilevel"/>
    <w:tmpl w:val="30EC42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B5D1F42"/>
    <w:multiLevelType w:val="hybridMultilevel"/>
    <w:tmpl w:val="AE4C0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19369D2"/>
    <w:multiLevelType w:val="hybridMultilevel"/>
    <w:tmpl w:val="F6BE82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1AE66C7"/>
    <w:multiLevelType w:val="hybridMultilevel"/>
    <w:tmpl w:val="DAE402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24C285A"/>
    <w:multiLevelType w:val="hybridMultilevel"/>
    <w:tmpl w:val="A462CF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741E7F8A"/>
    <w:multiLevelType w:val="hybridMultilevel"/>
    <w:tmpl w:val="2D5ED642"/>
    <w:lvl w:ilvl="0" w:tplc="0000000B">
      <w:start w:val="1"/>
      <w:numFmt w:val="bullet"/>
      <w:lvlText w:val=""/>
      <w:lvlJc w:val="left"/>
      <w:pPr>
        <w:ind w:left="2340" w:hanging="360"/>
      </w:pPr>
      <w:rPr>
        <w:rFonts w:ascii="Wingdings" w:hAnsi="Wingdings" w:hint="default"/>
      </w:rPr>
    </w:lvl>
    <w:lvl w:ilvl="1" w:tplc="0C000003" w:tentative="1">
      <w:start w:val="1"/>
      <w:numFmt w:val="bullet"/>
      <w:lvlText w:val="o"/>
      <w:lvlJc w:val="left"/>
      <w:pPr>
        <w:ind w:left="3060" w:hanging="360"/>
      </w:pPr>
      <w:rPr>
        <w:rFonts w:ascii="Courier New" w:hAnsi="Courier New" w:cs="Courier New" w:hint="default"/>
      </w:rPr>
    </w:lvl>
    <w:lvl w:ilvl="2" w:tplc="0C000005" w:tentative="1">
      <w:start w:val="1"/>
      <w:numFmt w:val="bullet"/>
      <w:lvlText w:val=""/>
      <w:lvlJc w:val="left"/>
      <w:pPr>
        <w:ind w:left="3780" w:hanging="360"/>
      </w:pPr>
      <w:rPr>
        <w:rFonts w:ascii="Wingdings" w:hAnsi="Wingdings" w:hint="default"/>
      </w:rPr>
    </w:lvl>
    <w:lvl w:ilvl="3" w:tplc="0C000001" w:tentative="1">
      <w:start w:val="1"/>
      <w:numFmt w:val="bullet"/>
      <w:lvlText w:val=""/>
      <w:lvlJc w:val="left"/>
      <w:pPr>
        <w:ind w:left="4500" w:hanging="360"/>
      </w:pPr>
      <w:rPr>
        <w:rFonts w:ascii="Symbol" w:hAnsi="Symbol" w:hint="default"/>
      </w:rPr>
    </w:lvl>
    <w:lvl w:ilvl="4" w:tplc="0C000003" w:tentative="1">
      <w:start w:val="1"/>
      <w:numFmt w:val="bullet"/>
      <w:lvlText w:val="o"/>
      <w:lvlJc w:val="left"/>
      <w:pPr>
        <w:ind w:left="5220" w:hanging="360"/>
      </w:pPr>
      <w:rPr>
        <w:rFonts w:ascii="Courier New" w:hAnsi="Courier New" w:cs="Courier New" w:hint="default"/>
      </w:rPr>
    </w:lvl>
    <w:lvl w:ilvl="5" w:tplc="0C000005" w:tentative="1">
      <w:start w:val="1"/>
      <w:numFmt w:val="bullet"/>
      <w:lvlText w:val=""/>
      <w:lvlJc w:val="left"/>
      <w:pPr>
        <w:ind w:left="5940" w:hanging="360"/>
      </w:pPr>
      <w:rPr>
        <w:rFonts w:ascii="Wingdings" w:hAnsi="Wingdings" w:hint="default"/>
      </w:rPr>
    </w:lvl>
    <w:lvl w:ilvl="6" w:tplc="0C000001" w:tentative="1">
      <w:start w:val="1"/>
      <w:numFmt w:val="bullet"/>
      <w:lvlText w:val=""/>
      <w:lvlJc w:val="left"/>
      <w:pPr>
        <w:ind w:left="6660" w:hanging="360"/>
      </w:pPr>
      <w:rPr>
        <w:rFonts w:ascii="Symbol" w:hAnsi="Symbol" w:hint="default"/>
      </w:rPr>
    </w:lvl>
    <w:lvl w:ilvl="7" w:tplc="0C000003" w:tentative="1">
      <w:start w:val="1"/>
      <w:numFmt w:val="bullet"/>
      <w:lvlText w:val="o"/>
      <w:lvlJc w:val="left"/>
      <w:pPr>
        <w:ind w:left="7380" w:hanging="360"/>
      </w:pPr>
      <w:rPr>
        <w:rFonts w:ascii="Courier New" w:hAnsi="Courier New" w:cs="Courier New" w:hint="default"/>
      </w:rPr>
    </w:lvl>
    <w:lvl w:ilvl="8" w:tplc="0C000005" w:tentative="1">
      <w:start w:val="1"/>
      <w:numFmt w:val="bullet"/>
      <w:lvlText w:val=""/>
      <w:lvlJc w:val="left"/>
      <w:pPr>
        <w:ind w:left="8100" w:hanging="360"/>
      </w:pPr>
      <w:rPr>
        <w:rFonts w:ascii="Wingdings" w:hAnsi="Wingdings" w:hint="default"/>
      </w:rPr>
    </w:lvl>
  </w:abstractNum>
  <w:abstractNum w:abstractNumId="45" w15:restartNumberingAfterBreak="0">
    <w:nsid w:val="771107F1"/>
    <w:multiLevelType w:val="hybridMultilevel"/>
    <w:tmpl w:val="A642D3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79697171"/>
    <w:multiLevelType w:val="hybridMultilevel"/>
    <w:tmpl w:val="B428F7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B6E7E63"/>
    <w:multiLevelType w:val="hybridMultilevel"/>
    <w:tmpl w:val="BBE8587A"/>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F1E0309"/>
    <w:multiLevelType w:val="multilevel"/>
    <w:tmpl w:val="626070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12"/>
  </w:num>
  <w:num w:numId="3">
    <w:abstractNumId w:val="5"/>
  </w:num>
  <w:num w:numId="4">
    <w:abstractNumId w:val="22"/>
  </w:num>
  <w:num w:numId="5">
    <w:abstractNumId w:val="44"/>
  </w:num>
  <w:num w:numId="6">
    <w:abstractNumId w:val="10"/>
  </w:num>
  <w:num w:numId="7">
    <w:abstractNumId w:val="37"/>
  </w:num>
  <w:num w:numId="8">
    <w:abstractNumId w:val="33"/>
  </w:num>
  <w:num w:numId="9">
    <w:abstractNumId w:val="13"/>
  </w:num>
  <w:num w:numId="10">
    <w:abstractNumId w:val="34"/>
  </w:num>
  <w:num w:numId="11">
    <w:abstractNumId w:val="39"/>
  </w:num>
  <w:num w:numId="12">
    <w:abstractNumId w:val="27"/>
  </w:num>
  <w:num w:numId="13">
    <w:abstractNumId w:val="40"/>
  </w:num>
  <w:num w:numId="14">
    <w:abstractNumId w:val="48"/>
  </w:num>
  <w:num w:numId="15">
    <w:abstractNumId w:val="35"/>
  </w:num>
  <w:num w:numId="16">
    <w:abstractNumId w:val="26"/>
  </w:num>
  <w:num w:numId="17">
    <w:abstractNumId w:val="31"/>
  </w:num>
  <w:num w:numId="18">
    <w:abstractNumId w:val="25"/>
  </w:num>
  <w:num w:numId="19">
    <w:abstractNumId w:val="15"/>
  </w:num>
  <w:num w:numId="20">
    <w:abstractNumId w:val="9"/>
  </w:num>
  <w:num w:numId="21">
    <w:abstractNumId w:val="41"/>
  </w:num>
  <w:num w:numId="22">
    <w:abstractNumId w:val="8"/>
  </w:num>
  <w:num w:numId="23">
    <w:abstractNumId w:val="43"/>
  </w:num>
  <w:num w:numId="24">
    <w:abstractNumId w:val="1"/>
  </w:num>
  <w:num w:numId="25">
    <w:abstractNumId w:val="45"/>
  </w:num>
  <w:num w:numId="26">
    <w:abstractNumId w:val="38"/>
  </w:num>
  <w:num w:numId="27">
    <w:abstractNumId w:val="46"/>
  </w:num>
  <w:num w:numId="28">
    <w:abstractNumId w:val="14"/>
  </w:num>
  <w:num w:numId="29">
    <w:abstractNumId w:val="16"/>
  </w:num>
  <w:num w:numId="30">
    <w:abstractNumId w:val="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3"/>
  </w:num>
  <w:num w:numId="34">
    <w:abstractNumId w:val="19"/>
  </w:num>
  <w:num w:numId="35">
    <w:abstractNumId w:val="0"/>
  </w:num>
  <w:num w:numId="36">
    <w:abstractNumId w:val="6"/>
  </w:num>
  <w:num w:numId="37">
    <w:abstractNumId w:val="17"/>
  </w:num>
  <w:num w:numId="38">
    <w:abstractNumId w:val="47"/>
  </w:num>
  <w:num w:numId="39">
    <w:abstractNumId w:val="20"/>
  </w:num>
  <w:num w:numId="40">
    <w:abstractNumId w:val="30"/>
  </w:num>
  <w:num w:numId="41">
    <w:abstractNumId w:val="7"/>
  </w:num>
  <w:num w:numId="42">
    <w:abstractNumId w:val="4"/>
  </w:num>
  <w:num w:numId="43">
    <w:abstractNumId w:val="24"/>
  </w:num>
  <w:num w:numId="44">
    <w:abstractNumId w:val="29"/>
  </w:num>
  <w:num w:numId="45">
    <w:abstractNumId w:val="21"/>
  </w:num>
  <w:num w:numId="46">
    <w:abstractNumId w:val="2"/>
  </w:num>
  <w:num w:numId="47">
    <w:abstractNumId w:val="18"/>
  </w:num>
  <w:num w:numId="48">
    <w:abstractNumId w:val="42"/>
  </w:num>
  <w:num w:numId="4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993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CC"/>
    <w:rsid w:val="00004CEA"/>
    <w:rsid w:val="000079BE"/>
    <w:rsid w:val="000112B5"/>
    <w:rsid w:val="0001342F"/>
    <w:rsid w:val="00022B0C"/>
    <w:rsid w:val="00031BFD"/>
    <w:rsid w:val="000403EC"/>
    <w:rsid w:val="00041794"/>
    <w:rsid w:val="000434B5"/>
    <w:rsid w:val="00043FDE"/>
    <w:rsid w:val="00044A15"/>
    <w:rsid w:val="00047381"/>
    <w:rsid w:val="00051CA8"/>
    <w:rsid w:val="00052C10"/>
    <w:rsid w:val="000600CA"/>
    <w:rsid w:val="000603E5"/>
    <w:rsid w:val="00063B31"/>
    <w:rsid w:val="00063FB9"/>
    <w:rsid w:val="00065231"/>
    <w:rsid w:val="00065D50"/>
    <w:rsid w:val="00067C8C"/>
    <w:rsid w:val="0007284A"/>
    <w:rsid w:val="00072A01"/>
    <w:rsid w:val="00085E85"/>
    <w:rsid w:val="000865A9"/>
    <w:rsid w:val="00095278"/>
    <w:rsid w:val="00096EDD"/>
    <w:rsid w:val="000A1071"/>
    <w:rsid w:val="000A1C4C"/>
    <w:rsid w:val="000A2C56"/>
    <w:rsid w:val="000A3BAE"/>
    <w:rsid w:val="000A4577"/>
    <w:rsid w:val="000B004B"/>
    <w:rsid w:val="000B08F2"/>
    <w:rsid w:val="000C18DA"/>
    <w:rsid w:val="000C243E"/>
    <w:rsid w:val="000D30B7"/>
    <w:rsid w:val="000D68DA"/>
    <w:rsid w:val="000D7771"/>
    <w:rsid w:val="000E3C43"/>
    <w:rsid w:val="000E5F16"/>
    <w:rsid w:val="000E5FD7"/>
    <w:rsid w:val="000F2B15"/>
    <w:rsid w:val="000F72FE"/>
    <w:rsid w:val="00101EFF"/>
    <w:rsid w:val="0010244C"/>
    <w:rsid w:val="00102C31"/>
    <w:rsid w:val="001040D0"/>
    <w:rsid w:val="001048ED"/>
    <w:rsid w:val="00112AFB"/>
    <w:rsid w:val="001144FE"/>
    <w:rsid w:val="0011454C"/>
    <w:rsid w:val="00114C62"/>
    <w:rsid w:val="001230FD"/>
    <w:rsid w:val="00123606"/>
    <w:rsid w:val="00123E4D"/>
    <w:rsid w:val="00130B91"/>
    <w:rsid w:val="00131A0C"/>
    <w:rsid w:val="00133164"/>
    <w:rsid w:val="00134A67"/>
    <w:rsid w:val="0013591A"/>
    <w:rsid w:val="00143C1A"/>
    <w:rsid w:val="001512B9"/>
    <w:rsid w:val="00155BB1"/>
    <w:rsid w:val="0015639D"/>
    <w:rsid w:val="001609C3"/>
    <w:rsid w:val="00160CFA"/>
    <w:rsid w:val="00161809"/>
    <w:rsid w:val="00172588"/>
    <w:rsid w:val="00173F64"/>
    <w:rsid w:val="0017470B"/>
    <w:rsid w:val="00175474"/>
    <w:rsid w:val="00177936"/>
    <w:rsid w:val="00187B42"/>
    <w:rsid w:val="001939C8"/>
    <w:rsid w:val="00194A06"/>
    <w:rsid w:val="00194F40"/>
    <w:rsid w:val="0019593F"/>
    <w:rsid w:val="001A2BA5"/>
    <w:rsid w:val="001A2CD3"/>
    <w:rsid w:val="001A33D9"/>
    <w:rsid w:val="001A67D8"/>
    <w:rsid w:val="001A754F"/>
    <w:rsid w:val="001A7B38"/>
    <w:rsid w:val="001C2D7B"/>
    <w:rsid w:val="001C4734"/>
    <w:rsid w:val="001C57A8"/>
    <w:rsid w:val="001D15E5"/>
    <w:rsid w:val="001D2F35"/>
    <w:rsid w:val="001E0D8A"/>
    <w:rsid w:val="001E39E7"/>
    <w:rsid w:val="001E6BFD"/>
    <w:rsid w:val="001E764F"/>
    <w:rsid w:val="001F2676"/>
    <w:rsid w:val="001F3C31"/>
    <w:rsid w:val="001F4733"/>
    <w:rsid w:val="001F68BB"/>
    <w:rsid w:val="001F7DED"/>
    <w:rsid w:val="00205B95"/>
    <w:rsid w:val="00206356"/>
    <w:rsid w:val="002065FD"/>
    <w:rsid w:val="002132BA"/>
    <w:rsid w:val="002144B2"/>
    <w:rsid w:val="00220118"/>
    <w:rsid w:val="00222680"/>
    <w:rsid w:val="002232B2"/>
    <w:rsid w:val="00230272"/>
    <w:rsid w:val="00231382"/>
    <w:rsid w:val="00243874"/>
    <w:rsid w:val="00252666"/>
    <w:rsid w:val="00254772"/>
    <w:rsid w:val="00255C70"/>
    <w:rsid w:val="002621E1"/>
    <w:rsid w:val="00262BA9"/>
    <w:rsid w:val="00264F6F"/>
    <w:rsid w:val="00266662"/>
    <w:rsid w:val="00271FE1"/>
    <w:rsid w:val="00272E9C"/>
    <w:rsid w:val="0027344C"/>
    <w:rsid w:val="00274785"/>
    <w:rsid w:val="00274E4A"/>
    <w:rsid w:val="0028049A"/>
    <w:rsid w:val="002820D9"/>
    <w:rsid w:val="002823BF"/>
    <w:rsid w:val="00283233"/>
    <w:rsid w:val="00283537"/>
    <w:rsid w:val="00285464"/>
    <w:rsid w:val="00287CE8"/>
    <w:rsid w:val="002910F7"/>
    <w:rsid w:val="002924E1"/>
    <w:rsid w:val="0029458C"/>
    <w:rsid w:val="002969A4"/>
    <w:rsid w:val="002A2030"/>
    <w:rsid w:val="002A545D"/>
    <w:rsid w:val="002A658D"/>
    <w:rsid w:val="002A7BF5"/>
    <w:rsid w:val="002B5613"/>
    <w:rsid w:val="002B5765"/>
    <w:rsid w:val="002B65B3"/>
    <w:rsid w:val="002C5745"/>
    <w:rsid w:val="002D08FF"/>
    <w:rsid w:val="002D1937"/>
    <w:rsid w:val="002D3476"/>
    <w:rsid w:val="002D412D"/>
    <w:rsid w:val="002D55D4"/>
    <w:rsid w:val="002D7BFB"/>
    <w:rsid w:val="002E0225"/>
    <w:rsid w:val="002E3194"/>
    <w:rsid w:val="002E77A6"/>
    <w:rsid w:val="002F05EF"/>
    <w:rsid w:val="002F608C"/>
    <w:rsid w:val="002F7BC5"/>
    <w:rsid w:val="00303E4D"/>
    <w:rsid w:val="00304C20"/>
    <w:rsid w:val="00314A3F"/>
    <w:rsid w:val="0032270E"/>
    <w:rsid w:val="00323E3E"/>
    <w:rsid w:val="00330402"/>
    <w:rsid w:val="00332D58"/>
    <w:rsid w:val="00333142"/>
    <w:rsid w:val="003339BF"/>
    <w:rsid w:val="00336B72"/>
    <w:rsid w:val="0034022A"/>
    <w:rsid w:val="003430EF"/>
    <w:rsid w:val="00344959"/>
    <w:rsid w:val="00345A4B"/>
    <w:rsid w:val="0035012C"/>
    <w:rsid w:val="00350FFA"/>
    <w:rsid w:val="0036583F"/>
    <w:rsid w:val="00370AB7"/>
    <w:rsid w:val="003731C6"/>
    <w:rsid w:val="0037345B"/>
    <w:rsid w:val="00376079"/>
    <w:rsid w:val="00377224"/>
    <w:rsid w:val="003775D8"/>
    <w:rsid w:val="00380941"/>
    <w:rsid w:val="003817D7"/>
    <w:rsid w:val="00381AB1"/>
    <w:rsid w:val="00381C48"/>
    <w:rsid w:val="00383E1D"/>
    <w:rsid w:val="00385699"/>
    <w:rsid w:val="00394262"/>
    <w:rsid w:val="003945E6"/>
    <w:rsid w:val="003A1DF1"/>
    <w:rsid w:val="003A4F13"/>
    <w:rsid w:val="003A6EBB"/>
    <w:rsid w:val="003A76F9"/>
    <w:rsid w:val="003B6BA2"/>
    <w:rsid w:val="003B7694"/>
    <w:rsid w:val="003B7C55"/>
    <w:rsid w:val="003C204C"/>
    <w:rsid w:val="003C241A"/>
    <w:rsid w:val="003C270D"/>
    <w:rsid w:val="003C4D35"/>
    <w:rsid w:val="003C5B17"/>
    <w:rsid w:val="003C5E25"/>
    <w:rsid w:val="003C6476"/>
    <w:rsid w:val="003C68B1"/>
    <w:rsid w:val="003C6B07"/>
    <w:rsid w:val="003D2408"/>
    <w:rsid w:val="003D3FD8"/>
    <w:rsid w:val="003D48EE"/>
    <w:rsid w:val="003D5318"/>
    <w:rsid w:val="003D6EF8"/>
    <w:rsid w:val="003E26E9"/>
    <w:rsid w:val="003F0492"/>
    <w:rsid w:val="003F0CE1"/>
    <w:rsid w:val="003F0D70"/>
    <w:rsid w:val="003F3272"/>
    <w:rsid w:val="003F429D"/>
    <w:rsid w:val="003F4D9D"/>
    <w:rsid w:val="003F681E"/>
    <w:rsid w:val="003F7767"/>
    <w:rsid w:val="0040047A"/>
    <w:rsid w:val="0040243A"/>
    <w:rsid w:val="00403D45"/>
    <w:rsid w:val="00403FC3"/>
    <w:rsid w:val="00405CD8"/>
    <w:rsid w:val="00406F06"/>
    <w:rsid w:val="004138E3"/>
    <w:rsid w:val="00415254"/>
    <w:rsid w:val="004263EB"/>
    <w:rsid w:val="0043165D"/>
    <w:rsid w:val="00434266"/>
    <w:rsid w:val="00440CCF"/>
    <w:rsid w:val="004435B0"/>
    <w:rsid w:val="00443A11"/>
    <w:rsid w:val="00450631"/>
    <w:rsid w:val="00456856"/>
    <w:rsid w:val="00460085"/>
    <w:rsid w:val="0046035F"/>
    <w:rsid w:val="0046054C"/>
    <w:rsid w:val="004615AB"/>
    <w:rsid w:val="00464490"/>
    <w:rsid w:val="0046752F"/>
    <w:rsid w:val="00473537"/>
    <w:rsid w:val="0047537B"/>
    <w:rsid w:val="004770F4"/>
    <w:rsid w:val="00477F58"/>
    <w:rsid w:val="00480CD6"/>
    <w:rsid w:val="004849AB"/>
    <w:rsid w:val="00485D81"/>
    <w:rsid w:val="00485EDB"/>
    <w:rsid w:val="00494C48"/>
    <w:rsid w:val="00494DB5"/>
    <w:rsid w:val="004A513D"/>
    <w:rsid w:val="004B295F"/>
    <w:rsid w:val="004B3A5D"/>
    <w:rsid w:val="004B5574"/>
    <w:rsid w:val="004B7081"/>
    <w:rsid w:val="004C0C5E"/>
    <w:rsid w:val="004C204B"/>
    <w:rsid w:val="004C3981"/>
    <w:rsid w:val="004C589A"/>
    <w:rsid w:val="004C5B30"/>
    <w:rsid w:val="004D1BD3"/>
    <w:rsid w:val="004D3134"/>
    <w:rsid w:val="004D63E7"/>
    <w:rsid w:val="004D6FE2"/>
    <w:rsid w:val="004E39C2"/>
    <w:rsid w:val="004E4349"/>
    <w:rsid w:val="004E51C6"/>
    <w:rsid w:val="004E57ED"/>
    <w:rsid w:val="004F0DE5"/>
    <w:rsid w:val="004F3158"/>
    <w:rsid w:val="004F419B"/>
    <w:rsid w:val="004F5276"/>
    <w:rsid w:val="004F6A0A"/>
    <w:rsid w:val="004F7C48"/>
    <w:rsid w:val="0050144E"/>
    <w:rsid w:val="00502D8E"/>
    <w:rsid w:val="00503003"/>
    <w:rsid w:val="00507922"/>
    <w:rsid w:val="00517CA6"/>
    <w:rsid w:val="0052231D"/>
    <w:rsid w:val="00523E0C"/>
    <w:rsid w:val="00524D72"/>
    <w:rsid w:val="005311E2"/>
    <w:rsid w:val="00531F7D"/>
    <w:rsid w:val="00534F70"/>
    <w:rsid w:val="00535568"/>
    <w:rsid w:val="00535873"/>
    <w:rsid w:val="005364F7"/>
    <w:rsid w:val="00543C60"/>
    <w:rsid w:val="00547DD3"/>
    <w:rsid w:val="00550E78"/>
    <w:rsid w:val="005514FD"/>
    <w:rsid w:val="00555F1B"/>
    <w:rsid w:val="00563017"/>
    <w:rsid w:val="005652B8"/>
    <w:rsid w:val="0056666F"/>
    <w:rsid w:val="00572359"/>
    <w:rsid w:val="00576216"/>
    <w:rsid w:val="00577850"/>
    <w:rsid w:val="00584B68"/>
    <w:rsid w:val="0059015F"/>
    <w:rsid w:val="00590403"/>
    <w:rsid w:val="00594B22"/>
    <w:rsid w:val="00595E71"/>
    <w:rsid w:val="005A0EDB"/>
    <w:rsid w:val="005A2670"/>
    <w:rsid w:val="005A64DA"/>
    <w:rsid w:val="005B2D96"/>
    <w:rsid w:val="005B55B5"/>
    <w:rsid w:val="005B794C"/>
    <w:rsid w:val="005C0514"/>
    <w:rsid w:val="005C2732"/>
    <w:rsid w:val="005C38AF"/>
    <w:rsid w:val="005D0EFD"/>
    <w:rsid w:val="005D1C04"/>
    <w:rsid w:val="005D27D8"/>
    <w:rsid w:val="005D329A"/>
    <w:rsid w:val="005D617F"/>
    <w:rsid w:val="005D6404"/>
    <w:rsid w:val="005E3EC2"/>
    <w:rsid w:val="005E6B14"/>
    <w:rsid w:val="005F1056"/>
    <w:rsid w:val="005F2E9A"/>
    <w:rsid w:val="005F30C0"/>
    <w:rsid w:val="005F318A"/>
    <w:rsid w:val="005F4583"/>
    <w:rsid w:val="005F55D6"/>
    <w:rsid w:val="005F668A"/>
    <w:rsid w:val="005F7BCA"/>
    <w:rsid w:val="0060261F"/>
    <w:rsid w:val="006101C6"/>
    <w:rsid w:val="0061028E"/>
    <w:rsid w:val="006113BE"/>
    <w:rsid w:val="006152B0"/>
    <w:rsid w:val="0061738C"/>
    <w:rsid w:val="00617731"/>
    <w:rsid w:val="00631B08"/>
    <w:rsid w:val="00634544"/>
    <w:rsid w:val="00634A30"/>
    <w:rsid w:val="006373CD"/>
    <w:rsid w:val="00642840"/>
    <w:rsid w:val="00643EA0"/>
    <w:rsid w:val="006440EF"/>
    <w:rsid w:val="00646E1A"/>
    <w:rsid w:val="0064729E"/>
    <w:rsid w:val="006608AD"/>
    <w:rsid w:val="006612F0"/>
    <w:rsid w:val="0066724E"/>
    <w:rsid w:val="0067176B"/>
    <w:rsid w:val="00672F5C"/>
    <w:rsid w:val="0067530E"/>
    <w:rsid w:val="006762D5"/>
    <w:rsid w:val="00677809"/>
    <w:rsid w:val="006843AF"/>
    <w:rsid w:val="00686C11"/>
    <w:rsid w:val="006909F1"/>
    <w:rsid w:val="00690C41"/>
    <w:rsid w:val="006911A4"/>
    <w:rsid w:val="0069455D"/>
    <w:rsid w:val="00694991"/>
    <w:rsid w:val="0069667C"/>
    <w:rsid w:val="006A0C10"/>
    <w:rsid w:val="006A6117"/>
    <w:rsid w:val="006A784A"/>
    <w:rsid w:val="006B006F"/>
    <w:rsid w:val="006B1FD5"/>
    <w:rsid w:val="006B4D30"/>
    <w:rsid w:val="006B6E93"/>
    <w:rsid w:val="006C10E0"/>
    <w:rsid w:val="006D1D2F"/>
    <w:rsid w:val="006D3813"/>
    <w:rsid w:val="006D3B2F"/>
    <w:rsid w:val="006D46BD"/>
    <w:rsid w:val="006E2DAC"/>
    <w:rsid w:val="006E32EA"/>
    <w:rsid w:val="006E6779"/>
    <w:rsid w:val="006F019A"/>
    <w:rsid w:val="006F44AA"/>
    <w:rsid w:val="007006F6"/>
    <w:rsid w:val="00700F7D"/>
    <w:rsid w:val="00701936"/>
    <w:rsid w:val="00706C2D"/>
    <w:rsid w:val="00710C18"/>
    <w:rsid w:val="007112D9"/>
    <w:rsid w:val="00715977"/>
    <w:rsid w:val="0072082C"/>
    <w:rsid w:val="00721C67"/>
    <w:rsid w:val="007270CB"/>
    <w:rsid w:val="007310E5"/>
    <w:rsid w:val="00731151"/>
    <w:rsid w:val="007348D9"/>
    <w:rsid w:val="007405BD"/>
    <w:rsid w:val="007441E3"/>
    <w:rsid w:val="00746D15"/>
    <w:rsid w:val="00746E35"/>
    <w:rsid w:val="00751703"/>
    <w:rsid w:val="00751D1C"/>
    <w:rsid w:val="00756655"/>
    <w:rsid w:val="0076153E"/>
    <w:rsid w:val="0076214E"/>
    <w:rsid w:val="007628D4"/>
    <w:rsid w:val="00762BD7"/>
    <w:rsid w:val="0076363E"/>
    <w:rsid w:val="007661D3"/>
    <w:rsid w:val="007733D8"/>
    <w:rsid w:val="00773C07"/>
    <w:rsid w:val="00774BA4"/>
    <w:rsid w:val="00775D3F"/>
    <w:rsid w:val="007805E4"/>
    <w:rsid w:val="00783AF0"/>
    <w:rsid w:val="00792E66"/>
    <w:rsid w:val="00795E44"/>
    <w:rsid w:val="00796D36"/>
    <w:rsid w:val="00797F8D"/>
    <w:rsid w:val="007A38A5"/>
    <w:rsid w:val="007A46C1"/>
    <w:rsid w:val="007A62CD"/>
    <w:rsid w:val="007A7C96"/>
    <w:rsid w:val="007B2123"/>
    <w:rsid w:val="007C05B9"/>
    <w:rsid w:val="007C3688"/>
    <w:rsid w:val="007C43A0"/>
    <w:rsid w:val="007C7BEF"/>
    <w:rsid w:val="007D4CD9"/>
    <w:rsid w:val="007D58E8"/>
    <w:rsid w:val="007D6D80"/>
    <w:rsid w:val="007E09A2"/>
    <w:rsid w:val="007E1C67"/>
    <w:rsid w:val="007E1FDD"/>
    <w:rsid w:val="007E30B3"/>
    <w:rsid w:val="007E4938"/>
    <w:rsid w:val="007E553A"/>
    <w:rsid w:val="007F2B6B"/>
    <w:rsid w:val="007F541D"/>
    <w:rsid w:val="00800753"/>
    <w:rsid w:val="00806934"/>
    <w:rsid w:val="0082091A"/>
    <w:rsid w:val="00830F4B"/>
    <w:rsid w:val="00833356"/>
    <w:rsid w:val="00833B31"/>
    <w:rsid w:val="00836832"/>
    <w:rsid w:val="0084079E"/>
    <w:rsid w:val="00840EF1"/>
    <w:rsid w:val="00843BAA"/>
    <w:rsid w:val="008525CE"/>
    <w:rsid w:val="00854840"/>
    <w:rsid w:val="008550DF"/>
    <w:rsid w:val="00861205"/>
    <w:rsid w:val="0086340E"/>
    <w:rsid w:val="00883894"/>
    <w:rsid w:val="0088487D"/>
    <w:rsid w:val="0088559A"/>
    <w:rsid w:val="008856DF"/>
    <w:rsid w:val="00886AFB"/>
    <w:rsid w:val="008872CF"/>
    <w:rsid w:val="00892A60"/>
    <w:rsid w:val="00893520"/>
    <w:rsid w:val="008A49E9"/>
    <w:rsid w:val="008C069D"/>
    <w:rsid w:val="008C12CF"/>
    <w:rsid w:val="008C37F2"/>
    <w:rsid w:val="008C5164"/>
    <w:rsid w:val="008D02AA"/>
    <w:rsid w:val="008D04CC"/>
    <w:rsid w:val="008D0DF1"/>
    <w:rsid w:val="008D1B84"/>
    <w:rsid w:val="008D1D0F"/>
    <w:rsid w:val="008D60CE"/>
    <w:rsid w:val="008E58BE"/>
    <w:rsid w:val="008E7A2D"/>
    <w:rsid w:val="008F58C9"/>
    <w:rsid w:val="00901046"/>
    <w:rsid w:val="00916353"/>
    <w:rsid w:val="00916F21"/>
    <w:rsid w:val="00923254"/>
    <w:rsid w:val="00926C6A"/>
    <w:rsid w:val="00931C84"/>
    <w:rsid w:val="009326E7"/>
    <w:rsid w:val="0093272E"/>
    <w:rsid w:val="0093492C"/>
    <w:rsid w:val="00936B70"/>
    <w:rsid w:val="0094522D"/>
    <w:rsid w:val="009455DF"/>
    <w:rsid w:val="00945795"/>
    <w:rsid w:val="00951050"/>
    <w:rsid w:val="00952D4D"/>
    <w:rsid w:val="0095576B"/>
    <w:rsid w:val="00955EE0"/>
    <w:rsid w:val="00957E8F"/>
    <w:rsid w:val="00962278"/>
    <w:rsid w:val="009650C8"/>
    <w:rsid w:val="00972EB5"/>
    <w:rsid w:val="00974A87"/>
    <w:rsid w:val="00975777"/>
    <w:rsid w:val="009763B1"/>
    <w:rsid w:val="00976C17"/>
    <w:rsid w:val="009778C4"/>
    <w:rsid w:val="00977953"/>
    <w:rsid w:val="00983070"/>
    <w:rsid w:val="009850F8"/>
    <w:rsid w:val="00985147"/>
    <w:rsid w:val="00985564"/>
    <w:rsid w:val="00990269"/>
    <w:rsid w:val="00991B22"/>
    <w:rsid w:val="0099306E"/>
    <w:rsid w:val="00994BE2"/>
    <w:rsid w:val="009A1824"/>
    <w:rsid w:val="009A3605"/>
    <w:rsid w:val="009A609C"/>
    <w:rsid w:val="009A6BDD"/>
    <w:rsid w:val="009B55EE"/>
    <w:rsid w:val="009C2DEB"/>
    <w:rsid w:val="009C7C45"/>
    <w:rsid w:val="009D46A2"/>
    <w:rsid w:val="009D6BE5"/>
    <w:rsid w:val="009D7F65"/>
    <w:rsid w:val="009E3A1F"/>
    <w:rsid w:val="009F02B5"/>
    <w:rsid w:val="009F3241"/>
    <w:rsid w:val="009F46F5"/>
    <w:rsid w:val="009F483C"/>
    <w:rsid w:val="009F5107"/>
    <w:rsid w:val="009F5193"/>
    <w:rsid w:val="009F56FD"/>
    <w:rsid w:val="009F64DC"/>
    <w:rsid w:val="009F651D"/>
    <w:rsid w:val="009F7455"/>
    <w:rsid w:val="00A02DD4"/>
    <w:rsid w:val="00A057BB"/>
    <w:rsid w:val="00A05949"/>
    <w:rsid w:val="00A05BA2"/>
    <w:rsid w:val="00A07EE2"/>
    <w:rsid w:val="00A158E0"/>
    <w:rsid w:val="00A167B1"/>
    <w:rsid w:val="00A16894"/>
    <w:rsid w:val="00A203FB"/>
    <w:rsid w:val="00A2113C"/>
    <w:rsid w:val="00A2123D"/>
    <w:rsid w:val="00A245F9"/>
    <w:rsid w:val="00A2688C"/>
    <w:rsid w:val="00A30654"/>
    <w:rsid w:val="00A40324"/>
    <w:rsid w:val="00A40811"/>
    <w:rsid w:val="00A41783"/>
    <w:rsid w:val="00A41A70"/>
    <w:rsid w:val="00A47644"/>
    <w:rsid w:val="00A559C8"/>
    <w:rsid w:val="00A56186"/>
    <w:rsid w:val="00A57A1F"/>
    <w:rsid w:val="00A6023C"/>
    <w:rsid w:val="00A644CB"/>
    <w:rsid w:val="00A66B0E"/>
    <w:rsid w:val="00A66DA1"/>
    <w:rsid w:val="00A6798D"/>
    <w:rsid w:val="00A74CF1"/>
    <w:rsid w:val="00A7571A"/>
    <w:rsid w:val="00A777D9"/>
    <w:rsid w:val="00A77C29"/>
    <w:rsid w:val="00A80D28"/>
    <w:rsid w:val="00A81954"/>
    <w:rsid w:val="00A865C7"/>
    <w:rsid w:val="00A91122"/>
    <w:rsid w:val="00A91281"/>
    <w:rsid w:val="00A930B2"/>
    <w:rsid w:val="00AA13AE"/>
    <w:rsid w:val="00AA51FE"/>
    <w:rsid w:val="00AB0790"/>
    <w:rsid w:val="00AB74E4"/>
    <w:rsid w:val="00AC19CE"/>
    <w:rsid w:val="00AC1BAB"/>
    <w:rsid w:val="00AC2185"/>
    <w:rsid w:val="00AC5FA3"/>
    <w:rsid w:val="00AC68CB"/>
    <w:rsid w:val="00AD2889"/>
    <w:rsid w:val="00AD489C"/>
    <w:rsid w:val="00AD60C9"/>
    <w:rsid w:val="00AE17C1"/>
    <w:rsid w:val="00AE2298"/>
    <w:rsid w:val="00AE565A"/>
    <w:rsid w:val="00AE5814"/>
    <w:rsid w:val="00AE69BC"/>
    <w:rsid w:val="00AF1917"/>
    <w:rsid w:val="00AF47E2"/>
    <w:rsid w:val="00AF74DD"/>
    <w:rsid w:val="00B06BC8"/>
    <w:rsid w:val="00B07B3E"/>
    <w:rsid w:val="00B113E6"/>
    <w:rsid w:val="00B1207E"/>
    <w:rsid w:val="00B12784"/>
    <w:rsid w:val="00B13F89"/>
    <w:rsid w:val="00B27090"/>
    <w:rsid w:val="00B276DB"/>
    <w:rsid w:val="00B34AEC"/>
    <w:rsid w:val="00B37771"/>
    <w:rsid w:val="00B47FF8"/>
    <w:rsid w:val="00B51C34"/>
    <w:rsid w:val="00B53355"/>
    <w:rsid w:val="00B54F4C"/>
    <w:rsid w:val="00B630EA"/>
    <w:rsid w:val="00B658E5"/>
    <w:rsid w:val="00B756DC"/>
    <w:rsid w:val="00B81156"/>
    <w:rsid w:val="00B811A5"/>
    <w:rsid w:val="00B81485"/>
    <w:rsid w:val="00B83C6E"/>
    <w:rsid w:val="00B83F92"/>
    <w:rsid w:val="00B85A5D"/>
    <w:rsid w:val="00B87D91"/>
    <w:rsid w:val="00B91171"/>
    <w:rsid w:val="00B91AC0"/>
    <w:rsid w:val="00B923C2"/>
    <w:rsid w:val="00B96CF5"/>
    <w:rsid w:val="00B9709A"/>
    <w:rsid w:val="00B97662"/>
    <w:rsid w:val="00BA0530"/>
    <w:rsid w:val="00BA085A"/>
    <w:rsid w:val="00BA08DA"/>
    <w:rsid w:val="00BA17BB"/>
    <w:rsid w:val="00BA67C2"/>
    <w:rsid w:val="00BA74A3"/>
    <w:rsid w:val="00BB1BB7"/>
    <w:rsid w:val="00BB4603"/>
    <w:rsid w:val="00BC1195"/>
    <w:rsid w:val="00BC3C3A"/>
    <w:rsid w:val="00BC6802"/>
    <w:rsid w:val="00BC7AEC"/>
    <w:rsid w:val="00BD0E92"/>
    <w:rsid w:val="00BD70DE"/>
    <w:rsid w:val="00BD7965"/>
    <w:rsid w:val="00BE1EF7"/>
    <w:rsid w:val="00BE27DD"/>
    <w:rsid w:val="00BE34A5"/>
    <w:rsid w:val="00BE3BF7"/>
    <w:rsid w:val="00BE633A"/>
    <w:rsid w:val="00BE732B"/>
    <w:rsid w:val="00BE7E38"/>
    <w:rsid w:val="00BF0B56"/>
    <w:rsid w:val="00BF2227"/>
    <w:rsid w:val="00BF5FFC"/>
    <w:rsid w:val="00C0168B"/>
    <w:rsid w:val="00C15C10"/>
    <w:rsid w:val="00C170BF"/>
    <w:rsid w:val="00C203D5"/>
    <w:rsid w:val="00C2205D"/>
    <w:rsid w:val="00C242EC"/>
    <w:rsid w:val="00C26EC4"/>
    <w:rsid w:val="00C303BD"/>
    <w:rsid w:val="00C3278C"/>
    <w:rsid w:val="00C33FB5"/>
    <w:rsid w:val="00C35783"/>
    <w:rsid w:val="00C35997"/>
    <w:rsid w:val="00C3683F"/>
    <w:rsid w:val="00C43C8F"/>
    <w:rsid w:val="00C4501B"/>
    <w:rsid w:val="00C4622F"/>
    <w:rsid w:val="00C50C68"/>
    <w:rsid w:val="00C52B5A"/>
    <w:rsid w:val="00C5640A"/>
    <w:rsid w:val="00C6010B"/>
    <w:rsid w:val="00C638AC"/>
    <w:rsid w:val="00C64C29"/>
    <w:rsid w:val="00C6512D"/>
    <w:rsid w:val="00C702F3"/>
    <w:rsid w:val="00C8010E"/>
    <w:rsid w:val="00C86414"/>
    <w:rsid w:val="00C90EA7"/>
    <w:rsid w:val="00C913D6"/>
    <w:rsid w:val="00C9613A"/>
    <w:rsid w:val="00C97631"/>
    <w:rsid w:val="00CA162A"/>
    <w:rsid w:val="00CA33A3"/>
    <w:rsid w:val="00CA3415"/>
    <w:rsid w:val="00CA3598"/>
    <w:rsid w:val="00CA38D6"/>
    <w:rsid w:val="00CB25BD"/>
    <w:rsid w:val="00CB2F80"/>
    <w:rsid w:val="00CB4253"/>
    <w:rsid w:val="00CB431F"/>
    <w:rsid w:val="00CC4977"/>
    <w:rsid w:val="00CD37F8"/>
    <w:rsid w:val="00CE1955"/>
    <w:rsid w:val="00CE6005"/>
    <w:rsid w:val="00CE6B54"/>
    <w:rsid w:val="00CF2649"/>
    <w:rsid w:val="00D00142"/>
    <w:rsid w:val="00D013C3"/>
    <w:rsid w:val="00D0209F"/>
    <w:rsid w:val="00D12E58"/>
    <w:rsid w:val="00D16F4C"/>
    <w:rsid w:val="00D2236C"/>
    <w:rsid w:val="00D26F2E"/>
    <w:rsid w:val="00D272E0"/>
    <w:rsid w:val="00D33CE4"/>
    <w:rsid w:val="00D362AD"/>
    <w:rsid w:val="00D37818"/>
    <w:rsid w:val="00D43684"/>
    <w:rsid w:val="00D458F7"/>
    <w:rsid w:val="00D45E11"/>
    <w:rsid w:val="00D5046C"/>
    <w:rsid w:val="00D54475"/>
    <w:rsid w:val="00D54B64"/>
    <w:rsid w:val="00D551BE"/>
    <w:rsid w:val="00D567D0"/>
    <w:rsid w:val="00D57783"/>
    <w:rsid w:val="00D6185D"/>
    <w:rsid w:val="00D67670"/>
    <w:rsid w:val="00D716D0"/>
    <w:rsid w:val="00D72FDF"/>
    <w:rsid w:val="00D74E68"/>
    <w:rsid w:val="00D74F02"/>
    <w:rsid w:val="00D76499"/>
    <w:rsid w:val="00D84787"/>
    <w:rsid w:val="00D8521B"/>
    <w:rsid w:val="00D86F04"/>
    <w:rsid w:val="00D96CBE"/>
    <w:rsid w:val="00D97942"/>
    <w:rsid w:val="00D97EB1"/>
    <w:rsid w:val="00DA02FC"/>
    <w:rsid w:val="00DA0C12"/>
    <w:rsid w:val="00DA2D28"/>
    <w:rsid w:val="00DA3A53"/>
    <w:rsid w:val="00DB4022"/>
    <w:rsid w:val="00DB4B76"/>
    <w:rsid w:val="00DB70BE"/>
    <w:rsid w:val="00DC3116"/>
    <w:rsid w:val="00DC5432"/>
    <w:rsid w:val="00DD0377"/>
    <w:rsid w:val="00DD34D5"/>
    <w:rsid w:val="00DD4FDE"/>
    <w:rsid w:val="00DD5A28"/>
    <w:rsid w:val="00DE20E3"/>
    <w:rsid w:val="00DE2342"/>
    <w:rsid w:val="00DE2EF8"/>
    <w:rsid w:val="00DE52E1"/>
    <w:rsid w:val="00DE7C86"/>
    <w:rsid w:val="00DF0CD5"/>
    <w:rsid w:val="00DF1617"/>
    <w:rsid w:val="00DF16DE"/>
    <w:rsid w:val="00DF2C14"/>
    <w:rsid w:val="00DF387A"/>
    <w:rsid w:val="00DF38C6"/>
    <w:rsid w:val="00E014A5"/>
    <w:rsid w:val="00E0636C"/>
    <w:rsid w:val="00E1044C"/>
    <w:rsid w:val="00E10BD4"/>
    <w:rsid w:val="00E146EB"/>
    <w:rsid w:val="00E163C7"/>
    <w:rsid w:val="00E201A0"/>
    <w:rsid w:val="00E210B2"/>
    <w:rsid w:val="00E216BF"/>
    <w:rsid w:val="00E2701A"/>
    <w:rsid w:val="00E30BDE"/>
    <w:rsid w:val="00E40FB8"/>
    <w:rsid w:val="00E41083"/>
    <w:rsid w:val="00E52D22"/>
    <w:rsid w:val="00E54E30"/>
    <w:rsid w:val="00E61514"/>
    <w:rsid w:val="00E70A8D"/>
    <w:rsid w:val="00E808C0"/>
    <w:rsid w:val="00E812BD"/>
    <w:rsid w:val="00E81D85"/>
    <w:rsid w:val="00E82084"/>
    <w:rsid w:val="00E82691"/>
    <w:rsid w:val="00E82E7E"/>
    <w:rsid w:val="00E842AD"/>
    <w:rsid w:val="00E84491"/>
    <w:rsid w:val="00E84BD8"/>
    <w:rsid w:val="00E84FE6"/>
    <w:rsid w:val="00E93AE6"/>
    <w:rsid w:val="00E9638A"/>
    <w:rsid w:val="00EB7DCD"/>
    <w:rsid w:val="00EC3C77"/>
    <w:rsid w:val="00ED524E"/>
    <w:rsid w:val="00ED5B19"/>
    <w:rsid w:val="00ED7452"/>
    <w:rsid w:val="00ED7975"/>
    <w:rsid w:val="00EE06F4"/>
    <w:rsid w:val="00EE2A9C"/>
    <w:rsid w:val="00EE30BC"/>
    <w:rsid w:val="00EE35AE"/>
    <w:rsid w:val="00EE4F6B"/>
    <w:rsid w:val="00EE501E"/>
    <w:rsid w:val="00EE5A77"/>
    <w:rsid w:val="00EE6386"/>
    <w:rsid w:val="00EF1028"/>
    <w:rsid w:val="00EF1A6B"/>
    <w:rsid w:val="00EF4260"/>
    <w:rsid w:val="00EF7F20"/>
    <w:rsid w:val="00F03A8C"/>
    <w:rsid w:val="00F06E1D"/>
    <w:rsid w:val="00F15B94"/>
    <w:rsid w:val="00F17D1E"/>
    <w:rsid w:val="00F21BBF"/>
    <w:rsid w:val="00F2332C"/>
    <w:rsid w:val="00F23E99"/>
    <w:rsid w:val="00F272BC"/>
    <w:rsid w:val="00F3402F"/>
    <w:rsid w:val="00F34829"/>
    <w:rsid w:val="00F34F0F"/>
    <w:rsid w:val="00F376B2"/>
    <w:rsid w:val="00F41CF2"/>
    <w:rsid w:val="00F44116"/>
    <w:rsid w:val="00F4534E"/>
    <w:rsid w:val="00F534A0"/>
    <w:rsid w:val="00F55069"/>
    <w:rsid w:val="00F62AEC"/>
    <w:rsid w:val="00F64624"/>
    <w:rsid w:val="00F66574"/>
    <w:rsid w:val="00F67D79"/>
    <w:rsid w:val="00F70214"/>
    <w:rsid w:val="00F7066C"/>
    <w:rsid w:val="00F7378B"/>
    <w:rsid w:val="00F73884"/>
    <w:rsid w:val="00F74ED3"/>
    <w:rsid w:val="00F7581D"/>
    <w:rsid w:val="00F82D8C"/>
    <w:rsid w:val="00F83897"/>
    <w:rsid w:val="00F84A15"/>
    <w:rsid w:val="00F862DE"/>
    <w:rsid w:val="00F91143"/>
    <w:rsid w:val="00F93CE5"/>
    <w:rsid w:val="00F95B47"/>
    <w:rsid w:val="00F96424"/>
    <w:rsid w:val="00FA1F9B"/>
    <w:rsid w:val="00FB571D"/>
    <w:rsid w:val="00FB71A8"/>
    <w:rsid w:val="00FC5B94"/>
    <w:rsid w:val="00FC5D74"/>
    <w:rsid w:val="00FD07CE"/>
    <w:rsid w:val="00FE258A"/>
    <w:rsid w:val="00FE2A3D"/>
    <w:rsid w:val="00FE68E2"/>
    <w:rsid w:val="00FE7152"/>
    <w:rsid w:val="00FE793A"/>
    <w:rsid w:val="00FF2D46"/>
    <w:rsid w:val="00FF4D8B"/>
    <w:rsid w:val="0127971D"/>
    <w:rsid w:val="021DA3CF"/>
    <w:rsid w:val="02B0C66D"/>
    <w:rsid w:val="0336C5BB"/>
    <w:rsid w:val="03524C8F"/>
    <w:rsid w:val="044C96CE"/>
    <w:rsid w:val="0647D551"/>
    <w:rsid w:val="06C0135D"/>
    <w:rsid w:val="0825BDB2"/>
    <w:rsid w:val="088CF9F2"/>
    <w:rsid w:val="0A11316F"/>
    <w:rsid w:val="0AA7AF13"/>
    <w:rsid w:val="0ABBD852"/>
    <w:rsid w:val="0C1BCE3A"/>
    <w:rsid w:val="0CE4A66A"/>
    <w:rsid w:val="0CEA55E4"/>
    <w:rsid w:val="0CF001EB"/>
    <w:rsid w:val="0D4D74DA"/>
    <w:rsid w:val="0DC874CB"/>
    <w:rsid w:val="0E562C3A"/>
    <w:rsid w:val="0F675266"/>
    <w:rsid w:val="10615253"/>
    <w:rsid w:val="120912E4"/>
    <w:rsid w:val="12E3F022"/>
    <w:rsid w:val="1606787F"/>
    <w:rsid w:val="166D7664"/>
    <w:rsid w:val="17638181"/>
    <w:rsid w:val="17DA7D98"/>
    <w:rsid w:val="197E1E54"/>
    <w:rsid w:val="1A8D1FEA"/>
    <w:rsid w:val="1B56D741"/>
    <w:rsid w:val="1BAA1D8A"/>
    <w:rsid w:val="1D618F70"/>
    <w:rsid w:val="1EA400C9"/>
    <w:rsid w:val="1F001304"/>
    <w:rsid w:val="1FA2A19A"/>
    <w:rsid w:val="1FCC1E80"/>
    <w:rsid w:val="20ABCA13"/>
    <w:rsid w:val="20FC616E"/>
    <w:rsid w:val="21D188EB"/>
    <w:rsid w:val="23E2087A"/>
    <w:rsid w:val="23FF6EC8"/>
    <w:rsid w:val="26A4FA0E"/>
    <w:rsid w:val="274893F4"/>
    <w:rsid w:val="27C1EE70"/>
    <w:rsid w:val="2857B050"/>
    <w:rsid w:val="2877ADB5"/>
    <w:rsid w:val="28958A00"/>
    <w:rsid w:val="28AF84A7"/>
    <w:rsid w:val="28D69586"/>
    <w:rsid w:val="2A78155A"/>
    <w:rsid w:val="2AD184AA"/>
    <w:rsid w:val="2D3EE469"/>
    <w:rsid w:val="2D9233D1"/>
    <w:rsid w:val="2E07FE85"/>
    <w:rsid w:val="2E1DE1F1"/>
    <w:rsid w:val="2E50B593"/>
    <w:rsid w:val="2E8ADE17"/>
    <w:rsid w:val="3046FD96"/>
    <w:rsid w:val="3078F8F3"/>
    <w:rsid w:val="308D0B7E"/>
    <w:rsid w:val="30DB47EC"/>
    <w:rsid w:val="319B850C"/>
    <w:rsid w:val="32630557"/>
    <w:rsid w:val="33D5B9E7"/>
    <w:rsid w:val="34CFD9B2"/>
    <w:rsid w:val="363B5E74"/>
    <w:rsid w:val="37A08EC6"/>
    <w:rsid w:val="37AEE0CB"/>
    <w:rsid w:val="38A792CD"/>
    <w:rsid w:val="391BD7BE"/>
    <w:rsid w:val="39819472"/>
    <w:rsid w:val="3C68D6B5"/>
    <w:rsid w:val="3D6872EE"/>
    <w:rsid w:val="3E10C522"/>
    <w:rsid w:val="3E3BDD38"/>
    <w:rsid w:val="3F8C37F4"/>
    <w:rsid w:val="3FAF3F25"/>
    <w:rsid w:val="3FD7AD99"/>
    <w:rsid w:val="40028941"/>
    <w:rsid w:val="40948D46"/>
    <w:rsid w:val="409A84AB"/>
    <w:rsid w:val="40B63CFF"/>
    <w:rsid w:val="41CEE5C6"/>
    <w:rsid w:val="42F7068B"/>
    <w:rsid w:val="43B6A3BC"/>
    <w:rsid w:val="4538AA4F"/>
    <w:rsid w:val="459FE703"/>
    <w:rsid w:val="45DFE2A3"/>
    <w:rsid w:val="4660A805"/>
    <w:rsid w:val="4854C0C0"/>
    <w:rsid w:val="4A1E057D"/>
    <w:rsid w:val="4A715EF1"/>
    <w:rsid w:val="4A79FDCD"/>
    <w:rsid w:val="4B7D311C"/>
    <w:rsid w:val="4C0C3CD9"/>
    <w:rsid w:val="4D94770B"/>
    <w:rsid w:val="4EB4395C"/>
    <w:rsid w:val="4EE95744"/>
    <w:rsid w:val="4EF1F435"/>
    <w:rsid w:val="4F388D67"/>
    <w:rsid w:val="50092AEE"/>
    <w:rsid w:val="516BEFDD"/>
    <w:rsid w:val="519E7403"/>
    <w:rsid w:val="52082C8B"/>
    <w:rsid w:val="5317A50D"/>
    <w:rsid w:val="5340CBB0"/>
    <w:rsid w:val="53493F61"/>
    <w:rsid w:val="5378B6A8"/>
    <w:rsid w:val="54DC9C11"/>
    <w:rsid w:val="5508812A"/>
    <w:rsid w:val="557C1886"/>
    <w:rsid w:val="5582F0C5"/>
    <w:rsid w:val="55E9CFAC"/>
    <w:rsid w:val="569F9644"/>
    <w:rsid w:val="56B58389"/>
    <w:rsid w:val="56C0AE0C"/>
    <w:rsid w:val="5705B1AE"/>
    <w:rsid w:val="584F0150"/>
    <w:rsid w:val="5948794C"/>
    <w:rsid w:val="59899BF2"/>
    <w:rsid w:val="59F23CF6"/>
    <w:rsid w:val="5A875006"/>
    <w:rsid w:val="5B0451CA"/>
    <w:rsid w:val="5CC7B99F"/>
    <w:rsid w:val="60EE8E75"/>
    <w:rsid w:val="60F8C80C"/>
    <w:rsid w:val="623B73C6"/>
    <w:rsid w:val="6248EFF7"/>
    <w:rsid w:val="6408E6B2"/>
    <w:rsid w:val="640C69DE"/>
    <w:rsid w:val="6519711C"/>
    <w:rsid w:val="65FF6906"/>
    <w:rsid w:val="66887FEB"/>
    <w:rsid w:val="6777CF41"/>
    <w:rsid w:val="67D43B08"/>
    <w:rsid w:val="69024E27"/>
    <w:rsid w:val="690AEA5D"/>
    <w:rsid w:val="691996B9"/>
    <w:rsid w:val="69FC4E74"/>
    <w:rsid w:val="6A5401DC"/>
    <w:rsid w:val="6ACE252E"/>
    <w:rsid w:val="6BAC1EA7"/>
    <w:rsid w:val="6BC11FFA"/>
    <w:rsid w:val="6D068673"/>
    <w:rsid w:val="6ED7E527"/>
    <w:rsid w:val="6EED4E9F"/>
    <w:rsid w:val="6F275497"/>
    <w:rsid w:val="6FD76DF3"/>
    <w:rsid w:val="70775B56"/>
    <w:rsid w:val="70FCA113"/>
    <w:rsid w:val="7218116C"/>
    <w:rsid w:val="72A5562D"/>
    <w:rsid w:val="72E9BD49"/>
    <w:rsid w:val="7347AF2E"/>
    <w:rsid w:val="73678AEF"/>
    <w:rsid w:val="74022D21"/>
    <w:rsid w:val="7402D1A8"/>
    <w:rsid w:val="74CE4709"/>
    <w:rsid w:val="759EA209"/>
    <w:rsid w:val="76DD820E"/>
    <w:rsid w:val="7773897F"/>
    <w:rsid w:val="77A5F7A3"/>
    <w:rsid w:val="77E42C7E"/>
    <w:rsid w:val="78ADE5BB"/>
    <w:rsid w:val="79BF1C57"/>
    <w:rsid w:val="7AB5AF0B"/>
    <w:rsid w:val="7B3D082C"/>
    <w:rsid w:val="7B7AF855"/>
    <w:rsid w:val="7BA91A14"/>
    <w:rsid w:val="7C281210"/>
    <w:rsid w:val="7D76F91C"/>
    <w:rsid w:val="7FA8D7A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314A20DE"/>
  <w15:docId w15:val="{E5BD7D8A-71B8-4F90-A586-EE9BE63E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0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65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4CC"/>
    <w:pPr>
      <w:ind w:left="720"/>
      <w:contextualSpacing/>
    </w:pPr>
  </w:style>
  <w:style w:type="paragraph" w:customStyle="1" w:styleId="Default">
    <w:name w:val="Default"/>
    <w:rsid w:val="003C6B07"/>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59"/>
    <w:rsid w:val="00AE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B8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D1B84"/>
  </w:style>
  <w:style w:type="paragraph" w:styleId="Voettekst">
    <w:name w:val="footer"/>
    <w:basedOn w:val="Standaard"/>
    <w:link w:val="VoettekstChar"/>
    <w:uiPriority w:val="99"/>
    <w:unhideWhenUsed/>
    <w:rsid w:val="008D1B8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D1B84"/>
  </w:style>
  <w:style w:type="paragraph" w:styleId="Ballontekst">
    <w:name w:val="Balloon Text"/>
    <w:basedOn w:val="Standaard"/>
    <w:link w:val="BallontekstChar"/>
    <w:uiPriority w:val="99"/>
    <w:semiHidden/>
    <w:unhideWhenUsed/>
    <w:rsid w:val="00A15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8E0"/>
    <w:rPr>
      <w:rFonts w:ascii="Segoe UI" w:hAnsi="Segoe UI" w:cs="Segoe UI"/>
      <w:sz w:val="18"/>
      <w:szCs w:val="18"/>
    </w:rPr>
  </w:style>
  <w:style w:type="paragraph" w:styleId="Revisie">
    <w:name w:val="Revision"/>
    <w:hidden/>
    <w:uiPriority w:val="99"/>
    <w:semiHidden/>
    <w:rsid w:val="007D6D80"/>
    <w:pPr>
      <w:spacing w:after="0" w:line="240" w:lineRule="auto"/>
    </w:pPr>
  </w:style>
  <w:style w:type="paragraph" w:styleId="Titel">
    <w:name w:val="Title"/>
    <w:basedOn w:val="Standaard"/>
    <w:next w:val="Standaard"/>
    <w:link w:val="TitelChar"/>
    <w:uiPriority w:val="10"/>
    <w:qFormat/>
    <w:rsid w:val="00B12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207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5046C"/>
    <w:rPr>
      <w:color w:val="0563C1" w:themeColor="hyperlink"/>
      <w:u w:val="single"/>
    </w:rPr>
  </w:style>
  <w:style w:type="character" w:customStyle="1" w:styleId="UnresolvedMention1">
    <w:name w:val="Unresolved Mention1"/>
    <w:basedOn w:val="Standaardalinea-lettertype"/>
    <w:uiPriority w:val="99"/>
    <w:semiHidden/>
    <w:unhideWhenUsed/>
    <w:rsid w:val="00D5046C"/>
    <w:rPr>
      <w:color w:val="605E5C"/>
      <w:shd w:val="clear" w:color="auto" w:fill="E1DFDD"/>
    </w:rPr>
  </w:style>
  <w:style w:type="character" w:customStyle="1" w:styleId="Kop1Char">
    <w:name w:val="Kop 1 Char"/>
    <w:basedOn w:val="Standaardalinea-lettertype"/>
    <w:link w:val="Kop1"/>
    <w:uiPriority w:val="9"/>
    <w:rsid w:val="00D5046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D46BD"/>
    <w:pPr>
      <w:outlineLvl w:val="9"/>
    </w:pPr>
    <w:rPr>
      <w:lang w:val="nl-BE" w:eastAsia="nl-BE"/>
    </w:rPr>
  </w:style>
  <w:style w:type="character" w:styleId="Verwijzingopmerking">
    <w:name w:val="annotation reference"/>
    <w:basedOn w:val="Standaardalinea-lettertype"/>
    <w:uiPriority w:val="99"/>
    <w:semiHidden/>
    <w:unhideWhenUsed/>
    <w:rsid w:val="00C4501B"/>
    <w:rPr>
      <w:sz w:val="16"/>
      <w:szCs w:val="16"/>
    </w:rPr>
  </w:style>
  <w:style w:type="paragraph" w:styleId="Tekstopmerking">
    <w:name w:val="annotation text"/>
    <w:basedOn w:val="Standaard"/>
    <w:link w:val="TekstopmerkingChar"/>
    <w:uiPriority w:val="99"/>
    <w:semiHidden/>
    <w:unhideWhenUsed/>
    <w:rsid w:val="00C450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01B"/>
    <w:rPr>
      <w:sz w:val="20"/>
      <w:szCs w:val="20"/>
    </w:rPr>
  </w:style>
  <w:style w:type="paragraph" w:styleId="Onderwerpvanopmerking">
    <w:name w:val="annotation subject"/>
    <w:basedOn w:val="Tekstopmerking"/>
    <w:next w:val="Tekstopmerking"/>
    <w:link w:val="OnderwerpvanopmerkingChar"/>
    <w:uiPriority w:val="99"/>
    <w:semiHidden/>
    <w:unhideWhenUsed/>
    <w:rsid w:val="00C4501B"/>
    <w:rPr>
      <w:b/>
      <w:bCs/>
    </w:rPr>
  </w:style>
  <w:style w:type="character" w:customStyle="1" w:styleId="OnderwerpvanopmerkingChar">
    <w:name w:val="Onderwerp van opmerking Char"/>
    <w:basedOn w:val="TekstopmerkingChar"/>
    <w:link w:val="Onderwerpvanopmerking"/>
    <w:uiPriority w:val="99"/>
    <w:semiHidden/>
    <w:rsid w:val="00C4501B"/>
    <w:rPr>
      <w:b/>
      <w:bCs/>
      <w:sz w:val="20"/>
      <w:szCs w:val="20"/>
    </w:rPr>
  </w:style>
  <w:style w:type="character" w:styleId="Onopgelostemelding">
    <w:name w:val="Unresolved Mention"/>
    <w:basedOn w:val="Standaardalinea-lettertype"/>
    <w:uiPriority w:val="99"/>
    <w:semiHidden/>
    <w:unhideWhenUsed/>
    <w:rsid w:val="00096EDD"/>
    <w:rPr>
      <w:color w:val="605E5C"/>
      <w:shd w:val="clear" w:color="auto" w:fill="E1DFDD"/>
    </w:rPr>
  </w:style>
  <w:style w:type="character" w:customStyle="1" w:styleId="Kop2Char">
    <w:name w:val="Kop 2 Char"/>
    <w:basedOn w:val="Standaardalinea-lettertype"/>
    <w:link w:val="Kop2"/>
    <w:uiPriority w:val="9"/>
    <w:rsid w:val="00F66574"/>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EE5A77"/>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Voetnoottekst">
    <w:name w:val="footnote text"/>
    <w:basedOn w:val="Standaard"/>
    <w:link w:val="VoetnoottekstChar"/>
    <w:uiPriority w:val="99"/>
    <w:semiHidden/>
    <w:unhideWhenUsed/>
    <w:rsid w:val="00FE25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258A"/>
    <w:rPr>
      <w:sz w:val="20"/>
      <w:szCs w:val="20"/>
    </w:rPr>
  </w:style>
  <w:style w:type="character" w:styleId="Voetnootmarkering">
    <w:name w:val="footnote reference"/>
    <w:basedOn w:val="Standaardalinea-lettertype"/>
    <w:uiPriority w:val="99"/>
    <w:semiHidden/>
    <w:unhideWhenUsed/>
    <w:rsid w:val="00FE258A"/>
    <w:rPr>
      <w:vertAlign w:val="superscript"/>
    </w:rPr>
  </w:style>
  <w:style w:type="character" w:styleId="GevolgdeHyperlink">
    <w:name w:val="FollowedHyperlink"/>
    <w:basedOn w:val="Standaardalinea-lettertype"/>
    <w:uiPriority w:val="99"/>
    <w:semiHidden/>
    <w:unhideWhenUsed/>
    <w:rsid w:val="00007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6509">
      <w:bodyDiv w:val="1"/>
      <w:marLeft w:val="0"/>
      <w:marRight w:val="0"/>
      <w:marTop w:val="0"/>
      <w:marBottom w:val="0"/>
      <w:divBdr>
        <w:top w:val="none" w:sz="0" w:space="0" w:color="auto"/>
        <w:left w:val="none" w:sz="0" w:space="0" w:color="auto"/>
        <w:bottom w:val="none" w:sz="0" w:space="0" w:color="auto"/>
        <w:right w:val="none" w:sz="0" w:space="0" w:color="auto"/>
      </w:divBdr>
    </w:div>
    <w:div w:id="165705046">
      <w:bodyDiv w:val="1"/>
      <w:marLeft w:val="0"/>
      <w:marRight w:val="0"/>
      <w:marTop w:val="0"/>
      <w:marBottom w:val="0"/>
      <w:divBdr>
        <w:top w:val="none" w:sz="0" w:space="0" w:color="auto"/>
        <w:left w:val="none" w:sz="0" w:space="0" w:color="auto"/>
        <w:bottom w:val="none" w:sz="0" w:space="0" w:color="auto"/>
        <w:right w:val="none" w:sz="0" w:space="0" w:color="auto"/>
      </w:divBdr>
    </w:div>
    <w:div w:id="271665637">
      <w:bodyDiv w:val="1"/>
      <w:marLeft w:val="0"/>
      <w:marRight w:val="0"/>
      <w:marTop w:val="0"/>
      <w:marBottom w:val="0"/>
      <w:divBdr>
        <w:top w:val="none" w:sz="0" w:space="0" w:color="auto"/>
        <w:left w:val="none" w:sz="0" w:space="0" w:color="auto"/>
        <w:bottom w:val="none" w:sz="0" w:space="0" w:color="auto"/>
        <w:right w:val="none" w:sz="0" w:space="0" w:color="auto"/>
      </w:divBdr>
    </w:div>
    <w:div w:id="282686860">
      <w:bodyDiv w:val="1"/>
      <w:marLeft w:val="0"/>
      <w:marRight w:val="0"/>
      <w:marTop w:val="0"/>
      <w:marBottom w:val="0"/>
      <w:divBdr>
        <w:top w:val="none" w:sz="0" w:space="0" w:color="auto"/>
        <w:left w:val="none" w:sz="0" w:space="0" w:color="auto"/>
        <w:bottom w:val="none" w:sz="0" w:space="0" w:color="auto"/>
        <w:right w:val="none" w:sz="0" w:space="0" w:color="auto"/>
      </w:divBdr>
    </w:div>
    <w:div w:id="504634079">
      <w:bodyDiv w:val="1"/>
      <w:marLeft w:val="0"/>
      <w:marRight w:val="0"/>
      <w:marTop w:val="0"/>
      <w:marBottom w:val="0"/>
      <w:divBdr>
        <w:top w:val="none" w:sz="0" w:space="0" w:color="auto"/>
        <w:left w:val="none" w:sz="0" w:space="0" w:color="auto"/>
        <w:bottom w:val="none" w:sz="0" w:space="0" w:color="auto"/>
        <w:right w:val="none" w:sz="0" w:space="0" w:color="auto"/>
      </w:divBdr>
    </w:div>
    <w:div w:id="514275096">
      <w:bodyDiv w:val="1"/>
      <w:marLeft w:val="0"/>
      <w:marRight w:val="0"/>
      <w:marTop w:val="0"/>
      <w:marBottom w:val="0"/>
      <w:divBdr>
        <w:top w:val="none" w:sz="0" w:space="0" w:color="auto"/>
        <w:left w:val="none" w:sz="0" w:space="0" w:color="auto"/>
        <w:bottom w:val="none" w:sz="0" w:space="0" w:color="auto"/>
        <w:right w:val="none" w:sz="0" w:space="0" w:color="auto"/>
      </w:divBdr>
    </w:div>
    <w:div w:id="624625576">
      <w:bodyDiv w:val="1"/>
      <w:marLeft w:val="0"/>
      <w:marRight w:val="0"/>
      <w:marTop w:val="0"/>
      <w:marBottom w:val="0"/>
      <w:divBdr>
        <w:top w:val="none" w:sz="0" w:space="0" w:color="auto"/>
        <w:left w:val="none" w:sz="0" w:space="0" w:color="auto"/>
        <w:bottom w:val="none" w:sz="0" w:space="0" w:color="auto"/>
        <w:right w:val="none" w:sz="0" w:space="0" w:color="auto"/>
      </w:divBdr>
    </w:div>
    <w:div w:id="654995450">
      <w:bodyDiv w:val="1"/>
      <w:marLeft w:val="0"/>
      <w:marRight w:val="0"/>
      <w:marTop w:val="0"/>
      <w:marBottom w:val="0"/>
      <w:divBdr>
        <w:top w:val="none" w:sz="0" w:space="0" w:color="auto"/>
        <w:left w:val="none" w:sz="0" w:space="0" w:color="auto"/>
        <w:bottom w:val="none" w:sz="0" w:space="0" w:color="auto"/>
        <w:right w:val="none" w:sz="0" w:space="0" w:color="auto"/>
      </w:divBdr>
    </w:div>
    <w:div w:id="664087766">
      <w:bodyDiv w:val="1"/>
      <w:marLeft w:val="0"/>
      <w:marRight w:val="0"/>
      <w:marTop w:val="0"/>
      <w:marBottom w:val="0"/>
      <w:divBdr>
        <w:top w:val="none" w:sz="0" w:space="0" w:color="auto"/>
        <w:left w:val="none" w:sz="0" w:space="0" w:color="auto"/>
        <w:bottom w:val="none" w:sz="0" w:space="0" w:color="auto"/>
        <w:right w:val="none" w:sz="0" w:space="0" w:color="auto"/>
      </w:divBdr>
    </w:div>
    <w:div w:id="709846189">
      <w:bodyDiv w:val="1"/>
      <w:marLeft w:val="0"/>
      <w:marRight w:val="0"/>
      <w:marTop w:val="0"/>
      <w:marBottom w:val="0"/>
      <w:divBdr>
        <w:top w:val="none" w:sz="0" w:space="0" w:color="auto"/>
        <w:left w:val="none" w:sz="0" w:space="0" w:color="auto"/>
        <w:bottom w:val="none" w:sz="0" w:space="0" w:color="auto"/>
        <w:right w:val="none" w:sz="0" w:space="0" w:color="auto"/>
      </w:divBdr>
    </w:div>
    <w:div w:id="789007585">
      <w:bodyDiv w:val="1"/>
      <w:marLeft w:val="0"/>
      <w:marRight w:val="0"/>
      <w:marTop w:val="0"/>
      <w:marBottom w:val="0"/>
      <w:divBdr>
        <w:top w:val="none" w:sz="0" w:space="0" w:color="auto"/>
        <w:left w:val="none" w:sz="0" w:space="0" w:color="auto"/>
        <w:bottom w:val="none" w:sz="0" w:space="0" w:color="auto"/>
        <w:right w:val="none" w:sz="0" w:space="0" w:color="auto"/>
      </w:divBdr>
    </w:div>
    <w:div w:id="926160700">
      <w:bodyDiv w:val="1"/>
      <w:marLeft w:val="0"/>
      <w:marRight w:val="0"/>
      <w:marTop w:val="0"/>
      <w:marBottom w:val="0"/>
      <w:divBdr>
        <w:top w:val="none" w:sz="0" w:space="0" w:color="auto"/>
        <w:left w:val="none" w:sz="0" w:space="0" w:color="auto"/>
        <w:bottom w:val="none" w:sz="0" w:space="0" w:color="auto"/>
        <w:right w:val="none" w:sz="0" w:space="0" w:color="auto"/>
      </w:divBdr>
    </w:div>
    <w:div w:id="987855552">
      <w:bodyDiv w:val="1"/>
      <w:marLeft w:val="0"/>
      <w:marRight w:val="0"/>
      <w:marTop w:val="0"/>
      <w:marBottom w:val="0"/>
      <w:divBdr>
        <w:top w:val="none" w:sz="0" w:space="0" w:color="auto"/>
        <w:left w:val="none" w:sz="0" w:space="0" w:color="auto"/>
        <w:bottom w:val="none" w:sz="0" w:space="0" w:color="auto"/>
        <w:right w:val="none" w:sz="0" w:space="0" w:color="auto"/>
      </w:divBdr>
    </w:div>
    <w:div w:id="1042242143">
      <w:bodyDiv w:val="1"/>
      <w:marLeft w:val="0"/>
      <w:marRight w:val="0"/>
      <w:marTop w:val="0"/>
      <w:marBottom w:val="0"/>
      <w:divBdr>
        <w:top w:val="none" w:sz="0" w:space="0" w:color="auto"/>
        <w:left w:val="none" w:sz="0" w:space="0" w:color="auto"/>
        <w:bottom w:val="none" w:sz="0" w:space="0" w:color="auto"/>
        <w:right w:val="none" w:sz="0" w:space="0" w:color="auto"/>
      </w:divBdr>
    </w:div>
    <w:div w:id="1176337943">
      <w:bodyDiv w:val="1"/>
      <w:marLeft w:val="0"/>
      <w:marRight w:val="0"/>
      <w:marTop w:val="0"/>
      <w:marBottom w:val="0"/>
      <w:divBdr>
        <w:top w:val="none" w:sz="0" w:space="0" w:color="auto"/>
        <w:left w:val="none" w:sz="0" w:space="0" w:color="auto"/>
        <w:bottom w:val="none" w:sz="0" w:space="0" w:color="auto"/>
        <w:right w:val="none" w:sz="0" w:space="0" w:color="auto"/>
      </w:divBdr>
    </w:div>
    <w:div w:id="1287659942">
      <w:bodyDiv w:val="1"/>
      <w:marLeft w:val="0"/>
      <w:marRight w:val="0"/>
      <w:marTop w:val="0"/>
      <w:marBottom w:val="0"/>
      <w:divBdr>
        <w:top w:val="none" w:sz="0" w:space="0" w:color="auto"/>
        <w:left w:val="none" w:sz="0" w:space="0" w:color="auto"/>
        <w:bottom w:val="none" w:sz="0" w:space="0" w:color="auto"/>
        <w:right w:val="none" w:sz="0" w:space="0" w:color="auto"/>
      </w:divBdr>
    </w:div>
    <w:div w:id="1340742187">
      <w:bodyDiv w:val="1"/>
      <w:marLeft w:val="0"/>
      <w:marRight w:val="0"/>
      <w:marTop w:val="0"/>
      <w:marBottom w:val="0"/>
      <w:divBdr>
        <w:top w:val="none" w:sz="0" w:space="0" w:color="auto"/>
        <w:left w:val="none" w:sz="0" w:space="0" w:color="auto"/>
        <w:bottom w:val="none" w:sz="0" w:space="0" w:color="auto"/>
        <w:right w:val="none" w:sz="0" w:space="0" w:color="auto"/>
      </w:divBdr>
    </w:div>
    <w:div w:id="1527215021">
      <w:bodyDiv w:val="1"/>
      <w:marLeft w:val="0"/>
      <w:marRight w:val="0"/>
      <w:marTop w:val="0"/>
      <w:marBottom w:val="0"/>
      <w:divBdr>
        <w:top w:val="none" w:sz="0" w:space="0" w:color="auto"/>
        <w:left w:val="none" w:sz="0" w:space="0" w:color="auto"/>
        <w:bottom w:val="none" w:sz="0" w:space="0" w:color="auto"/>
        <w:right w:val="none" w:sz="0" w:space="0" w:color="auto"/>
      </w:divBdr>
    </w:div>
    <w:div w:id="1697845399">
      <w:bodyDiv w:val="1"/>
      <w:marLeft w:val="0"/>
      <w:marRight w:val="0"/>
      <w:marTop w:val="0"/>
      <w:marBottom w:val="0"/>
      <w:divBdr>
        <w:top w:val="none" w:sz="0" w:space="0" w:color="auto"/>
        <w:left w:val="none" w:sz="0" w:space="0" w:color="auto"/>
        <w:bottom w:val="none" w:sz="0" w:space="0" w:color="auto"/>
        <w:right w:val="none" w:sz="0" w:space="0" w:color="auto"/>
      </w:divBdr>
    </w:div>
    <w:div w:id="1709335743">
      <w:bodyDiv w:val="1"/>
      <w:marLeft w:val="0"/>
      <w:marRight w:val="0"/>
      <w:marTop w:val="0"/>
      <w:marBottom w:val="0"/>
      <w:divBdr>
        <w:top w:val="none" w:sz="0" w:space="0" w:color="auto"/>
        <w:left w:val="none" w:sz="0" w:space="0" w:color="auto"/>
        <w:bottom w:val="none" w:sz="0" w:space="0" w:color="auto"/>
        <w:right w:val="none" w:sz="0" w:space="0" w:color="auto"/>
      </w:divBdr>
    </w:div>
    <w:div w:id="1786074070">
      <w:bodyDiv w:val="1"/>
      <w:marLeft w:val="0"/>
      <w:marRight w:val="0"/>
      <w:marTop w:val="0"/>
      <w:marBottom w:val="0"/>
      <w:divBdr>
        <w:top w:val="none" w:sz="0" w:space="0" w:color="auto"/>
        <w:left w:val="none" w:sz="0" w:space="0" w:color="auto"/>
        <w:bottom w:val="none" w:sz="0" w:space="0" w:color="auto"/>
        <w:right w:val="none" w:sz="0" w:space="0" w:color="auto"/>
      </w:divBdr>
    </w:div>
    <w:div w:id="1865895264">
      <w:bodyDiv w:val="1"/>
      <w:marLeft w:val="0"/>
      <w:marRight w:val="0"/>
      <w:marTop w:val="0"/>
      <w:marBottom w:val="0"/>
      <w:divBdr>
        <w:top w:val="none" w:sz="0" w:space="0" w:color="auto"/>
        <w:left w:val="none" w:sz="0" w:space="0" w:color="auto"/>
        <w:bottom w:val="none" w:sz="0" w:space="0" w:color="auto"/>
        <w:right w:val="none" w:sz="0" w:space="0" w:color="auto"/>
      </w:divBdr>
    </w:div>
    <w:div w:id="20706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www.milieuinfo.be/servicedesk/servicedesk/customer/portal/4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c.europa.eu/clima/sites/default/files/ets/allowances/docs/p4_gd4_verification_far_baseline_en.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nergiesparen.be/toewijzingen-fase-4-2021-2030" TargetMode="External"/><Relationship Id="rId20" Type="http://schemas.openxmlformats.org/officeDocument/2006/relationships/hyperlink" Target="https://eur03.safelinks.protection.outlook.com/?url=https%3A%2F%2Fec.europa.eu%2Fclima%2Fsites%2Fdefault%2Ffiles%2Fets%2Fregistry%2Fdocs%2Foperators_ets_en.xlsx&amp;data=04%7C01%7Cnaomi.cambien%40vlaanderen.be%7C07ecdd89d16d47d2458808d90674ba8c%7C0c0338a695614ee8b8d64e89cbd520a0%7C0%7C0%7C637547920678576322%7CUnknown%7CTWFpbGZsb3d8eyJWIjoiMC4wLjAwMDAiLCJQIjoiV2luMzIiLCJBTiI6Ik1haWwiLCJXVCI6Mn0%3D%7C1000&amp;sdata=Sn5tziaM9nE07m2ifE5I%2BUrClObYHTotn0kFbXPNJuU%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lima/sites/default/files/ets/allowances/docs/p4_gd5_mr_guidance_en.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lex.europa.eu/eli/reg_impl/2019/1842/o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mgevingvlaanderen.login.paddlecms.net/sites/default/files/atoms/files/ToekennenETSgebruikersrechten-AlgemeneToelicht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clima/sites/clima/files/ets/allowances/docs/gd7_activity_level_changes_en.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903991B951AC49924E33F09B7BA6C0" ma:contentTypeVersion="1" ma:contentTypeDescription="Een nieuw document maken." ma:contentTypeScope="" ma:versionID="49eaf52f2d5beb0a05e594bf6117785c">
  <xsd:schema xmlns:xsd="http://www.w3.org/2001/XMLSchema" xmlns:xs="http://www.w3.org/2001/XMLSchema" xmlns:p="http://schemas.microsoft.com/office/2006/metadata/properties" xmlns:ns2="http://schemas.microsoft.com/sharepoint/v3/fields" targetNamespace="http://schemas.microsoft.com/office/2006/metadata/properties" ma:root="true" ma:fieldsID="6eea9ed8fa486eeccdd782e69de343a2"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e" ma:decimals="0" ma:internalName="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Beschrijv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6ADE3-4925-49BC-8309-195BA8E59F9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21340D43-C82C-4365-A563-F2F3B3E56DC8}">
  <ds:schemaRefs>
    <ds:schemaRef ds:uri="http://schemas.microsoft.com/sharepoint/v3/contenttype/forms"/>
  </ds:schemaRefs>
</ds:datastoreItem>
</file>

<file path=customXml/itemProps3.xml><?xml version="1.0" encoding="utf-8"?>
<ds:datastoreItem xmlns:ds="http://schemas.openxmlformats.org/officeDocument/2006/customXml" ds:itemID="{BE406B0F-D75A-438A-91A9-3B12ED5EFBB1}">
  <ds:schemaRefs>
    <ds:schemaRef ds:uri="http://schemas.openxmlformats.org/officeDocument/2006/bibliography"/>
  </ds:schemaRefs>
</ds:datastoreItem>
</file>

<file path=customXml/itemProps4.xml><?xml version="1.0" encoding="utf-8"?>
<ds:datastoreItem xmlns:ds="http://schemas.openxmlformats.org/officeDocument/2006/customXml" ds:itemID="{8AABCA3D-5531-418D-874D-49B27FFF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2626</Words>
  <Characters>14444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VITO</Company>
  <LinksUpToDate>false</LinksUpToDate>
  <CharactersWithSpaces>17036</CharactersWithSpaces>
  <SharedDoc>false</SharedDoc>
  <HLinks>
    <vt:vector size="24" baseType="variant">
      <vt:variant>
        <vt:i4>2883711</vt:i4>
      </vt:variant>
      <vt:variant>
        <vt:i4>18</vt:i4>
      </vt:variant>
      <vt:variant>
        <vt:i4>0</vt:i4>
      </vt:variant>
      <vt:variant>
        <vt:i4>5</vt:i4>
      </vt:variant>
      <vt:variant>
        <vt:lpwstr>https://prtr.eea.europa.eu/</vt:lpwstr>
      </vt:variant>
      <vt:variant>
        <vt:lpwstr>/home</vt:lpwstr>
      </vt:variant>
      <vt:variant>
        <vt:i4>30</vt:i4>
      </vt:variant>
      <vt:variant>
        <vt:i4>15</vt:i4>
      </vt:variant>
      <vt:variant>
        <vt:i4>0</vt:i4>
      </vt:variant>
      <vt:variant>
        <vt:i4>5</vt:i4>
      </vt:variant>
      <vt:variant>
        <vt:lpwstr>https://omgeving.vlaanderen.be/eu-ets-vaste-installaties-cijferoverzicht-vlaanderen-toewijzingen-en-emissies</vt:lpwstr>
      </vt:variant>
      <vt:variant>
        <vt:lpwstr/>
      </vt:variant>
      <vt:variant>
        <vt:i4>4194404</vt:i4>
      </vt:variant>
      <vt:variant>
        <vt:i4>3</vt:i4>
      </vt:variant>
      <vt:variant>
        <vt:i4>0</vt:i4>
      </vt:variant>
      <vt:variant>
        <vt:i4>5</vt:i4>
      </vt:variant>
      <vt:variant>
        <vt:lpwstr>mailto:vbbv@vbbv.be</vt:lpwstr>
      </vt:variant>
      <vt:variant>
        <vt:lpwstr/>
      </vt:variant>
      <vt:variant>
        <vt:i4>2162748</vt:i4>
      </vt:variant>
      <vt:variant>
        <vt:i4>0</vt:i4>
      </vt:variant>
      <vt:variant>
        <vt:i4>0</vt:i4>
      </vt:variant>
      <vt:variant>
        <vt:i4>5</vt:i4>
      </vt:variant>
      <vt:variant>
        <vt:lpwstr>https://us8.campaign-archive.com/?u=fc2b34091076a21b79f8d47e0&amp;id=45e7a2647a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Xavier</dc:creator>
  <cp:keywords/>
  <cp:lastModifiedBy>Defranc Thomas</cp:lastModifiedBy>
  <cp:revision>5</cp:revision>
  <cp:lastPrinted>2019-10-18T05:24:00Z</cp:lastPrinted>
  <dcterms:created xsi:type="dcterms:W3CDTF">2021-05-03T08:52:00Z</dcterms:created>
  <dcterms:modified xsi:type="dcterms:W3CDTF">2021-05-03T10:56:00Z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0x01010036903991B951AC49924E33F09B7BA6C0</vt:lpwstr>
  </property>
  <property fmtid="{D5CDD505-2E9C-101B-9397-08002B2CF9AE}" pid="3" name="Trefwoorden">
    <vt:lpwstr>2;#21-25|2b827eed-3e1a-4efa-9375-e4a537c53917</vt:lpwstr>
  </property>
  <property fmtid="{D5CDD505-2E9C-101B-9397-08002B2CF9AE}" pid="4" name="Afdeling">
    <vt:lpwstr/>
  </property>
  <property fmtid="{D5CDD505-2E9C-101B-9397-08002B2CF9AE}" pid="5" name="Categorie">
    <vt:lpwstr/>
  </property>
  <property fmtid="{D5CDD505-2E9C-101B-9397-08002B2CF9AE}" pid="6" name="Sitelassificatie">
    <vt:lpwstr/>
  </property>
  <property fmtid="{D5CDD505-2E9C-101B-9397-08002B2CF9AE}" pid="7" name="Documentsoort">
    <vt:lpwstr/>
  </property>
  <property fmtid="{D5CDD505-2E9C-101B-9397-08002B2CF9AE}" pid="8" name="Documentstatus">
    <vt:lpwstr/>
  </property>
  <property fmtid="{D5CDD505-2E9C-101B-9397-08002B2CF9AE}" pid="9" name="Subcategorie">
    <vt:lpwstr>3;#fMMP|0e8e7841-4188-4154-b106-c3751da40547</vt:lpwstr>
  </property>
  <property fmtid="{D5CDD505-2E9C-101B-9397-08002B2CF9AE}" pid="10" name="Documentthema">
    <vt:lpwstr/>
  </property>
  <property fmtid="{D5CDD505-2E9C-101B-9397-08002B2CF9AE}" pid="11" name="sitethema">
    <vt:lpwstr/>
  </property>
  <property fmtid="{D5CDD505-2E9C-101B-9397-08002B2CF9AE}" pid="12" name="i0f94a3f0cf74a849dc1c82df2365aff">
    <vt:lpwstr>fMMP|0e8e7841-4188-4154-b106-c3751da40547</vt:lpwstr>
  </property>
  <property fmtid="{D5CDD505-2E9C-101B-9397-08002B2CF9AE}" pid="13" name="g2eeb4b171884b3ead40c8a41071c033">
    <vt:lpwstr/>
  </property>
  <property fmtid="{D5CDD505-2E9C-101B-9397-08002B2CF9AE}" pid="14" name="ofdf399f8d0446d3bf18bfbc826a81d3">
    <vt:lpwstr/>
  </property>
  <property fmtid="{D5CDD505-2E9C-101B-9397-08002B2CF9AE}" pid="15" name="c30cc315b851417eaa1844d9e063b496">
    <vt:lpwstr/>
  </property>
  <property fmtid="{D5CDD505-2E9C-101B-9397-08002B2CF9AE}" pid="16" name="m1c54f0ee17743f6879d78080491a617">
    <vt:lpwstr/>
  </property>
  <property fmtid="{D5CDD505-2E9C-101B-9397-08002B2CF9AE}" pid="17" name="TaxCatchAll">
    <vt:lpwstr>2;#21-25|2b827eed-3e1a-4efa-9375-e4a537c53917;#3;#fMMP|0e8e7841-4188-4154-b106-c3751da40547</vt:lpwstr>
  </property>
  <property fmtid="{D5CDD505-2E9C-101B-9397-08002B2CF9AE}" pid="18" name="gc40de707b3947dfb80a12bb865e8a30">
    <vt:lpwstr/>
  </property>
  <property fmtid="{D5CDD505-2E9C-101B-9397-08002B2CF9AE}" pid="19" name="g3ea2339d7524dd2a6f3cc9f28dae88f">
    <vt:lpwstr/>
  </property>
  <property fmtid="{D5CDD505-2E9C-101B-9397-08002B2CF9AE}" pid="20" name="c54e7d75793e460ca309cf5551b51000">
    <vt:lpwstr>21-25|2b827eed-3e1a-4efa-9375-e4a537c53917</vt:lpwstr>
  </property>
  <property fmtid="{D5CDD505-2E9C-101B-9397-08002B2CF9AE}" pid="21" name="o002230044d04336b4861241f84db058">
    <vt:lpwstr/>
  </property>
</Properties>
</file>