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4D5" w:rsidRPr="00536EC0" w:rsidRDefault="00BC34D5" w:rsidP="00BC34D5">
      <w:pPr>
        <w:pStyle w:val="Documenttype"/>
      </w:pPr>
      <w:r w:rsidRPr="005715D9">
        <w:rPr>
          <w:noProof/>
          <w:sz w:val="18"/>
          <w:szCs w:val="18"/>
          <w:lang w:eastAsia="nl-BE"/>
        </w:rPr>
        <w:drawing>
          <wp:anchor distT="0" distB="0" distL="114300" distR="114300" simplePos="0" relativeHeight="251668480" behindDoc="0" locked="0" layoutInCell="1" allowOverlap="1" wp14:anchorId="01BFF840" wp14:editId="3CA352C4">
            <wp:simplePos x="0" y="0"/>
            <wp:positionH relativeFrom="page">
              <wp:posOffset>956310</wp:posOffset>
            </wp:positionH>
            <wp:positionV relativeFrom="page">
              <wp:posOffset>832485</wp:posOffset>
            </wp:positionV>
            <wp:extent cx="2451600" cy="658800"/>
            <wp:effectExtent l="0" t="0" r="6350" b="8255"/>
            <wp:wrapNone/>
            <wp:docPr id="7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6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5D9">
        <w:t xml:space="preserve">/ </w:t>
      </w:r>
      <w:r>
        <w:t>Toelichting</w:t>
      </w:r>
    </w:p>
    <w:p w:rsidR="00BC34D5" w:rsidRDefault="00BC34D5" w:rsidP="000B6961">
      <w:pPr>
        <w:pStyle w:val="Titel"/>
        <w:jc w:val="both"/>
        <w:rPr>
          <w:rFonts w:ascii="Arial" w:hAnsi="Arial" w:cs="Arial"/>
          <w:b/>
          <w:bCs/>
          <w:sz w:val="48"/>
          <w:szCs w:val="48"/>
          <w:lang w:val="nl-BE"/>
        </w:rPr>
      </w:pPr>
    </w:p>
    <w:p w:rsidR="00BC34D5" w:rsidRDefault="00BC34D5" w:rsidP="000B6961">
      <w:pPr>
        <w:pStyle w:val="Titel"/>
        <w:jc w:val="both"/>
        <w:rPr>
          <w:rFonts w:ascii="Arial" w:hAnsi="Arial" w:cs="Arial"/>
          <w:b/>
          <w:bCs/>
          <w:sz w:val="48"/>
          <w:szCs w:val="48"/>
          <w:lang w:val="nl-BE"/>
        </w:rPr>
      </w:pPr>
    </w:p>
    <w:p w:rsidR="003D4750" w:rsidRPr="008872CF" w:rsidRDefault="003D4750" w:rsidP="000B6961">
      <w:pPr>
        <w:pStyle w:val="Titel"/>
        <w:jc w:val="both"/>
        <w:rPr>
          <w:rFonts w:ascii="Arial" w:hAnsi="Arial" w:cs="Arial"/>
          <w:b/>
          <w:bCs/>
          <w:sz w:val="48"/>
          <w:szCs w:val="48"/>
          <w:lang w:val="nl-BE"/>
        </w:rPr>
      </w:pPr>
      <w:r w:rsidRPr="69FC4E74">
        <w:rPr>
          <w:rFonts w:ascii="Arial" w:hAnsi="Arial" w:cs="Arial"/>
          <w:b/>
          <w:bCs/>
          <w:sz w:val="48"/>
          <w:szCs w:val="48"/>
          <w:lang w:val="nl-BE"/>
        </w:rPr>
        <w:t xml:space="preserve">Toelichting bij </w:t>
      </w:r>
      <w:r>
        <w:rPr>
          <w:rFonts w:ascii="Arial" w:hAnsi="Arial" w:cs="Arial"/>
          <w:b/>
          <w:bCs/>
          <w:sz w:val="48"/>
          <w:szCs w:val="48"/>
          <w:lang w:val="nl-BE"/>
        </w:rPr>
        <w:t>de bronstroom aardgas in het</w:t>
      </w:r>
      <w:r w:rsidRPr="69FC4E74">
        <w:rPr>
          <w:rFonts w:ascii="Arial" w:hAnsi="Arial" w:cs="Arial"/>
          <w:b/>
          <w:bCs/>
          <w:sz w:val="48"/>
          <w:szCs w:val="48"/>
          <w:lang w:val="nl-BE"/>
        </w:rPr>
        <w:t xml:space="preserve"> monitoringplan </w:t>
      </w:r>
      <w:r>
        <w:rPr>
          <w:rFonts w:ascii="Arial" w:hAnsi="Arial" w:cs="Arial"/>
          <w:b/>
          <w:bCs/>
          <w:sz w:val="48"/>
          <w:szCs w:val="48"/>
          <w:lang w:val="nl-BE"/>
        </w:rPr>
        <w:t>voor</w:t>
      </w:r>
      <w:r w:rsidRPr="69FC4E74">
        <w:rPr>
          <w:rFonts w:ascii="Arial" w:hAnsi="Arial" w:cs="Arial"/>
          <w:b/>
          <w:bCs/>
          <w:sz w:val="48"/>
          <w:szCs w:val="48"/>
          <w:lang w:val="nl-BE"/>
        </w:rPr>
        <w:t xml:space="preserve"> de handelsperiode 2021-2030</w:t>
      </w:r>
    </w:p>
    <w:p w:rsidR="007A5231" w:rsidRDefault="007A5231" w:rsidP="000B6961">
      <w:pPr>
        <w:ind w:right="95"/>
        <w:jc w:val="both"/>
        <w:rPr>
          <w:iCs/>
          <w:lang w:eastAsia="en-US"/>
        </w:rPr>
      </w:pPr>
    </w:p>
    <w:p w:rsidR="003D4750" w:rsidRPr="001C57A8" w:rsidRDefault="003D4750" w:rsidP="000B6961">
      <w:pPr>
        <w:autoSpaceDE w:val="0"/>
        <w:autoSpaceDN w:val="0"/>
        <w:adjustRightInd w:val="0"/>
        <w:jc w:val="both"/>
        <w:rPr>
          <w:i/>
          <w:iCs/>
          <w:color w:val="FF0000"/>
        </w:rPr>
      </w:pPr>
      <w:r w:rsidRPr="69FC4E74">
        <w:rPr>
          <w:i/>
          <w:iCs/>
          <w:color w:val="1C1A15"/>
        </w:rPr>
        <w:t xml:space="preserve">Datum laatste wijziging: </w:t>
      </w:r>
      <w:r w:rsidR="00E0501C">
        <w:rPr>
          <w:i/>
          <w:iCs/>
        </w:rPr>
        <w:t>8 december</w:t>
      </w:r>
      <w:r>
        <w:rPr>
          <w:i/>
          <w:iCs/>
        </w:rPr>
        <w:t xml:space="preserve"> 2021</w:t>
      </w:r>
      <w:r w:rsidRPr="003D4750">
        <w:rPr>
          <w:i/>
          <w:iCs/>
        </w:rPr>
        <w:t xml:space="preserve">, versienummer: </w:t>
      </w:r>
      <w:r w:rsidR="00E0501C">
        <w:rPr>
          <w:i/>
          <w:iCs/>
        </w:rPr>
        <w:t>2</w:t>
      </w:r>
    </w:p>
    <w:p w:rsidR="003D4750" w:rsidRDefault="003D4750" w:rsidP="000B6961">
      <w:pPr>
        <w:ind w:right="95"/>
        <w:jc w:val="both"/>
        <w:rPr>
          <w:iCs/>
          <w:lang w:eastAsia="en-US"/>
        </w:rPr>
      </w:pPr>
    </w:p>
    <w:p w:rsidR="007A5231" w:rsidRDefault="003D4750" w:rsidP="000B6961">
      <w:pPr>
        <w:ind w:right="95"/>
        <w:jc w:val="both"/>
        <w:rPr>
          <w:iCs/>
          <w:lang w:eastAsia="en-US"/>
        </w:rPr>
      </w:pPr>
      <w:r>
        <w:rPr>
          <w:iCs/>
          <w:lang w:eastAsia="en-US"/>
        </w:rPr>
        <w:t xml:space="preserve">Deze nota is van toepassing op </w:t>
      </w:r>
      <w:r w:rsidR="00BC34D5">
        <w:rPr>
          <w:iCs/>
          <w:lang w:eastAsia="en-US"/>
        </w:rPr>
        <w:t>BKG-</w:t>
      </w:r>
      <w:r>
        <w:rPr>
          <w:iCs/>
          <w:lang w:eastAsia="en-US"/>
        </w:rPr>
        <w:t xml:space="preserve">installaties </w:t>
      </w:r>
      <w:r w:rsidRPr="003D4750">
        <w:rPr>
          <w:iCs/>
          <w:lang w:eastAsia="en-US"/>
        </w:rPr>
        <w:t xml:space="preserve">waarvan </w:t>
      </w:r>
      <w:r>
        <w:rPr>
          <w:iCs/>
          <w:lang w:eastAsia="en-US"/>
        </w:rPr>
        <w:t>de</w:t>
      </w:r>
      <w:r w:rsidRPr="003D4750">
        <w:rPr>
          <w:iCs/>
          <w:lang w:eastAsia="en-US"/>
        </w:rPr>
        <w:t xml:space="preserve"> aardgasteller(s) </w:t>
      </w:r>
      <w:r w:rsidR="00BC34D5">
        <w:rPr>
          <w:iCs/>
          <w:lang w:eastAsia="en-US"/>
        </w:rPr>
        <w:t>beheerd wordt door</w:t>
      </w:r>
      <w:r w:rsidRPr="003D4750">
        <w:rPr>
          <w:iCs/>
          <w:lang w:eastAsia="en-US"/>
        </w:rPr>
        <w:t xml:space="preserve"> de transportnetbeheerder (Fluxys)</w:t>
      </w:r>
      <w:r w:rsidRPr="003D4750">
        <w:t xml:space="preserve"> </w:t>
      </w:r>
      <w:r>
        <w:rPr>
          <w:iCs/>
          <w:lang w:eastAsia="en-US"/>
        </w:rPr>
        <w:t xml:space="preserve">of </w:t>
      </w:r>
      <w:r w:rsidRPr="003D4750">
        <w:rPr>
          <w:iCs/>
          <w:lang w:eastAsia="en-US"/>
        </w:rPr>
        <w:t>de distributienetbeheerder (Fluvius)</w:t>
      </w:r>
      <w:r>
        <w:rPr>
          <w:iCs/>
          <w:lang w:eastAsia="en-US"/>
        </w:rPr>
        <w:t>. Voor deze installaties wordt verduidelijkt hoe de gegevens over de bronstroom aardgas moeten ingevuld worden in het monitoringplan</w:t>
      </w:r>
      <w:r w:rsidR="00CF547A">
        <w:rPr>
          <w:iCs/>
          <w:lang w:eastAsia="en-US"/>
        </w:rPr>
        <w:t xml:space="preserve"> (MP)</w:t>
      </w:r>
      <w:r>
        <w:rPr>
          <w:iCs/>
          <w:lang w:eastAsia="en-US"/>
        </w:rPr>
        <w:t>. De nota werd opgesteld in samenwerking met het VBBV.</w:t>
      </w:r>
    </w:p>
    <w:p w:rsidR="003F0DDB" w:rsidRDefault="003F0DDB" w:rsidP="000B6961">
      <w:pPr>
        <w:ind w:right="95"/>
        <w:jc w:val="both"/>
        <w:rPr>
          <w:iCs/>
          <w:lang w:eastAsia="en-US"/>
        </w:rPr>
      </w:pPr>
    </w:p>
    <w:sdt>
      <w:sdtPr>
        <w:rPr>
          <w:rFonts w:ascii="Calibri" w:eastAsiaTheme="minorHAnsi" w:hAnsi="Calibri" w:cs="Calibri"/>
          <w:color w:val="auto"/>
          <w:sz w:val="22"/>
          <w:szCs w:val="22"/>
          <w:lang w:val="nl-NL"/>
        </w:rPr>
        <w:id w:val="-1179111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F0DDB" w:rsidRDefault="003F0DDB">
          <w:pPr>
            <w:pStyle w:val="Kopvaninhoudsopgave"/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  <w:lang w:eastAsia="en-US"/>
            </w:rPr>
          </w:pPr>
          <w:r w:rsidRPr="003F0DDB"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  <w:lang w:eastAsia="en-US"/>
            </w:rPr>
            <w:t>Inhoud</w:t>
          </w:r>
        </w:p>
        <w:p w:rsidR="003F0DDB" w:rsidRPr="003F0DDB" w:rsidRDefault="003F0DDB" w:rsidP="003F0DDB">
          <w:pPr>
            <w:rPr>
              <w:lang w:eastAsia="en-US"/>
            </w:rPr>
          </w:pPr>
        </w:p>
        <w:p w:rsidR="00804584" w:rsidRDefault="003F0DDB">
          <w:pPr>
            <w:pStyle w:val="Inhopg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025960" w:history="1">
            <w:r w:rsidR="00804584" w:rsidRPr="00B778CB">
              <w:rPr>
                <w:rStyle w:val="Hyperlink"/>
                <w:rFonts w:cstheme="minorHAnsi"/>
                <w:b/>
                <w:bCs/>
                <w:noProof/>
              </w:rPr>
              <w:t>1.</w:t>
            </w:r>
            <w:r w:rsidR="008045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04584" w:rsidRPr="00B778CB">
              <w:rPr>
                <w:rStyle w:val="Hyperlink"/>
                <w:rFonts w:cstheme="minorHAnsi"/>
                <w:b/>
                <w:bCs/>
                <w:noProof/>
              </w:rPr>
              <w:t>Installaties waarvan de aardgasteller(s) beheerd wordt door de transportnetbeheerder (Fluxys)</w:t>
            </w:r>
            <w:r w:rsidR="00804584">
              <w:rPr>
                <w:noProof/>
                <w:webHidden/>
              </w:rPr>
              <w:tab/>
            </w:r>
            <w:r w:rsidR="00804584">
              <w:rPr>
                <w:noProof/>
                <w:webHidden/>
              </w:rPr>
              <w:fldChar w:fldCharType="begin"/>
            </w:r>
            <w:r w:rsidR="00804584">
              <w:rPr>
                <w:noProof/>
                <w:webHidden/>
              </w:rPr>
              <w:instrText xml:space="preserve"> PAGEREF _Toc73025960 \h </w:instrText>
            </w:r>
            <w:r w:rsidR="00804584">
              <w:rPr>
                <w:noProof/>
                <w:webHidden/>
              </w:rPr>
            </w:r>
            <w:r w:rsidR="00804584">
              <w:rPr>
                <w:noProof/>
                <w:webHidden/>
              </w:rPr>
              <w:fldChar w:fldCharType="separate"/>
            </w:r>
            <w:r w:rsidR="00804584">
              <w:rPr>
                <w:noProof/>
                <w:webHidden/>
              </w:rPr>
              <w:t>2</w:t>
            </w:r>
            <w:r w:rsidR="00804584">
              <w:rPr>
                <w:noProof/>
                <w:webHidden/>
              </w:rPr>
              <w:fldChar w:fldCharType="end"/>
            </w:r>
          </w:hyperlink>
        </w:p>
        <w:p w:rsidR="00804584" w:rsidRDefault="00F44C65">
          <w:pPr>
            <w:pStyle w:val="Inhopg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025961" w:history="1">
            <w:r w:rsidR="00804584" w:rsidRPr="00B778CB">
              <w:rPr>
                <w:rStyle w:val="Hyperlink"/>
                <w:noProof/>
              </w:rPr>
              <w:t>1.1</w:t>
            </w:r>
            <w:r w:rsidR="008045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04584" w:rsidRPr="00B778CB">
              <w:rPr>
                <w:rStyle w:val="Hyperlink"/>
                <w:noProof/>
              </w:rPr>
              <w:t>Activiteitsgegevens: beheer en verantwoordelijkheden</w:t>
            </w:r>
            <w:r w:rsidR="00804584">
              <w:rPr>
                <w:noProof/>
                <w:webHidden/>
              </w:rPr>
              <w:tab/>
            </w:r>
            <w:r w:rsidR="00804584">
              <w:rPr>
                <w:noProof/>
                <w:webHidden/>
              </w:rPr>
              <w:fldChar w:fldCharType="begin"/>
            </w:r>
            <w:r w:rsidR="00804584">
              <w:rPr>
                <w:noProof/>
                <w:webHidden/>
              </w:rPr>
              <w:instrText xml:space="preserve"> PAGEREF _Toc73025961 \h </w:instrText>
            </w:r>
            <w:r w:rsidR="00804584">
              <w:rPr>
                <w:noProof/>
                <w:webHidden/>
              </w:rPr>
            </w:r>
            <w:r w:rsidR="00804584">
              <w:rPr>
                <w:noProof/>
                <w:webHidden/>
              </w:rPr>
              <w:fldChar w:fldCharType="separate"/>
            </w:r>
            <w:r w:rsidR="00804584">
              <w:rPr>
                <w:noProof/>
                <w:webHidden/>
              </w:rPr>
              <w:t>2</w:t>
            </w:r>
            <w:r w:rsidR="00804584">
              <w:rPr>
                <w:noProof/>
                <w:webHidden/>
              </w:rPr>
              <w:fldChar w:fldCharType="end"/>
            </w:r>
          </w:hyperlink>
        </w:p>
        <w:p w:rsidR="00804584" w:rsidRDefault="00F44C65">
          <w:pPr>
            <w:pStyle w:val="Inhopg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025962" w:history="1">
            <w:r w:rsidR="00804584" w:rsidRPr="00B778CB">
              <w:rPr>
                <w:rStyle w:val="Hyperlink"/>
                <w:noProof/>
              </w:rPr>
              <w:t>1.2</w:t>
            </w:r>
            <w:r w:rsidR="008045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04584" w:rsidRPr="00B778CB">
              <w:rPr>
                <w:rStyle w:val="Hyperlink"/>
                <w:noProof/>
              </w:rPr>
              <w:t>Berekeningsfactoren</w:t>
            </w:r>
            <w:r w:rsidR="00804584">
              <w:rPr>
                <w:noProof/>
                <w:webHidden/>
              </w:rPr>
              <w:tab/>
            </w:r>
            <w:r w:rsidR="00804584">
              <w:rPr>
                <w:noProof/>
                <w:webHidden/>
              </w:rPr>
              <w:fldChar w:fldCharType="begin"/>
            </w:r>
            <w:r w:rsidR="00804584">
              <w:rPr>
                <w:noProof/>
                <w:webHidden/>
              </w:rPr>
              <w:instrText xml:space="preserve"> PAGEREF _Toc73025962 \h </w:instrText>
            </w:r>
            <w:r w:rsidR="00804584">
              <w:rPr>
                <w:noProof/>
                <w:webHidden/>
              </w:rPr>
            </w:r>
            <w:r w:rsidR="00804584">
              <w:rPr>
                <w:noProof/>
                <w:webHidden/>
              </w:rPr>
              <w:fldChar w:fldCharType="separate"/>
            </w:r>
            <w:r w:rsidR="00804584">
              <w:rPr>
                <w:noProof/>
                <w:webHidden/>
              </w:rPr>
              <w:t>2</w:t>
            </w:r>
            <w:r w:rsidR="00804584">
              <w:rPr>
                <w:noProof/>
                <w:webHidden/>
              </w:rPr>
              <w:fldChar w:fldCharType="end"/>
            </w:r>
          </w:hyperlink>
        </w:p>
        <w:p w:rsidR="00804584" w:rsidRDefault="00F44C65">
          <w:pPr>
            <w:pStyle w:val="Inhopg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025963" w:history="1">
            <w:r w:rsidR="00804584" w:rsidRPr="00B778CB">
              <w:rPr>
                <w:rStyle w:val="Hyperlink"/>
                <w:noProof/>
              </w:rPr>
              <w:t>1.3</w:t>
            </w:r>
            <w:r w:rsidR="008045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04584" w:rsidRPr="00B778CB">
              <w:rPr>
                <w:rStyle w:val="Hyperlink"/>
                <w:noProof/>
              </w:rPr>
              <w:t>Databeschikbaarheid</w:t>
            </w:r>
            <w:r w:rsidR="00804584">
              <w:rPr>
                <w:noProof/>
                <w:webHidden/>
              </w:rPr>
              <w:tab/>
            </w:r>
            <w:r w:rsidR="00804584">
              <w:rPr>
                <w:noProof/>
                <w:webHidden/>
              </w:rPr>
              <w:fldChar w:fldCharType="begin"/>
            </w:r>
            <w:r w:rsidR="00804584">
              <w:rPr>
                <w:noProof/>
                <w:webHidden/>
              </w:rPr>
              <w:instrText xml:space="preserve"> PAGEREF _Toc73025963 \h </w:instrText>
            </w:r>
            <w:r w:rsidR="00804584">
              <w:rPr>
                <w:noProof/>
                <w:webHidden/>
              </w:rPr>
            </w:r>
            <w:r w:rsidR="00804584">
              <w:rPr>
                <w:noProof/>
                <w:webHidden/>
              </w:rPr>
              <w:fldChar w:fldCharType="separate"/>
            </w:r>
            <w:r w:rsidR="00804584">
              <w:rPr>
                <w:noProof/>
                <w:webHidden/>
              </w:rPr>
              <w:t>2</w:t>
            </w:r>
            <w:r w:rsidR="00804584">
              <w:rPr>
                <w:noProof/>
                <w:webHidden/>
              </w:rPr>
              <w:fldChar w:fldCharType="end"/>
            </w:r>
          </w:hyperlink>
        </w:p>
        <w:p w:rsidR="00804584" w:rsidRDefault="00F44C65">
          <w:pPr>
            <w:pStyle w:val="Inhopg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025964" w:history="1">
            <w:r w:rsidR="00804584" w:rsidRPr="00B778CB">
              <w:rPr>
                <w:rStyle w:val="Hyperlink"/>
                <w:noProof/>
              </w:rPr>
              <w:t>1.4</w:t>
            </w:r>
            <w:r w:rsidR="008045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04584" w:rsidRPr="00B778CB">
              <w:rPr>
                <w:rStyle w:val="Hyperlink"/>
                <w:noProof/>
              </w:rPr>
              <w:t>Hoe omgaan met de bronstroom aardgas in het MP?</w:t>
            </w:r>
            <w:r w:rsidR="00804584">
              <w:rPr>
                <w:noProof/>
                <w:webHidden/>
              </w:rPr>
              <w:tab/>
            </w:r>
            <w:r w:rsidR="00804584">
              <w:rPr>
                <w:noProof/>
                <w:webHidden/>
              </w:rPr>
              <w:fldChar w:fldCharType="begin"/>
            </w:r>
            <w:r w:rsidR="00804584">
              <w:rPr>
                <w:noProof/>
                <w:webHidden/>
              </w:rPr>
              <w:instrText xml:space="preserve"> PAGEREF _Toc73025964 \h </w:instrText>
            </w:r>
            <w:r w:rsidR="00804584">
              <w:rPr>
                <w:noProof/>
                <w:webHidden/>
              </w:rPr>
            </w:r>
            <w:r w:rsidR="00804584">
              <w:rPr>
                <w:noProof/>
                <w:webHidden/>
              </w:rPr>
              <w:fldChar w:fldCharType="separate"/>
            </w:r>
            <w:r w:rsidR="00804584">
              <w:rPr>
                <w:noProof/>
                <w:webHidden/>
              </w:rPr>
              <w:t>3</w:t>
            </w:r>
            <w:r w:rsidR="00804584">
              <w:rPr>
                <w:noProof/>
                <w:webHidden/>
              </w:rPr>
              <w:fldChar w:fldCharType="end"/>
            </w:r>
          </w:hyperlink>
        </w:p>
        <w:p w:rsidR="00804584" w:rsidRDefault="00F44C65">
          <w:pPr>
            <w:pStyle w:val="Inhopg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025965" w:history="1">
            <w:r w:rsidR="00804584" w:rsidRPr="00B778CB">
              <w:rPr>
                <w:rStyle w:val="Hyperlink"/>
                <w:noProof/>
              </w:rPr>
              <w:t>1.5</w:t>
            </w:r>
            <w:r w:rsidR="008045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04584" w:rsidRPr="00B778CB">
              <w:rPr>
                <w:rStyle w:val="Hyperlink"/>
                <w:noProof/>
              </w:rPr>
              <w:t>Voorbeeld van een correct ingevuld MP (tabblad E_SourceStreams)</w:t>
            </w:r>
            <w:r w:rsidR="00804584">
              <w:rPr>
                <w:noProof/>
                <w:webHidden/>
              </w:rPr>
              <w:tab/>
            </w:r>
            <w:r w:rsidR="00804584">
              <w:rPr>
                <w:noProof/>
                <w:webHidden/>
              </w:rPr>
              <w:fldChar w:fldCharType="begin"/>
            </w:r>
            <w:r w:rsidR="00804584">
              <w:rPr>
                <w:noProof/>
                <w:webHidden/>
              </w:rPr>
              <w:instrText xml:space="preserve"> PAGEREF _Toc73025965 \h </w:instrText>
            </w:r>
            <w:r w:rsidR="00804584">
              <w:rPr>
                <w:noProof/>
                <w:webHidden/>
              </w:rPr>
            </w:r>
            <w:r w:rsidR="00804584">
              <w:rPr>
                <w:noProof/>
                <w:webHidden/>
              </w:rPr>
              <w:fldChar w:fldCharType="separate"/>
            </w:r>
            <w:r w:rsidR="00804584">
              <w:rPr>
                <w:noProof/>
                <w:webHidden/>
              </w:rPr>
              <w:t>4</w:t>
            </w:r>
            <w:r w:rsidR="00804584">
              <w:rPr>
                <w:noProof/>
                <w:webHidden/>
              </w:rPr>
              <w:fldChar w:fldCharType="end"/>
            </w:r>
          </w:hyperlink>
        </w:p>
        <w:p w:rsidR="00804584" w:rsidRDefault="00F44C65">
          <w:pPr>
            <w:pStyle w:val="Inhopg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025966" w:history="1">
            <w:r w:rsidR="00804584" w:rsidRPr="00B778CB">
              <w:rPr>
                <w:rStyle w:val="Hyperlink"/>
                <w:rFonts w:cstheme="minorHAnsi"/>
                <w:b/>
                <w:bCs/>
                <w:noProof/>
              </w:rPr>
              <w:t>2.</w:t>
            </w:r>
            <w:r w:rsidR="008045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04584" w:rsidRPr="00B778CB">
              <w:rPr>
                <w:rStyle w:val="Hyperlink"/>
                <w:rFonts w:cstheme="minorHAnsi"/>
                <w:b/>
                <w:bCs/>
                <w:noProof/>
              </w:rPr>
              <w:t>Installaties waarvan de aardgasteller(s) beheerd wordt door de distributienetbeheerder (Fluvius)</w:t>
            </w:r>
            <w:r w:rsidR="00804584">
              <w:rPr>
                <w:noProof/>
                <w:webHidden/>
              </w:rPr>
              <w:tab/>
            </w:r>
            <w:r w:rsidR="00804584">
              <w:rPr>
                <w:noProof/>
                <w:webHidden/>
              </w:rPr>
              <w:fldChar w:fldCharType="begin"/>
            </w:r>
            <w:r w:rsidR="00804584">
              <w:rPr>
                <w:noProof/>
                <w:webHidden/>
              </w:rPr>
              <w:instrText xml:space="preserve"> PAGEREF _Toc73025966 \h </w:instrText>
            </w:r>
            <w:r w:rsidR="00804584">
              <w:rPr>
                <w:noProof/>
                <w:webHidden/>
              </w:rPr>
            </w:r>
            <w:r w:rsidR="00804584">
              <w:rPr>
                <w:noProof/>
                <w:webHidden/>
              </w:rPr>
              <w:fldChar w:fldCharType="separate"/>
            </w:r>
            <w:r w:rsidR="00804584">
              <w:rPr>
                <w:noProof/>
                <w:webHidden/>
              </w:rPr>
              <w:t>5</w:t>
            </w:r>
            <w:r w:rsidR="00804584">
              <w:rPr>
                <w:noProof/>
                <w:webHidden/>
              </w:rPr>
              <w:fldChar w:fldCharType="end"/>
            </w:r>
          </w:hyperlink>
        </w:p>
        <w:p w:rsidR="00804584" w:rsidRDefault="00F44C65">
          <w:pPr>
            <w:pStyle w:val="Inhopg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025967" w:history="1">
            <w:r w:rsidR="00804584" w:rsidRPr="00B778CB">
              <w:rPr>
                <w:rStyle w:val="Hyperlink"/>
                <w:noProof/>
              </w:rPr>
              <w:t>2.1</w:t>
            </w:r>
            <w:r w:rsidR="008045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04584" w:rsidRPr="00B778CB">
              <w:rPr>
                <w:rStyle w:val="Hyperlink"/>
                <w:noProof/>
              </w:rPr>
              <w:t>Activiteitsgegevens: beheer en verantwoordelijkheden</w:t>
            </w:r>
            <w:r w:rsidR="00804584">
              <w:rPr>
                <w:noProof/>
                <w:webHidden/>
              </w:rPr>
              <w:tab/>
            </w:r>
            <w:r w:rsidR="00804584">
              <w:rPr>
                <w:noProof/>
                <w:webHidden/>
              </w:rPr>
              <w:fldChar w:fldCharType="begin"/>
            </w:r>
            <w:r w:rsidR="00804584">
              <w:rPr>
                <w:noProof/>
                <w:webHidden/>
              </w:rPr>
              <w:instrText xml:space="preserve"> PAGEREF _Toc73025967 \h </w:instrText>
            </w:r>
            <w:r w:rsidR="00804584">
              <w:rPr>
                <w:noProof/>
                <w:webHidden/>
              </w:rPr>
            </w:r>
            <w:r w:rsidR="00804584">
              <w:rPr>
                <w:noProof/>
                <w:webHidden/>
              </w:rPr>
              <w:fldChar w:fldCharType="separate"/>
            </w:r>
            <w:r w:rsidR="00804584">
              <w:rPr>
                <w:noProof/>
                <w:webHidden/>
              </w:rPr>
              <w:t>5</w:t>
            </w:r>
            <w:r w:rsidR="00804584">
              <w:rPr>
                <w:noProof/>
                <w:webHidden/>
              </w:rPr>
              <w:fldChar w:fldCharType="end"/>
            </w:r>
          </w:hyperlink>
        </w:p>
        <w:p w:rsidR="00804584" w:rsidRDefault="00F44C65">
          <w:pPr>
            <w:pStyle w:val="Inhopg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025968" w:history="1">
            <w:r w:rsidR="00804584" w:rsidRPr="00B778CB">
              <w:rPr>
                <w:rStyle w:val="Hyperlink"/>
                <w:noProof/>
              </w:rPr>
              <w:t>2.2</w:t>
            </w:r>
            <w:r w:rsidR="008045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04584" w:rsidRPr="00B778CB">
              <w:rPr>
                <w:rStyle w:val="Hyperlink"/>
                <w:noProof/>
              </w:rPr>
              <w:t>Berekeningsfactoren en databeschikbaarheid</w:t>
            </w:r>
            <w:r w:rsidR="00804584">
              <w:rPr>
                <w:noProof/>
                <w:webHidden/>
              </w:rPr>
              <w:tab/>
            </w:r>
            <w:r w:rsidR="00804584">
              <w:rPr>
                <w:noProof/>
                <w:webHidden/>
              </w:rPr>
              <w:fldChar w:fldCharType="begin"/>
            </w:r>
            <w:r w:rsidR="00804584">
              <w:rPr>
                <w:noProof/>
                <w:webHidden/>
              </w:rPr>
              <w:instrText xml:space="preserve"> PAGEREF _Toc73025968 \h </w:instrText>
            </w:r>
            <w:r w:rsidR="00804584">
              <w:rPr>
                <w:noProof/>
                <w:webHidden/>
              </w:rPr>
            </w:r>
            <w:r w:rsidR="00804584">
              <w:rPr>
                <w:noProof/>
                <w:webHidden/>
              </w:rPr>
              <w:fldChar w:fldCharType="separate"/>
            </w:r>
            <w:r w:rsidR="00804584">
              <w:rPr>
                <w:noProof/>
                <w:webHidden/>
              </w:rPr>
              <w:t>5</w:t>
            </w:r>
            <w:r w:rsidR="00804584">
              <w:rPr>
                <w:noProof/>
                <w:webHidden/>
              </w:rPr>
              <w:fldChar w:fldCharType="end"/>
            </w:r>
          </w:hyperlink>
        </w:p>
        <w:p w:rsidR="00804584" w:rsidRDefault="00F44C65">
          <w:pPr>
            <w:pStyle w:val="Inhopg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025969" w:history="1">
            <w:r w:rsidR="00804584" w:rsidRPr="00B778CB">
              <w:rPr>
                <w:rStyle w:val="Hyperlink"/>
                <w:noProof/>
              </w:rPr>
              <w:t>2.3</w:t>
            </w:r>
            <w:r w:rsidR="008045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04584" w:rsidRPr="00B778CB">
              <w:rPr>
                <w:rStyle w:val="Hyperlink"/>
                <w:noProof/>
              </w:rPr>
              <w:t>Hoe omgaan met de bronstroom aardgas in het MP?</w:t>
            </w:r>
            <w:r w:rsidR="00804584">
              <w:rPr>
                <w:noProof/>
                <w:webHidden/>
              </w:rPr>
              <w:tab/>
            </w:r>
            <w:r w:rsidR="00804584">
              <w:rPr>
                <w:noProof/>
                <w:webHidden/>
              </w:rPr>
              <w:fldChar w:fldCharType="begin"/>
            </w:r>
            <w:r w:rsidR="00804584">
              <w:rPr>
                <w:noProof/>
                <w:webHidden/>
              </w:rPr>
              <w:instrText xml:space="preserve"> PAGEREF _Toc73025969 \h </w:instrText>
            </w:r>
            <w:r w:rsidR="00804584">
              <w:rPr>
                <w:noProof/>
                <w:webHidden/>
              </w:rPr>
            </w:r>
            <w:r w:rsidR="00804584">
              <w:rPr>
                <w:noProof/>
                <w:webHidden/>
              </w:rPr>
              <w:fldChar w:fldCharType="separate"/>
            </w:r>
            <w:r w:rsidR="00804584">
              <w:rPr>
                <w:noProof/>
                <w:webHidden/>
              </w:rPr>
              <w:t>5</w:t>
            </w:r>
            <w:r w:rsidR="00804584">
              <w:rPr>
                <w:noProof/>
                <w:webHidden/>
              </w:rPr>
              <w:fldChar w:fldCharType="end"/>
            </w:r>
          </w:hyperlink>
        </w:p>
        <w:p w:rsidR="00804584" w:rsidRDefault="00F44C65">
          <w:pPr>
            <w:pStyle w:val="Inhopg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025970" w:history="1">
            <w:r w:rsidR="00804584" w:rsidRPr="00B778CB">
              <w:rPr>
                <w:rStyle w:val="Hyperlink"/>
                <w:noProof/>
              </w:rPr>
              <w:t>2.4</w:t>
            </w:r>
            <w:r w:rsidR="008045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04584" w:rsidRPr="00B778CB">
              <w:rPr>
                <w:rStyle w:val="Hyperlink"/>
                <w:noProof/>
              </w:rPr>
              <w:t>Voorbeeld van een correct ingevuld MP (tabblad E_SourceStreams)</w:t>
            </w:r>
            <w:r w:rsidR="00804584">
              <w:rPr>
                <w:noProof/>
                <w:webHidden/>
              </w:rPr>
              <w:tab/>
            </w:r>
            <w:r w:rsidR="00804584">
              <w:rPr>
                <w:noProof/>
                <w:webHidden/>
              </w:rPr>
              <w:fldChar w:fldCharType="begin"/>
            </w:r>
            <w:r w:rsidR="00804584">
              <w:rPr>
                <w:noProof/>
                <w:webHidden/>
              </w:rPr>
              <w:instrText xml:space="preserve"> PAGEREF _Toc73025970 \h </w:instrText>
            </w:r>
            <w:r w:rsidR="00804584">
              <w:rPr>
                <w:noProof/>
                <w:webHidden/>
              </w:rPr>
            </w:r>
            <w:r w:rsidR="00804584">
              <w:rPr>
                <w:noProof/>
                <w:webHidden/>
              </w:rPr>
              <w:fldChar w:fldCharType="separate"/>
            </w:r>
            <w:r w:rsidR="00804584">
              <w:rPr>
                <w:noProof/>
                <w:webHidden/>
              </w:rPr>
              <w:t>6</w:t>
            </w:r>
            <w:r w:rsidR="00804584">
              <w:rPr>
                <w:noProof/>
                <w:webHidden/>
              </w:rPr>
              <w:fldChar w:fldCharType="end"/>
            </w:r>
          </w:hyperlink>
        </w:p>
        <w:p w:rsidR="00804584" w:rsidRDefault="00F44C65">
          <w:pPr>
            <w:pStyle w:val="Inhopg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025971" w:history="1">
            <w:r w:rsidR="00804584" w:rsidRPr="00B778CB">
              <w:rPr>
                <w:rStyle w:val="Hyperlink"/>
                <w:rFonts w:cstheme="minorHAnsi"/>
                <w:b/>
                <w:bCs/>
                <w:noProof/>
              </w:rPr>
              <w:t>3.</w:t>
            </w:r>
            <w:r w:rsidR="008045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04584" w:rsidRPr="00B778CB">
              <w:rPr>
                <w:rStyle w:val="Hyperlink"/>
                <w:rFonts w:cstheme="minorHAnsi"/>
                <w:b/>
                <w:bCs/>
                <w:noProof/>
              </w:rPr>
              <w:t>Verlaging van de toegepaste tier voor activiteitsgegevens aardgas (enkel voor installaties met geringe emissies)</w:t>
            </w:r>
            <w:r w:rsidR="00804584">
              <w:rPr>
                <w:noProof/>
                <w:webHidden/>
              </w:rPr>
              <w:tab/>
            </w:r>
            <w:r w:rsidR="00804584">
              <w:rPr>
                <w:noProof/>
                <w:webHidden/>
              </w:rPr>
              <w:fldChar w:fldCharType="begin"/>
            </w:r>
            <w:r w:rsidR="00804584">
              <w:rPr>
                <w:noProof/>
                <w:webHidden/>
              </w:rPr>
              <w:instrText xml:space="preserve"> PAGEREF _Toc73025971 \h </w:instrText>
            </w:r>
            <w:r w:rsidR="00804584">
              <w:rPr>
                <w:noProof/>
                <w:webHidden/>
              </w:rPr>
            </w:r>
            <w:r w:rsidR="00804584">
              <w:rPr>
                <w:noProof/>
                <w:webHidden/>
              </w:rPr>
              <w:fldChar w:fldCharType="separate"/>
            </w:r>
            <w:r w:rsidR="00804584">
              <w:rPr>
                <w:noProof/>
                <w:webHidden/>
              </w:rPr>
              <w:t>7</w:t>
            </w:r>
            <w:r w:rsidR="00804584">
              <w:rPr>
                <w:noProof/>
                <w:webHidden/>
              </w:rPr>
              <w:fldChar w:fldCharType="end"/>
            </w:r>
          </w:hyperlink>
        </w:p>
        <w:p w:rsidR="00804584" w:rsidRDefault="00F44C65">
          <w:pPr>
            <w:pStyle w:val="Inhopg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3025972" w:history="1">
            <w:r w:rsidR="00804584" w:rsidRPr="00B778CB">
              <w:rPr>
                <w:rStyle w:val="Hyperlink"/>
                <w:b/>
                <w:bCs/>
                <w:noProof/>
              </w:rPr>
              <w:t>4.</w:t>
            </w:r>
            <w:r w:rsidR="0080458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04584" w:rsidRPr="00B778CB">
              <w:rPr>
                <w:rStyle w:val="Hyperlink"/>
                <w:b/>
                <w:bCs/>
                <w:noProof/>
              </w:rPr>
              <w:t>Versiebeheer van deze toelichting</w:t>
            </w:r>
            <w:r w:rsidR="00804584">
              <w:rPr>
                <w:noProof/>
                <w:webHidden/>
              </w:rPr>
              <w:tab/>
            </w:r>
            <w:r w:rsidR="00804584">
              <w:rPr>
                <w:noProof/>
                <w:webHidden/>
              </w:rPr>
              <w:fldChar w:fldCharType="begin"/>
            </w:r>
            <w:r w:rsidR="00804584">
              <w:rPr>
                <w:noProof/>
                <w:webHidden/>
              </w:rPr>
              <w:instrText xml:space="preserve"> PAGEREF _Toc73025972 \h </w:instrText>
            </w:r>
            <w:r w:rsidR="00804584">
              <w:rPr>
                <w:noProof/>
                <w:webHidden/>
              </w:rPr>
            </w:r>
            <w:r w:rsidR="00804584">
              <w:rPr>
                <w:noProof/>
                <w:webHidden/>
              </w:rPr>
              <w:fldChar w:fldCharType="separate"/>
            </w:r>
            <w:r w:rsidR="00804584">
              <w:rPr>
                <w:noProof/>
                <w:webHidden/>
              </w:rPr>
              <w:t>7</w:t>
            </w:r>
            <w:r w:rsidR="00804584">
              <w:rPr>
                <w:noProof/>
                <w:webHidden/>
              </w:rPr>
              <w:fldChar w:fldCharType="end"/>
            </w:r>
          </w:hyperlink>
        </w:p>
        <w:p w:rsidR="003F0DDB" w:rsidRDefault="003F0DDB">
          <w:r>
            <w:rPr>
              <w:b/>
              <w:bCs/>
              <w:lang w:val="nl-NL"/>
            </w:rPr>
            <w:fldChar w:fldCharType="end"/>
          </w:r>
        </w:p>
      </w:sdtContent>
    </w:sdt>
    <w:p w:rsidR="003F0DDB" w:rsidRDefault="003F0DDB" w:rsidP="000B6961">
      <w:pPr>
        <w:ind w:right="95"/>
        <w:jc w:val="both"/>
        <w:rPr>
          <w:iCs/>
          <w:lang w:eastAsia="en-US"/>
        </w:rPr>
      </w:pPr>
    </w:p>
    <w:p w:rsidR="003F0DDB" w:rsidRDefault="003F0DDB">
      <w:pPr>
        <w:spacing w:after="160" w:line="259" w:lineRule="auto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0768F2" w:rsidRPr="00CF547A" w:rsidRDefault="003D4750" w:rsidP="00CF547A">
      <w:pPr>
        <w:pStyle w:val="Kop1"/>
        <w:numPr>
          <w:ilvl w:val="0"/>
          <w:numId w:val="5"/>
        </w:numPr>
        <w:spacing w:after="240"/>
        <w:ind w:left="7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</w:pPr>
      <w:bookmarkStart w:id="0" w:name="_Toc73025960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lastRenderedPageBreak/>
        <w:t>Installaties waarvan de</w:t>
      </w:r>
      <w:r w:rsidR="007A5231" w:rsidRPr="003D4750"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 xml:space="preserve"> aardgasteller(s) </w:t>
      </w:r>
      <w:r w:rsidR="00BC34D5"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>beheerd wordt door</w:t>
      </w:r>
      <w:r w:rsidR="007A5231" w:rsidRPr="003D4750"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 xml:space="preserve"> </w:t>
      </w:r>
      <w:r w:rsidR="000768F2"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>de transportnetbeheerder (Fluxys)</w:t>
      </w:r>
      <w:bookmarkEnd w:id="0"/>
    </w:p>
    <w:p w:rsidR="000768F2" w:rsidRDefault="000768F2" w:rsidP="000B6961">
      <w:pPr>
        <w:pStyle w:val="Kop2"/>
        <w:numPr>
          <w:ilvl w:val="1"/>
          <w:numId w:val="5"/>
        </w:numPr>
        <w:spacing w:after="240"/>
        <w:jc w:val="both"/>
        <w:rPr>
          <w:rFonts w:ascii="Calibri" w:hAnsi="Calibri" w:cs="Calibri"/>
          <w:sz w:val="24"/>
          <w:szCs w:val="24"/>
          <w:lang w:val="nl-BE"/>
        </w:rPr>
      </w:pPr>
      <w:bookmarkStart w:id="1" w:name="_Toc73025961"/>
      <w:r>
        <w:rPr>
          <w:rFonts w:ascii="Calibri" w:hAnsi="Calibri" w:cs="Calibri"/>
          <w:sz w:val="24"/>
          <w:szCs w:val="24"/>
          <w:lang w:val="nl-BE"/>
        </w:rPr>
        <w:t>Activiteitsgegevens: beheer en verantwoordelijkhed</w:t>
      </w:r>
      <w:r w:rsidR="000B6961">
        <w:rPr>
          <w:rFonts w:ascii="Calibri" w:hAnsi="Calibri" w:cs="Calibri"/>
          <w:sz w:val="24"/>
          <w:szCs w:val="24"/>
          <w:lang w:val="nl-BE"/>
        </w:rPr>
        <w:t>en</w:t>
      </w:r>
      <w:bookmarkEnd w:id="1"/>
    </w:p>
    <w:p w:rsidR="007A5231" w:rsidRPr="007A5231" w:rsidRDefault="007A5231" w:rsidP="000B6961">
      <w:pPr>
        <w:pStyle w:val="Lijstalinea"/>
        <w:numPr>
          <w:ilvl w:val="0"/>
          <w:numId w:val="1"/>
        </w:numPr>
        <w:spacing w:before="165" w:after="165"/>
        <w:ind w:left="567" w:right="95" w:hanging="283"/>
        <w:jc w:val="both"/>
        <w:rPr>
          <w:rFonts w:eastAsia="Times New Roman"/>
          <w:iCs/>
          <w:lang w:eastAsia="en-US"/>
        </w:rPr>
      </w:pPr>
      <w:r w:rsidRPr="007A5231">
        <w:rPr>
          <w:rFonts w:eastAsia="Times New Roman"/>
          <w:iCs/>
          <w:lang w:eastAsia="en-US"/>
        </w:rPr>
        <w:t xml:space="preserve">De meetapparatuur wordt aangekocht </w:t>
      </w:r>
      <w:r w:rsidR="000768F2" w:rsidRPr="000768F2">
        <w:rPr>
          <w:rFonts w:eastAsia="Times New Roman"/>
          <w:iCs/>
          <w:lang w:eastAsia="en-US"/>
        </w:rPr>
        <w:t xml:space="preserve">door </w:t>
      </w:r>
      <w:r w:rsidR="00CC4A15">
        <w:rPr>
          <w:rFonts w:eastAsia="Times New Roman"/>
          <w:iCs/>
          <w:lang w:eastAsia="en-US"/>
        </w:rPr>
        <w:t>de exploitant</w:t>
      </w:r>
      <w:r w:rsidR="000768F2">
        <w:rPr>
          <w:rFonts w:eastAsia="Times New Roman"/>
          <w:iCs/>
          <w:lang w:eastAsia="en-US"/>
        </w:rPr>
        <w:t xml:space="preserve"> </w:t>
      </w:r>
      <w:r w:rsidR="00752DF0" w:rsidRPr="000768F2">
        <w:rPr>
          <w:rFonts w:eastAsia="Times New Roman"/>
          <w:iCs/>
          <w:lang w:eastAsia="en-US"/>
        </w:rPr>
        <w:t>(op aangeven van Fluxys)</w:t>
      </w:r>
      <w:r w:rsidR="00752DF0">
        <w:rPr>
          <w:rFonts w:eastAsia="Times New Roman"/>
          <w:iCs/>
          <w:lang w:eastAsia="en-US"/>
        </w:rPr>
        <w:t xml:space="preserve"> </w:t>
      </w:r>
      <w:r w:rsidR="000768F2">
        <w:rPr>
          <w:rFonts w:eastAsia="Times New Roman"/>
          <w:iCs/>
          <w:lang w:eastAsia="en-US"/>
        </w:rPr>
        <w:t xml:space="preserve">en </w:t>
      </w:r>
      <w:r w:rsidR="000768F2" w:rsidRPr="000768F2">
        <w:rPr>
          <w:rFonts w:eastAsia="Times New Roman"/>
          <w:iCs/>
          <w:lang w:eastAsia="en-US"/>
        </w:rPr>
        <w:t xml:space="preserve">is bijgevolg eigendom van </w:t>
      </w:r>
      <w:r w:rsidR="00CC4A15">
        <w:rPr>
          <w:rFonts w:eastAsia="Times New Roman"/>
          <w:iCs/>
          <w:lang w:eastAsia="en-US"/>
        </w:rPr>
        <w:t>de exploitant</w:t>
      </w:r>
      <w:r w:rsidR="000768F2" w:rsidRPr="000768F2">
        <w:rPr>
          <w:rFonts w:eastAsia="Times New Roman"/>
          <w:iCs/>
          <w:lang w:eastAsia="en-US"/>
        </w:rPr>
        <w:t>.</w:t>
      </w:r>
    </w:p>
    <w:p w:rsidR="00980FC9" w:rsidRPr="00991806" w:rsidRDefault="000768F2" w:rsidP="000B6961">
      <w:pPr>
        <w:pStyle w:val="Lijstalinea"/>
        <w:numPr>
          <w:ilvl w:val="0"/>
          <w:numId w:val="1"/>
        </w:numPr>
        <w:spacing w:before="165" w:after="165"/>
        <w:ind w:left="567" w:right="95" w:hanging="283"/>
        <w:jc w:val="both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t>H</w:t>
      </w:r>
      <w:r w:rsidR="007A5231">
        <w:rPr>
          <w:rFonts w:eastAsia="Times New Roman"/>
          <w:iCs/>
          <w:lang w:eastAsia="en-US"/>
        </w:rPr>
        <w:t>et</w:t>
      </w:r>
      <w:r w:rsidR="007A5231" w:rsidRPr="007A5231">
        <w:rPr>
          <w:rFonts w:eastAsia="Times New Roman"/>
          <w:iCs/>
          <w:lang w:eastAsia="en-US"/>
        </w:rPr>
        <w:t xml:space="preserve">  jaarlijks  nazicht van het primair meetelement </w:t>
      </w:r>
      <w:r w:rsidR="007A5231">
        <w:rPr>
          <w:rFonts w:eastAsia="Times New Roman"/>
          <w:iCs/>
          <w:lang w:eastAsia="en-US"/>
        </w:rPr>
        <w:t xml:space="preserve">en </w:t>
      </w:r>
      <w:r w:rsidR="00752DF0">
        <w:rPr>
          <w:rFonts w:eastAsia="Times New Roman"/>
          <w:iCs/>
          <w:lang w:eastAsia="en-US"/>
        </w:rPr>
        <w:t xml:space="preserve">het elektronische </w:t>
      </w:r>
      <w:proofErr w:type="spellStart"/>
      <w:r w:rsidR="00752DF0">
        <w:rPr>
          <w:rFonts w:eastAsia="Times New Roman"/>
          <w:iCs/>
          <w:lang w:eastAsia="en-US"/>
        </w:rPr>
        <w:t>volumeherleidingsinstrument</w:t>
      </w:r>
      <w:proofErr w:type="spellEnd"/>
      <w:r w:rsidR="00752DF0">
        <w:rPr>
          <w:rFonts w:eastAsia="Times New Roman"/>
          <w:iCs/>
          <w:lang w:eastAsia="en-US"/>
        </w:rPr>
        <w:t xml:space="preserve"> (</w:t>
      </w:r>
      <w:r w:rsidR="007A5231" w:rsidRPr="007A5231">
        <w:rPr>
          <w:rFonts w:eastAsia="Times New Roman"/>
          <w:iCs/>
          <w:lang w:eastAsia="en-US"/>
        </w:rPr>
        <w:t>EVHI</w:t>
      </w:r>
      <w:r w:rsidR="00752DF0">
        <w:rPr>
          <w:rFonts w:eastAsia="Times New Roman"/>
          <w:iCs/>
          <w:lang w:eastAsia="en-US"/>
        </w:rPr>
        <w:t>)</w:t>
      </w:r>
      <w:r w:rsidR="007A5231" w:rsidRPr="007A5231">
        <w:rPr>
          <w:rFonts w:eastAsia="Times New Roman"/>
          <w:iCs/>
          <w:lang w:eastAsia="en-US"/>
        </w:rPr>
        <w:t xml:space="preserve"> (</w:t>
      </w:r>
      <w:r w:rsidR="00752DF0">
        <w:rPr>
          <w:rFonts w:eastAsia="Times New Roman"/>
          <w:iCs/>
          <w:lang w:eastAsia="en-US"/>
        </w:rPr>
        <w:t>druk</w:t>
      </w:r>
      <w:r w:rsidR="00804584">
        <w:rPr>
          <w:rFonts w:eastAsia="Times New Roman"/>
          <w:iCs/>
          <w:lang w:eastAsia="en-US"/>
        </w:rPr>
        <w:t xml:space="preserve">- (P) </w:t>
      </w:r>
      <w:r w:rsidR="00752DF0">
        <w:rPr>
          <w:rFonts w:eastAsia="Times New Roman"/>
          <w:iCs/>
          <w:lang w:eastAsia="en-US"/>
        </w:rPr>
        <w:t xml:space="preserve">en </w:t>
      </w:r>
      <w:r w:rsidR="00804584">
        <w:rPr>
          <w:rFonts w:eastAsia="Times New Roman"/>
          <w:iCs/>
          <w:lang w:eastAsia="en-US"/>
        </w:rPr>
        <w:t>temperatuur- (T) m</w:t>
      </w:r>
      <w:r w:rsidR="00804584" w:rsidRPr="007A5231">
        <w:rPr>
          <w:rFonts w:eastAsia="Times New Roman"/>
          <w:iCs/>
          <w:lang w:eastAsia="en-US"/>
        </w:rPr>
        <w:t>eting</w:t>
      </w:r>
      <w:r w:rsidR="007A5231" w:rsidRPr="007A5231">
        <w:rPr>
          <w:rFonts w:eastAsia="Times New Roman"/>
          <w:iCs/>
          <w:lang w:eastAsia="en-US"/>
        </w:rPr>
        <w:t xml:space="preserve">) </w:t>
      </w:r>
      <w:r>
        <w:rPr>
          <w:rFonts w:eastAsia="Times New Roman"/>
          <w:iCs/>
          <w:lang w:eastAsia="en-US"/>
        </w:rPr>
        <w:t xml:space="preserve">en de </w:t>
      </w:r>
      <w:r w:rsidR="007A5231" w:rsidRPr="007A5231">
        <w:rPr>
          <w:rFonts w:eastAsia="Times New Roman"/>
          <w:iCs/>
          <w:lang w:eastAsia="en-US"/>
        </w:rPr>
        <w:t xml:space="preserve"> datalogging word</w:t>
      </w:r>
      <w:r w:rsidR="007A5231">
        <w:rPr>
          <w:rFonts w:eastAsia="Times New Roman"/>
          <w:iCs/>
          <w:lang w:eastAsia="en-US"/>
        </w:rPr>
        <w:t>t</w:t>
      </w:r>
      <w:r w:rsidR="007A5231" w:rsidRPr="007A5231">
        <w:rPr>
          <w:rFonts w:eastAsia="Times New Roman"/>
          <w:iCs/>
          <w:lang w:eastAsia="en-US"/>
        </w:rPr>
        <w:t xml:space="preserve"> </w:t>
      </w:r>
      <w:r w:rsidR="00991806" w:rsidRPr="007A5231">
        <w:rPr>
          <w:rFonts w:eastAsia="Times New Roman"/>
          <w:b/>
          <w:bCs/>
          <w:iCs/>
          <w:lang w:eastAsia="en-US"/>
        </w:rPr>
        <w:t>beheerd</w:t>
      </w:r>
      <w:r w:rsidR="00991806" w:rsidRPr="007A5231">
        <w:rPr>
          <w:rFonts w:eastAsia="Times New Roman"/>
          <w:b/>
          <w:iCs/>
          <w:lang w:eastAsia="en-US"/>
        </w:rPr>
        <w:t xml:space="preserve"> </w:t>
      </w:r>
      <w:r w:rsidR="00991806">
        <w:rPr>
          <w:rFonts w:eastAsia="Times New Roman"/>
          <w:b/>
          <w:iCs/>
          <w:lang w:eastAsia="en-US"/>
        </w:rPr>
        <w:t xml:space="preserve">en </w:t>
      </w:r>
      <w:r w:rsidR="007A5231" w:rsidRPr="007A5231">
        <w:rPr>
          <w:rFonts w:eastAsia="Times New Roman"/>
          <w:b/>
          <w:iCs/>
          <w:lang w:eastAsia="en-US"/>
        </w:rPr>
        <w:t xml:space="preserve">uitgevoerd </w:t>
      </w:r>
      <w:r w:rsidR="007A5231" w:rsidRPr="00991806">
        <w:rPr>
          <w:rFonts w:eastAsia="Times New Roman"/>
          <w:iCs/>
          <w:lang w:eastAsia="en-US"/>
        </w:rPr>
        <w:t xml:space="preserve">door </w:t>
      </w:r>
      <w:r w:rsidR="0062566B">
        <w:rPr>
          <w:rFonts w:eastAsia="Times New Roman"/>
          <w:iCs/>
          <w:lang w:eastAsia="en-US"/>
        </w:rPr>
        <w:t>Fluxys</w:t>
      </w:r>
      <w:r w:rsidR="007A5231" w:rsidRPr="00991806">
        <w:rPr>
          <w:rFonts w:eastAsia="Times New Roman"/>
          <w:iCs/>
          <w:lang w:eastAsia="en-US"/>
        </w:rPr>
        <w:t xml:space="preserve">. Dit impliceert eveneens de kwaliteitsborging van deze meetapparatuur. Zonder uitdrukkelijke toelating van </w:t>
      </w:r>
      <w:r w:rsidR="00980FC9" w:rsidRPr="00991806">
        <w:rPr>
          <w:rFonts w:eastAsia="Times New Roman"/>
          <w:iCs/>
          <w:lang w:eastAsia="en-US"/>
        </w:rPr>
        <w:t>Flux</w:t>
      </w:r>
      <w:r w:rsidR="00987828">
        <w:rPr>
          <w:rFonts w:eastAsia="Times New Roman"/>
          <w:iCs/>
          <w:lang w:eastAsia="en-US"/>
        </w:rPr>
        <w:t>y</w:t>
      </w:r>
      <w:r w:rsidR="00980FC9" w:rsidRPr="00991806">
        <w:rPr>
          <w:rFonts w:eastAsia="Times New Roman"/>
          <w:iCs/>
          <w:lang w:eastAsia="en-US"/>
        </w:rPr>
        <w:t>s</w:t>
      </w:r>
      <w:r w:rsidR="004A3E35">
        <w:rPr>
          <w:rFonts w:eastAsia="Times New Roman"/>
          <w:iCs/>
          <w:lang w:eastAsia="en-US"/>
        </w:rPr>
        <w:t xml:space="preserve"> </w:t>
      </w:r>
      <w:r w:rsidR="007A5231" w:rsidRPr="00991806">
        <w:rPr>
          <w:rFonts w:eastAsia="Times New Roman"/>
          <w:iCs/>
          <w:lang w:eastAsia="en-US"/>
        </w:rPr>
        <w:t xml:space="preserve">mag de exploitant geen interventies op eigen initiatief uitvoeren aan deze meetinstrumenten. </w:t>
      </w:r>
    </w:p>
    <w:p w:rsidR="00752DF0" w:rsidRDefault="007A5231" w:rsidP="000B6961">
      <w:pPr>
        <w:pStyle w:val="Lijstalinea"/>
        <w:spacing w:before="165" w:after="165"/>
        <w:ind w:left="567" w:right="95"/>
        <w:jc w:val="both"/>
        <w:rPr>
          <w:rFonts w:eastAsia="Times New Roman"/>
          <w:iCs/>
          <w:lang w:eastAsia="en-US"/>
        </w:rPr>
      </w:pPr>
      <w:r w:rsidRPr="00980FC9">
        <w:rPr>
          <w:rFonts w:eastAsia="Times New Roman"/>
          <w:iCs/>
          <w:lang w:eastAsia="en-US"/>
        </w:rPr>
        <w:t>In de regel zijn</w:t>
      </w:r>
      <w:r w:rsidR="00980FC9">
        <w:rPr>
          <w:rFonts w:eastAsia="Times New Roman"/>
          <w:iCs/>
          <w:lang w:eastAsia="en-US"/>
        </w:rPr>
        <w:t xml:space="preserve"> de</w:t>
      </w:r>
      <w:r w:rsidRPr="00980FC9">
        <w:rPr>
          <w:rFonts w:eastAsia="Times New Roman"/>
          <w:iCs/>
          <w:lang w:eastAsia="en-US"/>
        </w:rPr>
        <w:t xml:space="preserve"> (recente) gasmeetstations van Fluxys voorzien van een dubbele meetstraat (2 Turbinemeters en 2 </w:t>
      </w:r>
      <w:proofErr w:type="spellStart"/>
      <w:r w:rsidRPr="00980FC9">
        <w:rPr>
          <w:rFonts w:eastAsia="Times New Roman"/>
          <w:iCs/>
          <w:lang w:eastAsia="en-US"/>
        </w:rPr>
        <w:t>EVHI’s</w:t>
      </w:r>
      <w:proofErr w:type="spellEnd"/>
      <w:r w:rsidRPr="00980FC9">
        <w:rPr>
          <w:rFonts w:eastAsia="Times New Roman"/>
          <w:iCs/>
          <w:lang w:eastAsia="en-US"/>
        </w:rPr>
        <w:t>) waarop de transportnetbehee</w:t>
      </w:r>
      <w:r w:rsidR="001D4009">
        <w:rPr>
          <w:rFonts w:eastAsia="Times New Roman"/>
          <w:iCs/>
          <w:lang w:eastAsia="en-US"/>
        </w:rPr>
        <w:t>r</w:t>
      </w:r>
      <w:r w:rsidRPr="00980FC9">
        <w:rPr>
          <w:rFonts w:eastAsia="Times New Roman"/>
          <w:iCs/>
          <w:lang w:eastAsia="en-US"/>
        </w:rPr>
        <w:t>der jaarlijks een serieschakeling uitvoert (</w:t>
      </w:r>
      <w:r w:rsidR="000768F2">
        <w:rPr>
          <w:rFonts w:eastAsia="Times New Roman"/>
          <w:iCs/>
          <w:lang w:eastAsia="en-US"/>
        </w:rPr>
        <w:t>controle t.a.v. maximaal toelaatbare fout</w:t>
      </w:r>
      <w:r w:rsidRPr="00980FC9">
        <w:rPr>
          <w:rFonts w:eastAsia="Times New Roman"/>
          <w:iCs/>
          <w:lang w:eastAsia="en-US"/>
        </w:rPr>
        <w:t xml:space="preserve"> van 1 %). </w:t>
      </w:r>
      <w:r w:rsidR="00980FC9">
        <w:rPr>
          <w:rFonts w:eastAsia="Times New Roman"/>
          <w:iCs/>
          <w:lang w:eastAsia="en-US"/>
        </w:rPr>
        <w:t xml:space="preserve">Fluxys </w:t>
      </w:r>
      <w:r w:rsidRPr="00980FC9">
        <w:rPr>
          <w:rFonts w:eastAsia="Times New Roman"/>
          <w:iCs/>
          <w:lang w:eastAsia="en-US"/>
        </w:rPr>
        <w:t>bepaalt welke lijn actief is en welke in stand</w:t>
      </w:r>
      <w:r w:rsidR="00980FC9">
        <w:rPr>
          <w:rFonts w:eastAsia="Times New Roman"/>
          <w:iCs/>
          <w:lang w:eastAsia="en-US"/>
        </w:rPr>
        <w:t>-</w:t>
      </w:r>
      <w:r w:rsidRPr="00980FC9">
        <w:rPr>
          <w:rFonts w:eastAsia="Times New Roman"/>
          <w:iCs/>
          <w:lang w:eastAsia="en-US"/>
        </w:rPr>
        <w:t>by staat.</w:t>
      </w:r>
    </w:p>
    <w:p w:rsidR="007A5231" w:rsidRPr="00980FC9" w:rsidRDefault="007A5231" w:rsidP="000B6961">
      <w:pPr>
        <w:pStyle w:val="Lijstalinea"/>
        <w:spacing w:before="165" w:after="165"/>
        <w:ind w:left="567" w:right="95"/>
        <w:jc w:val="both"/>
        <w:rPr>
          <w:rFonts w:eastAsia="Times New Roman"/>
          <w:iCs/>
          <w:lang w:eastAsia="en-US"/>
        </w:rPr>
      </w:pPr>
      <w:r w:rsidRPr="00980FC9">
        <w:rPr>
          <w:rFonts w:eastAsia="Times New Roman"/>
          <w:iCs/>
          <w:lang w:eastAsia="en-US"/>
        </w:rPr>
        <w:t xml:space="preserve">Jaarlijks worden de aanwezige EVHI en </w:t>
      </w:r>
      <w:r w:rsidR="00980FC9">
        <w:rPr>
          <w:rFonts w:eastAsia="Times New Roman"/>
          <w:iCs/>
          <w:lang w:eastAsia="en-US"/>
        </w:rPr>
        <w:t xml:space="preserve">de </w:t>
      </w:r>
      <w:r w:rsidRPr="00980FC9">
        <w:rPr>
          <w:rFonts w:eastAsia="Times New Roman"/>
          <w:iCs/>
          <w:lang w:eastAsia="en-US"/>
        </w:rPr>
        <w:t>P &amp; T transmitters ge</w:t>
      </w:r>
      <w:r w:rsidR="00987828">
        <w:rPr>
          <w:rFonts w:eastAsia="Times New Roman"/>
          <w:iCs/>
          <w:lang w:eastAsia="en-US"/>
        </w:rPr>
        <w:t>k</w:t>
      </w:r>
      <w:r w:rsidRPr="00980FC9">
        <w:rPr>
          <w:rFonts w:eastAsia="Times New Roman"/>
          <w:iCs/>
          <w:lang w:eastAsia="en-US"/>
        </w:rPr>
        <w:t>alibreerd t</w:t>
      </w:r>
      <w:r w:rsidR="00980FC9">
        <w:rPr>
          <w:rFonts w:eastAsia="Times New Roman"/>
          <w:iCs/>
          <w:lang w:eastAsia="en-US"/>
        </w:rPr>
        <w:t>.</w:t>
      </w:r>
      <w:r w:rsidRPr="00980FC9">
        <w:rPr>
          <w:rFonts w:eastAsia="Times New Roman"/>
          <w:iCs/>
          <w:lang w:eastAsia="en-US"/>
        </w:rPr>
        <w:t>a</w:t>
      </w:r>
      <w:r w:rsidR="00980FC9">
        <w:rPr>
          <w:rFonts w:eastAsia="Times New Roman"/>
          <w:iCs/>
          <w:lang w:eastAsia="en-US"/>
        </w:rPr>
        <w:t>.</w:t>
      </w:r>
      <w:r w:rsidRPr="00980FC9">
        <w:rPr>
          <w:rFonts w:eastAsia="Times New Roman"/>
          <w:iCs/>
          <w:lang w:eastAsia="en-US"/>
        </w:rPr>
        <w:t>v</w:t>
      </w:r>
      <w:r w:rsidR="00980FC9">
        <w:rPr>
          <w:rFonts w:eastAsia="Times New Roman"/>
          <w:iCs/>
          <w:lang w:eastAsia="en-US"/>
        </w:rPr>
        <w:t>.</w:t>
      </w:r>
      <w:r w:rsidRPr="00980FC9">
        <w:rPr>
          <w:rFonts w:eastAsia="Times New Roman"/>
          <w:iCs/>
          <w:lang w:eastAsia="en-US"/>
        </w:rPr>
        <w:t xml:space="preserve"> een geijkt exemplaar. De </w:t>
      </w:r>
      <w:r w:rsidR="00987828">
        <w:rPr>
          <w:rFonts w:eastAsia="Times New Roman"/>
          <w:iCs/>
          <w:lang w:eastAsia="en-US"/>
        </w:rPr>
        <w:t>e</w:t>
      </w:r>
      <w:r w:rsidRPr="00980FC9">
        <w:rPr>
          <w:rFonts w:eastAsia="Times New Roman"/>
          <w:iCs/>
          <w:lang w:eastAsia="en-US"/>
        </w:rPr>
        <w:t>xploitant ontvangt hiervan de nodige documenten</w:t>
      </w:r>
    </w:p>
    <w:p w:rsidR="00752DF0" w:rsidRDefault="007A5231" w:rsidP="000B6961">
      <w:pPr>
        <w:pStyle w:val="Lijstalinea"/>
        <w:spacing w:before="165" w:after="165"/>
        <w:ind w:left="567" w:right="95"/>
        <w:jc w:val="both"/>
        <w:rPr>
          <w:rFonts w:eastAsia="Times New Roman"/>
          <w:iCs/>
          <w:lang w:eastAsia="en-US"/>
        </w:rPr>
      </w:pPr>
      <w:r w:rsidRPr="007A5231">
        <w:rPr>
          <w:rFonts w:eastAsia="Times New Roman"/>
          <w:iCs/>
          <w:lang w:eastAsia="en-US"/>
        </w:rPr>
        <w:t xml:space="preserve">Dit impliceert dat </w:t>
      </w:r>
      <w:r w:rsidR="00CC4A15">
        <w:rPr>
          <w:rFonts w:eastAsia="Times New Roman"/>
          <w:iCs/>
          <w:lang w:eastAsia="en-US"/>
        </w:rPr>
        <w:t>de exploitant</w:t>
      </w:r>
      <w:r w:rsidRPr="007A5231">
        <w:rPr>
          <w:rFonts w:eastAsia="Times New Roman"/>
          <w:iCs/>
          <w:lang w:eastAsia="en-US"/>
        </w:rPr>
        <w:t xml:space="preserve"> </w:t>
      </w:r>
      <w:r w:rsidRPr="000B6961">
        <w:rPr>
          <w:rFonts w:eastAsia="Times New Roman"/>
          <w:b/>
          <w:bCs/>
          <w:iCs/>
          <w:lang w:eastAsia="en-US"/>
        </w:rPr>
        <w:t>geen “gezag, toezicht en leiding</w:t>
      </w:r>
      <w:r w:rsidR="000768F2" w:rsidRPr="000B6961">
        <w:rPr>
          <w:rFonts w:eastAsia="Times New Roman"/>
          <w:b/>
          <w:bCs/>
          <w:iCs/>
          <w:lang w:eastAsia="en-US"/>
        </w:rPr>
        <w:t>”</w:t>
      </w:r>
      <w:r w:rsidRPr="007A5231">
        <w:rPr>
          <w:rFonts w:eastAsia="Times New Roman"/>
          <w:iCs/>
          <w:lang w:eastAsia="en-US"/>
        </w:rPr>
        <w:t xml:space="preserve"> heeft op aspecten van </w:t>
      </w:r>
      <w:r w:rsidR="00980FC9">
        <w:rPr>
          <w:rFonts w:eastAsia="Times New Roman"/>
          <w:iCs/>
          <w:lang w:eastAsia="en-US"/>
        </w:rPr>
        <w:t xml:space="preserve">de </w:t>
      </w:r>
      <w:r w:rsidRPr="007A5231">
        <w:rPr>
          <w:rFonts w:eastAsia="Times New Roman"/>
          <w:iCs/>
          <w:lang w:eastAsia="en-US"/>
        </w:rPr>
        <w:t>kwaliteitsborging van deze meetapparatuur.</w:t>
      </w:r>
    </w:p>
    <w:p w:rsidR="007A5231" w:rsidRDefault="007A5231" w:rsidP="000B6961">
      <w:pPr>
        <w:pStyle w:val="Lijstalinea"/>
        <w:spacing w:before="165" w:after="165"/>
        <w:ind w:left="567" w:right="95"/>
        <w:jc w:val="both"/>
        <w:rPr>
          <w:rFonts w:eastAsia="Times New Roman"/>
          <w:iCs/>
          <w:lang w:eastAsia="en-US"/>
        </w:rPr>
      </w:pPr>
      <w:r w:rsidRPr="007A5231">
        <w:rPr>
          <w:rFonts w:eastAsia="Times New Roman"/>
          <w:iCs/>
          <w:lang w:eastAsia="en-US"/>
        </w:rPr>
        <w:t xml:space="preserve">De exploitant is </w:t>
      </w:r>
      <w:r w:rsidR="00980FC9">
        <w:rPr>
          <w:rFonts w:eastAsia="Times New Roman"/>
          <w:iCs/>
          <w:lang w:eastAsia="en-US"/>
        </w:rPr>
        <w:t xml:space="preserve">wel </w:t>
      </w:r>
      <w:r w:rsidRPr="007A5231">
        <w:rPr>
          <w:rFonts w:eastAsia="Times New Roman"/>
          <w:iCs/>
          <w:lang w:eastAsia="en-US"/>
        </w:rPr>
        <w:t>verantwoordelijk v</w:t>
      </w:r>
      <w:r w:rsidR="00980FC9">
        <w:rPr>
          <w:rFonts w:eastAsia="Times New Roman"/>
          <w:iCs/>
          <w:lang w:eastAsia="en-US"/>
        </w:rPr>
        <w:t>oor</w:t>
      </w:r>
      <w:r w:rsidRPr="007A5231">
        <w:rPr>
          <w:rFonts w:eastAsia="Times New Roman"/>
          <w:iCs/>
          <w:lang w:eastAsia="en-US"/>
        </w:rPr>
        <w:t xml:space="preserve"> het onderhoud (</w:t>
      </w:r>
      <w:r w:rsidR="00980FC9">
        <w:rPr>
          <w:rFonts w:eastAsia="Times New Roman"/>
          <w:iCs/>
          <w:lang w:eastAsia="en-US"/>
        </w:rPr>
        <w:t>=</w:t>
      </w:r>
      <w:r w:rsidRPr="007A5231">
        <w:rPr>
          <w:rFonts w:eastAsia="Times New Roman"/>
          <w:iCs/>
          <w:lang w:eastAsia="en-US"/>
        </w:rPr>
        <w:t xml:space="preserve"> smering ) van de turbinemeter en voor de controle van de drukontspanning</w:t>
      </w:r>
      <w:r w:rsidR="000768F2">
        <w:rPr>
          <w:rFonts w:eastAsia="Times New Roman"/>
          <w:iCs/>
          <w:lang w:eastAsia="en-US"/>
        </w:rPr>
        <w:t xml:space="preserve">. Hiertoe moet </w:t>
      </w:r>
      <w:r w:rsidRPr="007A5231">
        <w:rPr>
          <w:rFonts w:eastAsia="Times New Roman"/>
          <w:iCs/>
          <w:lang w:eastAsia="en-US"/>
        </w:rPr>
        <w:t>hij beroep doen op een door Fluxys erkende service provider</w:t>
      </w:r>
      <w:r w:rsidR="000B6961">
        <w:rPr>
          <w:rFonts w:eastAsia="Times New Roman"/>
          <w:iCs/>
          <w:lang w:eastAsia="en-US"/>
        </w:rPr>
        <w:t xml:space="preserve">, bv. </w:t>
      </w:r>
      <w:proofErr w:type="spellStart"/>
      <w:r w:rsidRPr="007A5231">
        <w:rPr>
          <w:rFonts w:eastAsia="Times New Roman"/>
          <w:iCs/>
          <w:lang w:eastAsia="en-US"/>
        </w:rPr>
        <w:t>Elster</w:t>
      </w:r>
      <w:proofErr w:type="spellEnd"/>
      <w:r w:rsidRPr="007A5231">
        <w:rPr>
          <w:rFonts w:eastAsia="Times New Roman"/>
          <w:iCs/>
          <w:lang w:eastAsia="en-US"/>
        </w:rPr>
        <w:t xml:space="preserve"> of </w:t>
      </w:r>
      <w:proofErr w:type="spellStart"/>
      <w:r w:rsidRPr="007A5231">
        <w:rPr>
          <w:rFonts w:eastAsia="Times New Roman"/>
          <w:iCs/>
          <w:lang w:eastAsia="en-US"/>
        </w:rPr>
        <w:t>Technogas</w:t>
      </w:r>
      <w:proofErr w:type="spellEnd"/>
      <w:r w:rsidR="000B6961">
        <w:rPr>
          <w:rFonts w:eastAsia="Times New Roman"/>
          <w:iCs/>
          <w:lang w:eastAsia="en-US"/>
        </w:rPr>
        <w:t>.</w:t>
      </w:r>
    </w:p>
    <w:p w:rsidR="00752DF0" w:rsidRPr="007A5231" w:rsidRDefault="00752DF0" w:rsidP="000B6961">
      <w:pPr>
        <w:pStyle w:val="Lijstalinea"/>
        <w:spacing w:before="165" w:after="165"/>
        <w:ind w:left="567" w:right="95"/>
        <w:jc w:val="both"/>
        <w:rPr>
          <w:rFonts w:eastAsia="Times New Roman"/>
          <w:iCs/>
          <w:lang w:eastAsia="en-US"/>
        </w:rPr>
      </w:pPr>
    </w:p>
    <w:p w:rsidR="007A5231" w:rsidRPr="000B6961" w:rsidRDefault="000B6961" w:rsidP="000B6961">
      <w:pPr>
        <w:pStyle w:val="Kop2"/>
        <w:numPr>
          <w:ilvl w:val="1"/>
          <w:numId w:val="5"/>
        </w:numPr>
        <w:spacing w:after="240"/>
        <w:jc w:val="both"/>
        <w:rPr>
          <w:rFonts w:ascii="Calibri" w:hAnsi="Calibri" w:cs="Calibri"/>
          <w:sz w:val="24"/>
          <w:szCs w:val="24"/>
          <w:lang w:val="nl-BE"/>
        </w:rPr>
      </w:pPr>
      <w:bookmarkStart w:id="2" w:name="_Toc73025962"/>
      <w:r w:rsidRPr="000B6961">
        <w:rPr>
          <w:rFonts w:ascii="Calibri" w:hAnsi="Calibri" w:cs="Calibri"/>
          <w:sz w:val="24"/>
          <w:szCs w:val="24"/>
          <w:lang w:val="nl-BE"/>
        </w:rPr>
        <w:t>Berekeningsfactoren</w:t>
      </w:r>
      <w:bookmarkEnd w:id="2"/>
    </w:p>
    <w:p w:rsidR="00752DF0" w:rsidRDefault="007A5231" w:rsidP="000B6961">
      <w:pPr>
        <w:pStyle w:val="Lijstalinea"/>
        <w:numPr>
          <w:ilvl w:val="0"/>
          <w:numId w:val="1"/>
        </w:numPr>
        <w:spacing w:before="165" w:after="165"/>
        <w:ind w:left="567" w:right="95" w:hanging="283"/>
        <w:jc w:val="both"/>
        <w:rPr>
          <w:rFonts w:eastAsia="Times New Roman"/>
          <w:iCs/>
          <w:lang w:eastAsia="en-US"/>
        </w:rPr>
      </w:pPr>
      <w:r w:rsidRPr="007A5231">
        <w:rPr>
          <w:rFonts w:eastAsia="Times New Roman"/>
          <w:iCs/>
          <w:lang w:eastAsia="en-US"/>
        </w:rPr>
        <w:t>Fluxys  is (als onafhankelijke handelspartner/tussenpersoon naar de leverancier  en de afnemer/exploitant) ook verantwoordelijk voor de “online” analyse van de samenstelling van het aardgas (</w:t>
      </w:r>
      <w:r w:rsidR="00980FC9">
        <w:rPr>
          <w:rFonts w:eastAsia="Times New Roman"/>
          <w:iCs/>
          <w:lang w:eastAsia="en-US"/>
        </w:rPr>
        <w:t xml:space="preserve">in het </w:t>
      </w:r>
      <w:r w:rsidRPr="007A5231">
        <w:rPr>
          <w:rFonts w:eastAsia="Times New Roman"/>
          <w:iCs/>
          <w:lang w:eastAsia="en-US"/>
        </w:rPr>
        <w:t>nabijgelegen knooppunt).</w:t>
      </w:r>
    </w:p>
    <w:p w:rsidR="00980FC9" w:rsidRDefault="007A5231" w:rsidP="000B6961">
      <w:pPr>
        <w:pStyle w:val="Lijstalinea"/>
        <w:numPr>
          <w:ilvl w:val="0"/>
          <w:numId w:val="1"/>
        </w:numPr>
        <w:spacing w:before="165" w:after="165"/>
        <w:ind w:left="567" w:right="95" w:hanging="283"/>
        <w:jc w:val="both"/>
        <w:rPr>
          <w:rFonts w:eastAsia="Times New Roman"/>
          <w:iCs/>
          <w:lang w:eastAsia="en-US"/>
        </w:rPr>
      </w:pPr>
      <w:r w:rsidRPr="007A5231">
        <w:rPr>
          <w:rFonts w:eastAsia="Times New Roman"/>
          <w:iCs/>
          <w:lang w:eastAsia="en-US"/>
        </w:rPr>
        <w:t xml:space="preserve">Als ISO 17025 gecertificeerd labo bepaalt </w:t>
      </w:r>
      <w:r w:rsidR="00980FC9">
        <w:rPr>
          <w:rFonts w:eastAsia="Times New Roman"/>
          <w:iCs/>
          <w:lang w:eastAsia="en-US"/>
        </w:rPr>
        <w:t>Fluxys</w:t>
      </w:r>
      <w:r w:rsidRPr="007A5231">
        <w:rPr>
          <w:rFonts w:eastAsia="Times New Roman"/>
          <w:iCs/>
          <w:lang w:eastAsia="en-US"/>
        </w:rPr>
        <w:t> </w:t>
      </w:r>
      <w:r w:rsidR="00752DF0">
        <w:rPr>
          <w:rFonts w:eastAsia="Times New Roman"/>
          <w:iCs/>
          <w:lang w:eastAsia="en-US"/>
        </w:rPr>
        <w:t>quasi continu</w:t>
      </w:r>
      <w:r w:rsidRPr="007A5231">
        <w:rPr>
          <w:rFonts w:eastAsia="Times New Roman"/>
          <w:iCs/>
          <w:lang w:eastAsia="en-US"/>
        </w:rPr>
        <w:t xml:space="preserve"> de </w:t>
      </w:r>
      <w:r w:rsidR="000B6961">
        <w:rPr>
          <w:rFonts w:eastAsia="Times New Roman"/>
          <w:iCs/>
          <w:lang w:eastAsia="en-US"/>
        </w:rPr>
        <w:t>onderste verbrandingswaarde (COW)</w:t>
      </w:r>
      <w:r w:rsidR="00980FC9">
        <w:rPr>
          <w:rFonts w:eastAsia="Times New Roman"/>
          <w:iCs/>
          <w:lang w:eastAsia="en-US"/>
        </w:rPr>
        <w:t xml:space="preserve">, </w:t>
      </w:r>
      <w:r w:rsidRPr="007A5231">
        <w:rPr>
          <w:rFonts w:eastAsia="Times New Roman"/>
          <w:iCs/>
          <w:lang w:eastAsia="en-US"/>
        </w:rPr>
        <w:t>uitgedrukt in kWh/Nm³</w:t>
      </w:r>
      <w:r w:rsidR="00980FC9">
        <w:rPr>
          <w:rFonts w:eastAsia="Times New Roman"/>
          <w:iCs/>
          <w:lang w:eastAsia="en-US"/>
        </w:rPr>
        <w:t>,</w:t>
      </w:r>
      <w:r w:rsidRPr="007A5231">
        <w:rPr>
          <w:rFonts w:eastAsia="Times New Roman"/>
          <w:iCs/>
          <w:lang w:eastAsia="en-US"/>
        </w:rPr>
        <w:t xml:space="preserve"> en de </w:t>
      </w:r>
      <w:r w:rsidR="000B6961">
        <w:rPr>
          <w:rFonts w:eastAsia="Times New Roman"/>
          <w:iCs/>
          <w:lang w:eastAsia="en-US"/>
        </w:rPr>
        <w:t>emissiefactor</w:t>
      </w:r>
      <w:r w:rsidRPr="007A5231">
        <w:rPr>
          <w:rFonts w:eastAsia="Times New Roman"/>
          <w:iCs/>
          <w:lang w:eastAsia="en-US"/>
        </w:rPr>
        <w:t xml:space="preserve"> </w:t>
      </w:r>
      <w:r w:rsidR="000B6961">
        <w:rPr>
          <w:rFonts w:eastAsia="Times New Roman"/>
          <w:iCs/>
          <w:lang w:eastAsia="en-US"/>
        </w:rPr>
        <w:t xml:space="preserve">(EF) </w:t>
      </w:r>
      <w:r w:rsidRPr="007A5231">
        <w:rPr>
          <w:rFonts w:eastAsia="Times New Roman"/>
          <w:iCs/>
          <w:lang w:eastAsia="en-US"/>
        </w:rPr>
        <w:t>van het geleverde aardgas</w:t>
      </w:r>
      <w:r w:rsidR="00980FC9">
        <w:rPr>
          <w:rFonts w:eastAsia="Times New Roman"/>
          <w:iCs/>
          <w:lang w:eastAsia="en-US"/>
        </w:rPr>
        <w:t>.</w:t>
      </w:r>
    </w:p>
    <w:p w:rsidR="00752DF0" w:rsidRDefault="00752DF0" w:rsidP="00752DF0">
      <w:pPr>
        <w:spacing w:before="165" w:after="165"/>
        <w:ind w:left="284" w:right="95"/>
        <w:jc w:val="both"/>
        <w:rPr>
          <w:rFonts w:eastAsia="Times New Roman"/>
          <w:iCs/>
          <w:lang w:eastAsia="en-US"/>
        </w:rPr>
      </w:pPr>
    </w:p>
    <w:p w:rsidR="00752DF0" w:rsidRPr="000B6961" w:rsidRDefault="00752DF0" w:rsidP="00752DF0">
      <w:pPr>
        <w:pStyle w:val="Kop2"/>
        <w:numPr>
          <w:ilvl w:val="1"/>
          <w:numId w:val="5"/>
        </w:numPr>
        <w:spacing w:after="240"/>
        <w:jc w:val="both"/>
        <w:rPr>
          <w:rFonts w:ascii="Calibri" w:hAnsi="Calibri" w:cs="Calibri"/>
          <w:sz w:val="24"/>
          <w:szCs w:val="24"/>
          <w:lang w:val="nl-BE"/>
        </w:rPr>
      </w:pPr>
      <w:bookmarkStart w:id="3" w:name="_Toc73025963"/>
      <w:r>
        <w:rPr>
          <w:rFonts w:ascii="Calibri" w:hAnsi="Calibri" w:cs="Calibri"/>
          <w:sz w:val="24"/>
          <w:szCs w:val="24"/>
          <w:lang w:val="nl-BE"/>
        </w:rPr>
        <w:t>Databeschikbaarheid</w:t>
      </w:r>
      <w:bookmarkEnd w:id="3"/>
    </w:p>
    <w:p w:rsidR="007A5231" w:rsidRPr="007A5231" w:rsidRDefault="000B6961" w:rsidP="000B6961">
      <w:pPr>
        <w:pStyle w:val="Lijstalinea"/>
        <w:numPr>
          <w:ilvl w:val="0"/>
          <w:numId w:val="2"/>
        </w:numPr>
        <w:spacing w:before="165" w:after="165"/>
        <w:ind w:left="567" w:right="95" w:hanging="283"/>
        <w:jc w:val="both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t>De</w:t>
      </w:r>
      <w:r w:rsidR="007A5231" w:rsidRPr="007A5231">
        <w:rPr>
          <w:rFonts w:eastAsia="Times New Roman"/>
          <w:iCs/>
          <w:lang w:eastAsia="en-US"/>
        </w:rPr>
        <w:t xml:space="preserve"> exploitant heeft via een portaal (Fluxys EDP) op elk ogenblik (een</w:t>
      </w:r>
      <w:r w:rsidR="002110C0">
        <w:rPr>
          <w:rFonts w:eastAsia="Times New Roman"/>
          <w:iCs/>
          <w:lang w:eastAsia="en-US"/>
        </w:rPr>
        <w:t xml:space="preserve"> </w:t>
      </w:r>
      <w:r w:rsidR="00980FC9">
        <w:rPr>
          <w:rFonts w:eastAsia="Times New Roman"/>
          <w:iCs/>
          <w:lang w:eastAsia="en-US"/>
        </w:rPr>
        <w:t>beveiligde</w:t>
      </w:r>
      <w:r w:rsidR="007A5231" w:rsidRPr="007A5231">
        <w:rPr>
          <w:rFonts w:eastAsia="Times New Roman"/>
          <w:iCs/>
          <w:lang w:eastAsia="en-US"/>
        </w:rPr>
        <w:t xml:space="preserve">) toegang tot de </w:t>
      </w:r>
      <w:r w:rsidR="00752DF0" w:rsidRPr="007A5231">
        <w:rPr>
          <w:rFonts w:eastAsia="Times New Roman"/>
          <w:iCs/>
          <w:lang w:eastAsia="en-US"/>
        </w:rPr>
        <w:t>activiteits</w:t>
      </w:r>
      <w:r w:rsidR="00752DF0">
        <w:rPr>
          <w:rFonts w:eastAsia="Times New Roman"/>
          <w:iCs/>
          <w:lang w:eastAsia="en-US"/>
        </w:rPr>
        <w:t>gegevens</w:t>
      </w:r>
      <w:r w:rsidR="00752DF0" w:rsidRPr="007A5231">
        <w:rPr>
          <w:rFonts w:eastAsia="Times New Roman"/>
          <w:iCs/>
          <w:lang w:eastAsia="en-US"/>
        </w:rPr>
        <w:t xml:space="preserve"> </w:t>
      </w:r>
      <w:r w:rsidR="007A5231" w:rsidRPr="007A5231">
        <w:rPr>
          <w:rFonts w:eastAsia="Times New Roman"/>
          <w:iCs/>
          <w:lang w:eastAsia="en-US"/>
        </w:rPr>
        <w:t xml:space="preserve">en de berekeningsfactoren van het per uur via het </w:t>
      </w:r>
      <w:r w:rsidR="00752DF0">
        <w:rPr>
          <w:rFonts w:eastAsia="Times New Roman"/>
          <w:iCs/>
          <w:lang w:eastAsia="en-US"/>
        </w:rPr>
        <w:t>gas</w:t>
      </w:r>
      <w:r w:rsidR="007A5231" w:rsidRPr="007A5231">
        <w:rPr>
          <w:rFonts w:eastAsia="Times New Roman"/>
          <w:iCs/>
          <w:lang w:eastAsia="en-US"/>
        </w:rPr>
        <w:t>meetstation afgenomen aardgas.</w:t>
      </w:r>
      <w:r w:rsidR="00980FC9">
        <w:rPr>
          <w:rFonts w:eastAsia="Times New Roman"/>
          <w:iCs/>
          <w:lang w:eastAsia="en-US"/>
        </w:rPr>
        <w:t xml:space="preserve"> </w:t>
      </w:r>
      <w:r>
        <w:rPr>
          <w:rFonts w:eastAsia="Times New Roman"/>
          <w:iCs/>
          <w:lang w:eastAsia="en-US"/>
        </w:rPr>
        <w:t>Op die manier beschikt d</w:t>
      </w:r>
      <w:r w:rsidR="00980FC9">
        <w:rPr>
          <w:rFonts w:eastAsia="Times New Roman"/>
          <w:iCs/>
          <w:lang w:eastAsia="en-US"/>
        </w:rPr>
        <w:t>e exp</w:t>
      </w:r>
      <w:r w:rsidR="00987828">
        <w:rPr>
          <w:rFonts w:eastAsia="Times New Roman"/>
          <w:iCs/>
          <w:lang w:eastAsia="en-US"/>
        </w:rPr>
        <w:t>l</w:t>
      </w:r>
      <w:r w:rsidR="00980FC9">
        <w:rPr>
          <w:rFonts w:eastAsia="Times New Roman"/>
          <w:iCs/>
          <w:lang w:eastAsia="en-US"/>
        </w:rPr>
        <w:t>oitant</w:t>
      </w:r>
      <w:r w:rsidR="007A5231" w:rsidRPr="007A5231">
        <w:rPr>
          <w:rFonts w:eastAsia="Times New Roman"/>
          <w:iCs/>
          <w:lang w:eastAsia="en-US"/>
        </w:rPr>
        <w:t xml:space="preserve"> over: </w:t>
      </w:r>
    </w:p>
    <w:p w:rsidR="007A5231" w:rsidRPr="007A5231" w:rsidRDefault="00E5313E" w:rsidP="000B6961">
      <w:pPr>
        <w:pStyle w:val="Lijstalinea"/>
        <w:numPr>
          <w:ilvl w:val="1"/>
          <w:numId w:val="2"/>
        </w:numPr>
        <w:spacing w:before="165" w:after="165"/>
        <w:ind w:left="851" w:right="95" w:hanging="284"/>
        <w:jc w:val="both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t xml:space="preserve">De </w:t>
      </w:r>
      <w:r w:rsidR="007A5231" w:rsidRPr="007A5231">
        <w:rPr>
          <w:rFonts w:eastAsia="Times New Roman"/>
          <w:iCs/>
          <w:lang w:eastAsia="en-US"/>
        </w:rPr>
        <w:t xml:space="preserve">geleverde </w:t>
      </w:r>
      <w:r>
        <w:rPr>
          <w:rFonts w:eastAsia="Times New Roman"/>
          <w:iCs/>
          <w:lang w:eastAsia="en-US"/>
        </w:rPr>
        <w:t xml:space="preserve">hoeveelheid </w:t>
      </w:r>
      <w:r w:rsidR="000B6961">
        <w:rPr>
          <w:rFonts w:eastAsia="Times New Roman"/>
          <w:iCs/>
          <w:lang w:eastAsia="en-US"/>
        </w:rPr>
        <w:t xml:space="preserve">aardgas </w:t>
      </w:r>
      <w:r>
        <w:rPr>
          <w:rFonts w:eastAsia="Times New Roman"/>
          <w:iCs/>
          <w:lang w:eastAsia="en-US"/>
        </w:rPr>
        <w:t xml:space="preserve">in </w:t>
      </w:r>
      <w:r w:rsidR="007A5231" w:rsidRPr="007A5231">
        <w:rPr>
          <w:rFonts w:eastAsia="Times New Roman"/>
          <w:iCs/>
          <w:lang w:eastAsia="en-US"/>
        </w:rPr>
        <w:t>m³</w:t>
      </w:r>
      <w:r>
        <w:rPr>
          <w:rFonts w:eastAsia="Times New Roman"/>
          <w:iCs/>
          <w:lang w:eastAsia="en-US"/>
        </w:rPr>
        <w:t xml:space="preserve">, </w:t>
      </w:r>
      <w:r w:rsidR="007A5231" w:rsidRPr="007A5231">
        <w:rPr>
          <w:rFonts w:eastAsia="Times New Roman"/>
          <w:iCs/>
          <w:lang w:eastAsia="en-US"/>
        </w:rPr>
        <w:t xml:space="preserve">gelogd van het primair meetelement met </w:t>
      </w:r>
      <w:r w:rsidR="000A50AD">
        <w:rPr>
          <w:rFonts w:eastAsia="Times New Roman"/>
          <w:iCs/>
          <w:lang w:eastAsia="en-US"/>
        </w:rPr>
        <w:t xml:space="preserve">de </w:t>
      </w:r>
      <w:r w:rsidR="007A5231" w:rsidRPr="007A5231">
        <w:rPr>
          <w:rFonts w:eastAsia="Times New Roman"/>
          <w:iCs/>
          <w:lang w:eastAsia="en-US"/>
        </w:rPr>
        <w:t>corresponderende P en T meting</w:t>
      </w:r>
      <w:r w:rsidR="000B6961">
        <w:rPr>
          <w:rFonts w:eastAsia="Times New Roman"/>
          <w:iCs/>
          <w:lang w:eastAsia="en-US"/>
        </w:rPr>
        <w:t>;</w:t>
      </w:r>
    </w:p>
    <w:p w:rsidR="007A5231" w:rsidRPr="007A5231" w:rsidRDefault="000A50AD" w:rsidP="000B6961">
      <w:pPr>
        <w:pStyle w:val="Lijstalinea"/>
        <w:numPr>
          <w:ilvl w:val="1"/>
          <w:numId w:val="2"/>
        </w:numPr>
        <w:spacing w:before="165" w:after="165"/>
        <w:ind w:left="851" w:right="95" w:hanging="284"/>
        <w:jc w:val="both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t>D</w:t>
      </w:r>
      <w:r w:rsidR="007A5231" w:rsidRPr="007A5231">
        <w:rPr>
          <w:rFonts w:eastAsia="Times New Roman"/>
          <w:iCs/>
          <w:lang w:eastAsia="en-US"/>
        </w:rPr>
        <w:t>e corresponderende geleverde (</w:t>
      </w:r>
      <w:r w:rsidR="00980FC9">
        <w:rPr>
          <w:rFonts w:eastAsia="Times New Roman"/>
          <w:iCs/>
          <w:lang w:eastAsia="en-US"/>
        </w:rPr>
        <w:t>=</w:t>
      </w:r>
      <w:r w:rsidR="007A5231" w:rsidRPr="007A5231">
        <w:rPr>
          <w:rFonts w:eastAsia="Times New Roman"/>
          <w:iCs/>
          <w:lang w:eastAsia="en-US"/>
        </w:rPr>
        <w:t xml:space="preserve">berekende) </w:t>
      </w:r>
      <w:r>
        <w:rPr>
          <w:rFonts w:eastAsia="Times New Roman"/>
          <w:iCs/>
          <w:lang w:eastAsia="en-US"/>
        </w:rPr>
        <w:t xml:space="preserve">hoeveelheid </w:t>
      </w:r>
      <w:r w:rsidR="000B6961">
        <w:rPr>
          <w:rFonts w:eastAsia="Times New Roman"/>
          <w:iCs/>
          <w:lang w:eastAsia="en-US"/>
        </w:rPr>
        <w:t xml:space="preserve">aardgas </w:t>
      </w:r>
      <w:r>
        <w:rPr>
          <w:rFonts w:eastAsia="Times New Roman"/>
          <w:iCs/>
          <w:lang w:eastAsia="en-US"/>
        </w:rPr>
        <w:t xml:space="preserve">in </w:t>
      </w:r>
      <w:r w:rsidR="007A5231" w:rsidRPr="00980FC9">
        <w:rPr>
          <w:rFonts w:eastAsia="Times New Roman"/>
          <w:iCs/>
          <w:lang w:eastAsia="en-US"/>
        </w:rPr>
        <w:t>Nm³</w:t>
      </w:r>
      <w:r w:rsidR="000B6961">
        <w:rPr>
          <w:rFonts w:eastAsia="Times New Roman"/>
          <w:iCs/>
          <w:lang w:eastAsia="en-US"/>
        </w:rPr>
        <w:t>;</w:t>
      </w:r>
    </w:p>
    <w:p w:rsidR="007A5231" w:rsidRPr="007A5231" w:rsidRDefault="000A50AD" w:rsidP="000B6961">
      <w:pPr>
        <w:pStyle w:val="Lijstalinea"/>
        <w:numPr>
          <w:ilvl w:val="1"/>
          <w:numId w:val="2"/>
        </w:numPr>
        <w:spacing w:before="165" w:after="165"/>
        <w:ind w:left="851" w:right="95" w:hanging="284"/>
        <w:jc w:val="both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t>Het</w:t>
      </w:r>
      <w:r w:rsidR="007A5231" w:rsidRPr="007A5231">
        <w:rPr>
          <w:rFonts w:eastAsia="Times New Roman"/>
          <w:iCs/>
          <w:lang w:eastAsia="en-US"/>
        </w:rPr>
        <w:t xml:space="preserve"> </w:t>
      </w:r>
      <w:r w:rsidR="00752DF0">
        <w:rPr>
          <w:rFonts w:eastAsia="Times New Roman"/>
          <w:iCs/>
          <w:lang w:eastAsia="en-US"/>
        </w:rPr>
        <w:t xml:space="preserve">(gewogen) </w:t>
      </w:r>
      <w:r w:rsidR="007A5231" w:rsidRPr="007A5231">
        <w:rPr>
          <w:rFonts w:eastAsia="Times New Roman"/>
          <w:iCs/>
          <w:lang w:eastAsia="en-US"/>
        </w:rPr>
        <w:t xml:space="preserve">uurgemiddelde </w:t>
      </w:r>
      <w:r w:rsidR="00980FC9">
        <w:rPr>
          <w:rFonts w:eastAsia="Times New Roman"/>
          <w:iCs/>
          <w:lang w:eastAsia="en-US"/>
        </w:rPr>
        <w:t xml:space="preserve">van de </w:t>
      </w:r>
      <w:r w:rsidR="007A5231" w:rsidRPr="007A5231">
        <w:rPr>
          <w:rFonts w:eastAsia="Times New Roman"/>
          <w:iCs/>
          <w:lang w:eastAsia="en-US"/>
        </w:rPr>
        <w:t xml:space="preserve">samenstelling van het </w:t>
      </w:r>
      <w:r w:rsidR="00980FC9">
        <w:rPr>
          <w:rFonts w:eastAsia="Times New Roman"/>
          <w:iCs/>
          <w:lang w:eastAsia="en-US"/>
        </w:rPr>
        <w:t>aardgas (</w:t>
      </w:r>
      <w:r w:rsidR="00FD6770">
        <w:rPr>
          <w:rFonts w:eastAsia="Times New Roman"/>
          <w:iCs/>
          <w:lang w:eastAsia="en-US"/>
        </w:rPr>
        <w:t xml:space="preserve">met de </w:t>
      </w:r>
      <w:r w:rsidR="007A5231" w:rsidRPr="007A5231">
        <w:rPr>
          <w:rFonts w:eastAsia="Times New Roman"/>
          <w:iCs/>
          <w:lang w:eastAsia="en-US"/>
        </w:rPr>
        <w:t>verschillende componenten)</w:t>
      </w:r>
      <w:r w:rsidR="000B6961">
        <w:rPr>
          <w:rFonts w:eastAsia="Times New Roman"/>
          <w:iCs/>
          <w:lang w:eastAsia="en-US"/>
        </w:rPr>
        <w:t>;</w:t>
      </w:r>
    </w:p>
    <w:p w:rsidR="007A5231" w:rsidRPr="002110C0" w:rsidRDefault="00FD6770" w:rsidP="000B6961">
      <w:pPr>
        <w:pStyle w:val="Lijstalinea"/>
        <w:numPr>
          <w:ilvl w:val="1"/>
          <w:numId w:val="2"/>
        </w:numPr>
        <w:spacing w:before="165" w:after="165"/>
        <w:ind w:left="851" w:right="95" w:hanging="284"/>
        <w:jc w:val="both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t>D</w:t>
      </w:r>
      <w:r w:rsidR="007A5231" w:rsidRPr="002110C0">
        <w:rPr>
          <w:rFonts w:eastAsia="Times New Roman"/>
          <w:iCs/>
          <w:lang w:eastAsia="en-US"/>
        </w:rPr>
        <w:t xml:space="preserve">e hieruit berekende </w:t>
      </w:r>
      <w:r w:rsidR="00980FC9" w:rsidRPr="002110C0">
        <w:rPr>
          <w:rFonts w:eastAsia="Times New Roman"/>
          <w:iCs/>
          <w:lang w:eastAsia="en-US"/>
        </w:rPr>
        <w:t xml:space="preserve">onderste verbrandingswaarde </w:t>
      </w:r>
      <w:r w:rsidR="007A5231" w:rsidRPr="002110C0">
        <w:rPr>
          <w:rFonts w:eastAsia="Times New Roman"/>
          <w:iCs/>
          <w:lang w:eastAsia="en-US"/>
        </w:rPr>
        <w:t>COW</w:t>
      </w:r>
      <w:r>
        <w:rPr>
          <w:rFonts w:eastAsia="Times New Roman"/>
          <w:iCs/>
          <w:lang w:eastAsia="en-US"/>
        </w:rPr>
        <w:t xml:space="preserve"> </w:t>
      </w:r>
      <w:r w:rsidR="007A5231" w:rsidRPr="002110C0">
        <w:rPr>
          <w:rFonts w:eastAsia="Times New Roman"/>
          <w:iCs/>
          <w:lang w:eastAsia="en-US"/>
        </w:rPr>
        <w:t xml:space="preserve">(in </w:t>
      </w:r>
      <w:proofErr w:type="spellStart"/>
      <w:r w:rsidR="007A5231" w:rsidRPr="002110C0">
        <w:rPr>
          <w:rFonts w:eastAsia="Times New Roman"/>
          <w:iCs/>
          <w:lang w:eastAsia="en-US"/>
        </w:rPr>
        <w:t>kWh</w:t>
      </w:r>
      <w:r w:rsidR="002110C0" w:rsidRPr="002110C0">
        <w:rPr>
          <w:rFonts w:eastAsia="Times New Roman"/>
          <w:iCs/>
          <w:vertAlign w:val="subscript"/>
          <w:lang w:eastAsia="en-US"/>
        </w:rPr>
        <w:t>ovw</w:t>
      </w:r>
      <w:proofErr w:type="spellEnd"/>
      <w:r w:rsidR="007A5231" w:rsidRPr="002110C0">
        <w:rPr>
          <w:rFonts w:eastAsia="Times New Roman"/>
          <w:iCs/>
          <w:lang w:eastAsia="en-US"/>
        </w:rPr>
        <w:t xml:space="preserve">/Nm³), </w:t>
      </w:r>
      <w:r w:rsidR="002110C0" w:rsidRPr="002110C0">
        <w:rPr>
          <w:rFonts w:eastAsia="Times New Roman"/>
          <w:iCs/>
          <w:lang w:eastAsia="en-US"/>
        </w:rPr>
        <w:t xml:space="preserve">de bovenste verbrandingswaarde </w:t>
      </w:r>
      <w:r w:rsidR="007A5231" w:rsidRPr="002110C0">
        <w:rPr>
          <w:rFonts w:eastAsia="Times New Roman"/>
          <w:iCs/>
          <w:lang w:eastAsia="en-US"/>
        </w:rPr>
        <w:t>CBW</w:t>
      </w:r>
      <w:r w:rsidR="002110C0" w:rsidRPr="002110C0">
        <w:rPr>
          <w:rFonts w:eastAsia="Times New Roman"/>
          <w:iCs/>
          <w:lang w:eastAsia="en-US"/>
        </w:rPr>
        <w:t xml:space="preserve"> </w:t>
      </w:r>
      <w:r w:rsidR="007A5231" w:rsidRPr="002110C0">
        <w:rPr>
          <w:rFonts w:eastAsia="Times New Roman"/>
          <w:iCs/>
          <w:lang w:eastAsia="en-US"/>
        </w:rPr>
        <w:t xml:space="preserve">(in </w:t>
      </w:r>
      <w:proofErr w:type="spellStart"/>
      <w:r w:rsidR="007A5231" w:rsidRPr="002110C0">
        <w:rPr>
          <w:rFonts w:eastAsia="Times New Roman"/>
          <w:iCs/>
          <w:lang w:eastAsia="en-US"/>
        </w:rPr>
        <w:t>kWh</w:t>
      </w:r>
      <w:r w:rsidR="002110C0" w:rsidRPr="002110C0">
        <w:rPr>
          <w:rFonts w:eastAsia="Times New Roman"/>
          <w:iCs/>
          <w:vertAlign w:val="subscript"/>
          <w:lang w:eastAsia="en-US"/>
        </w:rPr>
        <w:t>bvw</w:t>
      </w:r>
      <w:proofErr w:type="spellEnd"/>
      <w:r w:rsidR="007A5231" w:rsidRPr="002110C0">
        <w:rPr>
          <w:rFonts w:eastAsia="Times New Roman"/>
          <w:iCs/>
          <w:lang w:eastAsia="en-US"/>
        </w:rPr>
        <w:t>/Nm³)</w:t>
      </w:r>
      <w:r w:rsidR="002110C0" w:rsidRPr="002110C0">
        <w:rPr>
          <w:rFonts w:eastAsia="Times New Roman"/>
          <w:iCs/>
          <w:lang w:eastAsia="en-US"/>
        </w:rPr>
        <w:t xml:space="preserve"> en de emissiefactor </w:t>
      </w:r>
      <w:r w:rsidR="007A5231" w:rsidRPr="002110C0">
        <w:rPr>
          <w:rFonts w:eastAsia="Times New Roman"/>
          <w:iCs/>
          <w:lang w:eastAsia="en-US"/>
        </w:rPr>
        <w:t>(in ton CO</w:t>
      </w:r>
      <w:r w:rsidR="007A5231" w:rsidRPr="002110C0">
        <w:rPr>
          <w:rFonts w:eastAsia="Times New Roman"/>
          <w:iCs/>
          <w:vertAlign w:val="subscript"/>
          <w:lang w:eastAsia="en-US"/>
        </w:rPr>
        <w:t>2</w:t>
      </w:r>
      <w:r w:rsidR="007A5231" w:rsidRPr="002110C0">
        <w:rPr>
          <w:rFonts w:eastAsia="Times New Roman"/>
          <w:iCs/>
          <w:lang w:eastAsia="en-US"/>
        </w:rPr>
        <w:t>/TJ)</w:t>
      </w:r>
      <w:r w:rsidR="000B6961">
        <w:rPr>
          <w:rFonts w:eastAsia="Times New Roman"/>
          <w:iCs/>
          <w:lang w:eastAsia="en-US"/>
        </w:rPr>
        <w:t>.</w:t>
      </w:r>
    </w:p>
    <w:p w:rsidR="002110C0" w:rsidRPr="002110C0" w:rsidRDefault="007A5231" w:rsidP="000B6961">
      <w:pPr>
        <w:pStyle w:val="Lijstalinea"/>
        <w:numPr>
          <w:ilvl w:val="0"/>
          <w:numId w:val="2"/>
        </w:numPr>
        <w:spacing w:before="165" w:after="165"/>
        <w:ind w:left="567" w:right="95" w:hanging="283"/>
        <w:jc w:val="both"/>
        <w:rPr>
          <w:rFonts w:eastAsia="Times New Roman"/>
          <w:bCs/>
          <w:iCs/>
          <w:lang w:eastAsia="en-US"/>
        </w:rPr>
      </w:pPr>
      <w:r w:rsidRPr="002110C0">
        <w:rPr>
          <w:rFonts w:eastAsia="Times New Roman"/>
          <w:iCs/>
          <w:lang w:eastAsia="en-US"/>
        </w:rPr>
        <w:t xml:space="preserve">Dit impliceert dat de exploitant (na download van de door Fluxys gevalideerde EDP data) per uur beschikt over de emissie </w:t>
      </w:r>
      <w:r w:rsidR="002110C0" w:rsidRPr="002110C0">
        <w:rPr>
          <w:rFonts w:eastAsia="Times New Roman"/>
          <w:iCs/>
          <w:lang w:eastAsia="en-US"/>
        </w:rPr>
        <w:t>(</w:t>
      </w:r>
      <w:r w:rsidRPr="002110C0">
        <w:rPr>
          <w:rFonts w:eastAsia="Times New Roman"/>
          <w:iCs/>
          <w:lang w:eastAsia="en-US"/>
        </w:rPr>
        <w:t>in ton CO2/uur</w:t>
      </w:r>
      <w:r w:rsidR="002110C0" w:rsidRPr="002110C0">
        <w:rPr>
          <w:rFonts w:eastAsia="Times New Roman"/>
          <w:iCs/>
          <w:lang w:eastAsia="en-US"/>
        </w:rPr>
        <w:t>)</w:t>
      </w:r>
      <w:r w:rsidRPr="002110C0">
        <w:rPr>
          <w:rFonts w:eastAsia="Times New Roman"/>
          <w:iCs/>
          <w:lang w:eastAsia="en-US"/>
        </w:rPr>
        <w:t xml:space="preserve"> door de combinatie te maken van de</w:t>
      </w:r>
      <w:r w:rsidR="000B6961">
        <w:rPr>
          <w:rFonts w:eastAsia="Times New Roman"/>
          <w:iCs/>
          <w:lang w:eastAsia="en-US"/>
        </w:rPr>
        <w:t>ze</w:t>
      </w:r>
      <w:r w:rsidRPr="002110C0">
        <w:rPr>
          <w:rFonts w:eastAsia="Times New Roman"/>
          <w:iCs/>
          <w:lang w:eastAsia="en-US"/>
        </w:rPr>
        <w:t xml:space="preserve"> data</w:t>
      </w:r>
      <w:r w:rsidR="002110C0" w:rsidRPr="002110C0">
        <w:rPr>
          <w:rFonts w:eastAsia="Times New Roman"/>
          <w:iCs/>
          <w:lang w:eastAsia="en-US"/>
        </w:rPr>
        <w:t>:</w:t>
      </w:r>
    </w:p>
    <w:p w:rsidR="002110C0" w:rsidRPr="00AF1B59" w:rsidRDefault="002110C0" w:rsidP="000B6961">
      <w:pPr>
        <w:pStyle w:val="Lijstalinea"/>
        <w:spacing w:before="165" w:after="165"/>
        <w:ind w:left="567" w:right="95"/>
        <w:jc w:val="both"/>
        <w:rPr>
          <w:rFonts w:eastAsia="Times New Roman"/>
          <w:b/>
          <w:iCs/>
          <w:lang w:eastAsia="en-US"/>
        </w:rPr>
      </w:pPr>
      <w:r w:rsidRPr="00AF1B59">
        <w:rPr>
          <w:rFonts w:eastAsia="Times New Roman"/>
          <w:b/>
          <w:iCs/>
          <w:lang w:eastAsia="en-US"/>
        </w:rPr>
        <w:t>Hoeveelheid (</w:t>
      </w:r>
      <w:r w:rsidR="007A5231" w:rsidRPr="00AF1B59">
        <w:rPr>
          <w:rFonts w:eastAsia="Times New Roman"/>
          <w:b/>
          <w:iCs/>
          <w:lang w:eastAsia="en-US"/>
        </w:rPr>
        <w:t>Nm³</w:t>
      </w:r>
      <w:r w:rsidRPr="00AF1B59">
        <w:rPr>
          <w:rFonts w:eastAsia="Times New Roman"/>
          <w:b/>
          <w:iCs/>
          <w:lang w:eastAsia="en-US"/>
        </w:rPr>
        <w:t>)</w:t>
      </w:r>
      <w:r w:rsidR="007A5231" w:rsidRPr="00AF1B59">
        <w:rPr>
          <w:rFonts w:eastAsia="Times New Roman"/>
          <w:b/>
          <w:iCs/>
          <w:lang w:eastAsia="en-US"/>
        </w:rPr>
        <w:t xml:space="preserve"> * COW (</w:t>
      </w:r>
      <w:proofErr w:type="spellStart"/>
      <w:r w:rsidR="007A5231" w:rsidRPr="00AF1B59">
        <w:rPr>
          <w:rFonts w:eastAsia="Times New Roman"/>
          <w:b/>
          <w:iCs/>
          <w:lang w:eastAsia="en-US"/>
        </w:rPr>
        <w:t>kWh</w:t>
      </w:r>
      <w:r w:rsidRPr="00AF1B59">
        <w:rPr>
          <w:rFonts w:eastAsia="Times New Roman"/>
          <w:b/>
          <w:iCs/>
          <w:vertAlign w:val="subscript"/>
          <w:lang w:eastAsia="en-US"/>
        </w:rPr>
        <w:t>ovw</w:t>
      </w:r>
      <w:proofErr w:type="spellEnd"/>
      <w:r w:rsidR="007A5231" w:rsidRPr="00AF1B59">
        <w:rPr>
          <w:rFonts w:eastAsia="Times New Roman"/>
          <w:b/>
          <w:iCs/>
          <w:lang w:eastAsia="en-US"/>
        </w:rPr>
        <w:t>/Nm³) *</w:t>
      </w:r>
      <w:r w:rsidR="00AF1B59" w:rsidRPr="00AF1B59">
        <w:rPr>
          <w:rFonts w:eastAsia="Times New Roman"/>
          <w:b/>
          <w:iCs/>
          <w:lang w:eastAsia="en-US"/>
        </w:rPr>
        <w:t xml:space="preserve"> </w:t>
      </w:r>
      <w:r w:rsidR="007A5231" w:rsidRPr="00AF1B59">
        <w:rPr>
          <w:rFonts w:eastAsia="Times New Roman"/>
          <w:b/>
          <w:bCs/>
          <w:iCs/>
          <w:lang w:eastAsia="en-US"/>
        </w:rPr>
        <w:t>3</w:t>
      </w:r>
      <w:r w:rsidR="00AF1B59" w:rsidRPr="00AF1B59">
        <w:rPr>
          <w:rFonts w:eastAsia="Times New Roman"/>
          <w:b/>
          <w:bCs/>
          <w:iCs/>
          <w:lang w:eastAsia="en-US"/>
        </w:rPr>
        <w:t>,</w:t>
      </w:r>
      <w:r w:rsidR="007A5231" w:rsidRPr="00AF1B59">
        <w:rPr>
          <w:rFonts w:eastAsia="Times New Roman"/>
          <w:b/>
          <w:bCs/>
          <w:iCs/>
          <w:lang w:eastAsia="en-US"/>
        </w:rPr>
        <w:t>6 MJ/</w:t>
      </w:r>
      <w:proofErr w:type="spellStart"/>
      <w:r w:rsidR="007A5231" w:rsidRPr="00AF1B59">
        <w:rPr>
          <w:rFonts w:eastAsia="Times New Roman"/>
          <w:b/>
          <w:bCs/>
          <w:iCs/>
          <w:lang w:eastAsia="en-US"/>
        </w:rPr>
        <w:t>kWh</w:t>
      </w:r>
      <w:r w:rsidRPr="00AF1B59">
        <w:rPr>
          <w:rFonts w:eastAsia="Times New Roman"/>
          <w:b/>
          <w:bCs/>
          <w:iCs/>
          <w:vertAlign w:val="subscript"/>
          <w:lang w:eastAsia="en-US"/>
        </w:rPr>
        <w:t>ovw</w:t>
      </w:r>
      <w:proofErr w:type="spellEnd"/>
      <w:r w:rsidR="007A5231" w:rsidRPr="00AF1B59">
        <w:rPr>
          <w:rFonts w:eastAsia="Times New Roman"/>
          <w:b/>
          <w:iCs/>
          <w:lang w:eastAsia="en-US"/>
        </w:rPr>
        <w:t xml:space="preserve"> *</w:t>
      </w:r>
      <w:r w:rsidR="00280E27">
        <w:rPr>
          <w:rFonts w:eastAsia="Times New Roman"/>
          <w:b/>
          <w:iCs/>
          <w:lang w:eastAsia="en-US"/>
        </w:rPr>
        <w:t xml:space="preserve"> </w:t>
      </w:r>
      <w:r w:rsidR="007A5231" w:rsidRPr="00AF1B59">
        <w:rPr>
          <w:rFonts w:eastAsia="Times New Roman"/>
          <w:b/>
          <w:bCs/>
          <w:iCs/>
          <w:lang w:eastAsia="en-US"/>
        </w:rPr>
        <w:t>10</w:t>
      </w:r>
      <w:r w:rsidR="007A5231" w:rsidRPr="00AF1B59">
        <w:rPr>
          <w:rFonts w:eastAsia="Times New Roman"/>
          <w:b/>
          <w:bCs/>
          <w:iCs/>
          <w:vertAlign w:val="superscript"/>
          <w:lang w:eastAsia="en-US"/>
        </w:rPr>
        <w:t>-6</w:t>
      </w:r>
      <w:r w:rsidR="007A5231" w:rsidRPr="00AF1B59">
        <w:rPr>
          <w:rFonts w:eastAsia="Times New Roman"/>
          <w:b/>
          <w:bCs/>
          <w:iCs/>
          <w:lang w:eastAsia="en-US"/>
        </w:rPr>
        <w:t xml:space="preserve"> TJ/MJ</w:t>
      </w:r>
      <w:r w:rsidRPr="00AF1B59">
        <w:rPr>
          <w:rFonts w:eastAsia="Times New Roman"/>
          <w:b/>
          <w:bCs/>
          <w:iCs/>
          <w:lang w:eastAsia="en-US"/>
        </w:rPr>
        <w:t xml:space="preserve"> </w:t>
      </w:r>
      <w:r w:rsidR="007A5231" w:rsidRPr="00AF1B59">
        <w:rPr>
          <w:rFonts w:eastAsia="Times New Roman"/>
          <w:b/>
          <w:iCs/>
          <w:lang w:eastAsia="en-US"/>
        </w:rPr>
        <w:t>*EF (ton CO</w:t>
      </w:r>
      <w:r w:rsidR="007A5231" w:rsidRPr="00AF1B59">
        <w:rPr>
          <w:rFonts w:eastAsia="Times New Roman"/>
          <w:b/>
          <w:iCs/>
          <w:vertAlign w:val="subscript"/>
          <w:lang w:eastAsia="en-US"/>
        </w:rPr>
        <w:t>2</w:t>
      </w:r>
      <w:r w:rsidR="007A5231" w:rsidRPr="00AF1B59">
        <w:rPr>
          <w:rFonts w:eastAsia="Times New Roman"/>
          <w:b/>
          <w:iCs/>
          <w:lang w:eastAsia="en-US"/>
        </w:rPr>
        <w:t xml:space="preserve">/TJ) </w:t>
      </w:r>
    </w:p>
    <w:p w:rsidR="007A5231" w:rsidRPr="002110C0" w:rsidRDefault="002110C0" w:rsidP="000B6961">
      <w:pPr>
        <w:pStyle w:val="Lijstalinea"/>
        <w:spacing w:before="165" w:after="165"/>
        <w:ind w:left="567" w:right="95"/>
        <w:jc w:val="both"/>
        <w:rPr>
          <w:rFonts w:eastAsia="Times New Roman"/>
          <w:bCs/>
          <w:iCs/>
          <w:lang w:eastAsia="en-US"/>
        </w:rPr>
      </w:pPr>
      <w:r w:rsidRPr="002110C0">
        <w:rPr>
          <w:rFonts w:eastAsia="Times New Roman"/>
          <w:bCs/>
          <w:iCs/>
          <w:lang w:eastAsia="en-US"/>
        </w:rPr>
        <w:t>De</w:t>
      </w:r>
      <w:r w:rsidR="007A5231" w:rsidRPr="002110C0">
        <w:rPr>
          <w:rFonts w:eastAsia="Times New Roman"/>
          <w:bCs/>
          <w:iCs/>
          <w:lang w:eastAsia="en-US"/>
        </w:rPr>
        <w:t xml:space="preserve"> emissie op jaarbasis  bereken</w:t>
      </w:r>
      <w:r w:rsidRPr="002110C0">
        <w:rPr>
          <w:rFonts w:eastAsia="Times New Roman"/>
          <w:bCs/>
          <w:iCs/>
          <w:lang w:eastAsia="en-US"/>
        </w:rPr>
        <w:t xml:space="preserve">t de exploitant </w:t>
      </w:r>
      <w:r w:rsidR="007A5231" w:rsidRPr="002110C0">
        <w:rPr>
          <w:rFonts w:eastAsia="Times New Roman"/>
          <w:bCs/>
          <w:iCs/>
          <w:lang w:eastAsia="en-US"/>
        </w:rPr>
        <w:t>door al</w:t>
      </w:r>
      <w:r w:rsidRPr="002110C0">
        <w:rPr>
          <w:rFonts w:eastAsia="Times New Roman"/>
          <w:bCs/>
          <w:iCs/>
          <w:lang w:eastAsia="en-US"/>
        </w:rPr>
        <w:t xml:space="preserve"> deze </w:t>
      </w:r>
      <w:proofErr w:type="spellStart"/>
      <w:r w:rsidRPr="002110C0">
        <w:rPr>
          <w:rFonts w:eastAsia="Times New Roman"/>
          <w:bCs/>
          <w:iCs/>
          <w:lang w:eastAsia="en-US"/>
        </w:rPr>
        <w:t>uurwaarden</w:t>
      </w:r>
      <w:proofErr w:type="spellEnd"/>
      <w:r w:rsidRPr="002110C0">
        <w:rPr>
          <w:rFonts w:eastAsia="Times New Roman"/>
          <w:bCs/>
          <w:iCs/>
          <w:lang w:eastAsia="en-US"/>
        </w:rPr>
        <w:t xml:space="preserve"> </w:t>
      </w:r>
      <w:r w:rsidR="007A5231" w:rsidRPr="002110C0">
        <w:rPr>
          <w:rFonts w:eastAsia="Times New Roman"/>
          <w:bCs/>
          <w:iCs/>
          <w:lang w:eastAsia="en-US"/>
        </w:rPr>
        <w:t>(8760</w:t>
      </w:r>
      <w:r w:rsidRPr="002110C0">
        <w:rPr>
          <w:rFonts w:eastAsia="Times New Roman"/>
          <w:bCs/>
          <w:iCs/>
          <w:lang w:eastAsia="en-US"/>
        </w:rPr>
        <w:t xml:space="preserve"> of </w:t>
      </w:r>
      <w:r w:rsidR="007A5231" w:rsidRPr="002110C0">
        <w:rPr>
          <w:rFonts w:eastAsia="Times New Roman"/>
          <w:bCs/>
          <w:iCs/>
          <w:lang w:eastAsia="en-US"/>
        </w:rPr>
        <w:t xml:space="preserve">8784) </w:t>
      </w:r>
      <w:r w:rsidRPr="002110C0">
        <w:rPr>
          <w:rFonts w:eastAsia="Times New Roman"/>
          <w:bCs/>
          <w:iCs/>
          <w:lang w:eastAsia="en-US"/>
        </w:rPr>
        <w:t xml:space="preserve">van de </w:t>
      </w:r>
      <w:r w:rsidR="007A5231" w:rsidRPr="002110C0">
        <w:rPr>
          <w:rFonts w:eastAsia="Times New Roman"/>
          <w:bCs/>
          <w:iCs/>
          <w:lang w:eastAsia="en-US"/>
        </w:rPr>
        <w:t>CO2 emissie</w:t>
      </w:r>
      <w:r w:rsidRPr="002110C0">
        <w:rPr>
          <w:rFonts w:eastAsia="Times New Roman"/>
          <w:bCs/>
          <w:iCs/>
          <w:lang w:eastAsia="en-US"/>
        </w:rPr>
        <w:t xml:space="preserve"> op te tellen</w:t>
      </w:r>
      <w:r w:rsidR="007A5231" w:rsidRPr="002110C0">
        <w:rPr>
          <w:rFonts w:eastAsia="Times New Roman"/>
          <w:bCs/>
          <w:iCs/>
          <w:lang w:eastAsia="en-US"/>
        </w:rPr>
        <w:t xml:space="preserve">. </w:t>
      </w:r>
    </w:p>
    <w:p w:rsidR="00AF1B59" w:rsidRDefault="002110C0" w:rsidP="000B6961">
      <w:pPr>
        <w:pStyle w:val="Lijstalinea"/>
        <w:numPr>
          <w:ilvl w:val="0"/>
          <w:numId w:val="2"/>
        </w:numPr>
        <w:spacing w:before="165" w:after="165"/>
        <w:ind w:left="567" w:right="95" w:hanging="283"/>
        <w:jc w:val="both"/>
        <w:rPr>
          <w:rFonts w:eastAsia="Times New Roman"/>
          <w:bCs/>
          <w:iCs/>
          <w:lang w:eastAsia="en-US"/>
        </w:rPr>
      </w:pPr>
      <w:r>
        <w:rPr>
          <w:rFonts w:eastAsia="Times New Roman"/>
          <w:bCs/>
          <w:iCs/>
          <w:lang w:eastAsia="en-US"/>
        </w:rPr>
        <w:t>De</w:t>
      </w:r>
      <w:r w:rsidR="007A5231" w:rsidRPr="002110C0">
        <w:rPr>
          <w:rFonts w:eastAsia="Times New Roman"/>
          <w:bCs/>
          <w:iCs/>
          <w:lang w:eastAsia="en-US"/>
        </w:rPr>
        <w:t xml:space="preserve"> exploitant </w:t>
      </w:r>
      <w:r>
        <w:rPr>
          <w:rFonts w:eastAsia="Times New Roman"/>
          <w:bCs/>
          <w:iCs/>
          <w:lang w:eastAsia="en-US"/>
        </w:rPr>
        <w:t xml:space="preserve">beschikt bijgevolg over alle </w:t>
      </w:r>
      <w:r w:rsidR="007A5231" w:rsidRPr="002110C0">
        <w:rPr>
          <w:rFonts w:eastAsia="Times New Roman"/>
          <w:bCs/>
          <w:iCs/>
          <w:lang w:eastAsia="en-US"/>
        </w:rPr>
        <w:t xml:space="preserve">data om op maandbasis </w:t>
      </w:r>
      <w:r w:rsidR="00AF1B59">
        <w:rPr>
          <w:rFonts w:eastAsia="Times New Roman"/>
          <w:bCs/>
          <w:iCs/>
          <w:lang w:eastAsia="en-US"/>
        </w:rPr>
        <w:t xml:space="preserve">ook </w:t>
      </w:r>
      <w:r w:rsidR="007A5231" w:rsidRPr="002110C0">
        <w:rPr>
          <w:rFonts w:eastAsia="Times New Roman"/>
          <w:bCs/>
          <w:iCs/>
          <w:lang w:eastAsia="en-US"/>
        </w:rPr>
        <w:t xml:space="preserve">de factuur van zijn leverancier (meestal </w:t>
      </w:r>
      <w:r>
        <w:rPr>
          <w:rFonts w:eastAsia="Times New Roman"/>
          <w:bCs/>
          <w:iCs/>
          <w:lang w:eastAsia="en-US"/>
        </w:rPr>
        <w:t xml:space="preserve">uitgedrukt in </w:t>
      </w:r>
      <w:proofErr w:type="spellStart"/>
      <w:r w:rsidR="007A5231" w:rsidRPr="002110C0">
        <w:rPr>
          <w:rFonts w:eastAsia="Times New Roman"/>
          <w:bCs/>
          <w:iCs/>
          <w:lang w:eastAsia="en-US"/>
        </w:rPr>
        <w:t>MWh</w:t>
      </w:r>
      <w:r w:rsidR="007A5231" w:rsidRPr="002110C0">
        <w:rPr>
          <w:rFonts w:eastAsia="Times New Roman"/>
          <w:bCs/>
          <w:iCs/>
          <w:vertAlign w:val="subscript"/>
          <w:lang w:eastAsia="en-US"/>
        </w:rPr>
        <w:t>bvw</w:t>
      </w:r>
      <w:proofErr w:type="spellEnd"/>
      <w:r w:rsidR="007A5231" w:rsidRPr="002110C0">
        <w:rPr>
          <w:rFonts w:eastAsia="Times New Roman"/>
          <w:bCs/>
          <w:iCs/>
          <w:lang w:eastAsia="en-US"/>
        </w:rPr>
        <w:t xml:space="preserve">) te </w:t>
      </w:r>
      <w:r w:rsidR="000B6961">
        <w:rPr>
          <w:rFonts w:eastAsia="Times New Roman"/>
          <w:bCs/>
          <w:iCs/>
          <w:lang w:eastAsia="en-US"/>
        </w:rPr>
        <w:t>controleren</w:t>
      </w:r>
      <w:r w:rsidR="007A5231" w:rsidRPr="002110C0">
        <w:rPr>
          <w:rFonts w:eastAsia="Times New Roman"/>
          <w:bCs/>
          <w:iCs/>
          <w:lang w:eastAsia="en-US"/>
        </w:rPr>
        <w:t xml:space="preserve"> a</w:t>
      </w:r>
      <w:r>
        <w:rPr>
          <w:rFonts w:eastAsia="Times New Roman"/>
          <w:bCs/>
          <w:iCs/>
          <w:lang w:eastAsia="en-US"/>
        </w:rPr>
        <w:t xml:space="preserve">.d.h.v. </w:t>
      </w:r>
      <w:r w:rsidR="00AF1B59">
        <w:rPr>
          <w:rFonts w:eastAsia="Times New Roman"/>
          <w:bCs/>
          <w:iCs/>
          <w:lang w:eastAsia="en-US"/>
        </w:rPr>
        <w:t xml:space="preserve">volgende </w:t>
      </w:r>
      <w:r>
        <w:rPr>
          <w:rFonts w:eastAsia="Times New Roman"/>
          <w:bCs/>
          <w:iCs/>
          <w:lang w:eastAsia="en-US"/>
        </w:rPr>
        <w:t>berekening</w:t>
      </w:r>
      <w:r w:rsidR="000B6961">
        <w:rPr>
          <w:rFonts w:eastAsia="Times New Roman"/>
          <w:bCs/>
          <w:iCs/>
          <w:lang w:eastAsia="en-US"/>
        </w:rPr>
        <w:t>:</w:t>
      </w:r>
    </w:p>
    <w:p w:rsidR="007A5231" w:rsidRDefault="00AF1B59" w:rsidP="000B6961">
      <w:pPr>
        <w:pStyle w:val="Lijstalinea"/>
        <w:spacing w:before="165" w:after="165"/>
        <w:ind w:left="567" w:right="95"/>
        <w:jc w:val="both"/>
        <w:rPr>
          <w:rFonts w:eastAsia="Times New Roman"/>
          <w:b/>
          <w:bCs/>
          <w:iCs/>
          <w:lang w:eastAsia="en-US"/>
        </w:rPr>
      </w:pPr>
      <w:r w:rsidRPr="00AF1B59">
        <w:rPr>
          <w:rFonts w:eastAsia="Times New Roman"/>
          <w:b/>
          <w:bCs/>
          <w:iCs/>
          <w:lang w:eastAsia="en-US"/>
        </w:rPr>
        <w:t>H</w:t>
      </w:r>
      <w:r w:rsidR="002110C0" w:rsidRPr="00AF1B59">
        <w:rPr>
          <w:rFonts w:eastAsia="Times New Roman"/>
          <w:b/>
          <w:bCs/>
          <w:iCs/>
          <w:lang w:eastAsia="en-US"/>
        </w:rPr>
        <w:t>oeveel</w:t>
      </w:r>
      <w:r w:rsidRPr="00AF1B59">
        <w:rPr>
          <w:rFonts w:eastAsia="Times New Roman"/>
          <w:b/>
          <w:bCs/>
          <w:iCs/>
          <w:lang w:eastAsia="en-US"/>
        </w:rPr>
        <w:t>heid</w:t>
      </w:r>
      <w:r w:rsidR="002110C0" w:rsidRPr="00AF1B59">
        <w:rPr>
          <w:rFonts w:eastAsia="Times New Roman"/>
          <w:b/>
          <w:bCs/>
          <w:iCs/>
          <w:lang w:eastAsia="en-US"/>
        </w:rPr>
        <w:t xml:space="preserve"> (</w:t>
      </w:r>
      <w:r w:rsidR="007A5231" w:rsidRPr="00AF1B59">
        <w:rPr>
          <w:rFonts w:eastAsia="Times New Roman"/>
          <w:b/>
          <w:iCs/>
          <w:lang w:eastAsia="en-US"/>
        </w:rPr>
        <w:t>Nm³</w:t>
      </w:r>
      <w:r w:rsidR="002110C0" w:rsidRPr="00AF1B59">
        <w:rPr>
          <w:rFonts w:eastAsia="Times New Roman"/>
          <w:b/>
          <w:iCs/>
          <w:lang w:eastAsia="en-US"/>
        </w:rPr>
        <w:t>) *</w:t>
      </w:r>
      <w:r w:rsidRPr="00AF1B59">
        <w:rPr>
          <w:rFonts w:eastAsia="Times New Roman"/>
          <w:b/>
          <w:iCs/>
          <w:lang w:eastAsia="en-US"/>
        </w:rPr>
        <w:t xml:space="preserve"> </w:t>
      </w:r>
      <w:r w:rsidR="007A5231" w:rsidRPr="00AF1B59">
        <w:rPr>
          <w:rFonts w:eastAsia="Times New Roman"/>
          <w:b/>
          <w:iCs/>
          <w:lang w:eastAsia="en-US"/>
        </w:rPr>
        <w:t>CBW (</w:t>
      </w:r>
      <w:proofErr w:type="spellStart"/>
      <w:r w:rsidR="007A5231" w:rsidRPr="00AF1B59">
        <w:rPr>
          <w:rFonts w:eastAsia="Times New Roman"/>
          <w:b/>
          <w:iCs/>
          <w:lang w:eastAsia="en-US"/>
        </w:rPr>
        <w:t>kWh</w:t>
      </w:r>
      <w:r w:rsidRPr="00AF1B59">
        <w:rPr>
          <w:rFonts w:eastAsia="Times New Roman"/>
          <w:b/>
          <w:iCs/>
          <w:vertAlign w:val="subscript"/>
          <w:lang w:eastAsia="en-US"/>
        </w:rPr>
        <w:t>bvw</w:t>
      </w:r>
      <w:proofErr w:type="spellEnd"/>
      <w:r w:rsidR="007A5231" w:rsidRPr="00AF1B59">
        <w:rPr>
          <w:rFonts w:eastAsia="Times New Roman"/>
          <w:b/>
          <w:iCs/>
          <w:lang w:eastAsia="en-US"/>
        </w:rPr>
        <w:t>/Nm³)</w:t>
      </w:r>
      <w:r w:rsidRPr="00AF1B59">
        <w:rPr>
          <w:rFonts w:eastAsia="Times New Roman"/>
          <w:b/>
          <w:iCs/>
          <w:lang w:eastAsia="en-US"/>
        </w:rPr>
        <w:t xml:space="preserve"> * </w:t>
      </w:r>
      <w:r w:rsidRPr="00AF1B59">
        <w:rPr>
          <w:rFonts w:eastAsia="Times New Roman"/>
          <w:b/>
          <w:bCs/>
          <w:iCs/>
          <w:lang w:eastAsia="en-US"/>
        </w:rPr>
        <w:t>10</w:t>
      </w:r>
      <w:r w:rsidRPr="00AF1B59">
        <w:rPr>
          <w:rFonts w:eastAsia="Times New Roman"/>
          <w:b/>
          <w:bCs/>
          <w:iCs/>
          <w:vertAlign w:val="superscript"/>
          <w:lang w:eastAsia="en-US"/>
        </w:rPr>
        <w:t>-3</w:t>
      </w:r>
      <w:r w:rsidRPr="00AF1B59">
        <w:rPr>
          <w:rFonts w:eastAsia="Times New Roman"/>
          <w:b/>
          <w:bCs/>
          <w:iCs/>
          <w:lang w:eastAsia="en-US"/>
        </w:rPr>
        <w:t xml:space="preserve"> MWh/kWh</w:t>
      </w:r>
    </w:p>
    <w:p w:rsidR="00804584" w:rsidRDefault="00804584" w:rsidP="000B6961">
      <w:pPr>
        <w:pStyle w:val="Lijstalinea"/>
        <w:spacing w:before="165" w:after="165"/>
        <w:ind w:left="567" w:right="95"/>
        <w:jc w:val="both"/>
        <w:rPr>
          <w:rFonts w:eastAsia="Times New Roman"/>
          <w:b/>
          <w:bCs/>
          <w:iCs/>
          <w:lang w:eastAsia="en-US"/>
        </w:rPr>
      </w:pPr>
    </w:p>
    <w:p w:rsidR="000B6961" w:rsidRPr="000B6961" w:rsidRDefault="000B6961" w:rsidP="000B6961">
      <w:pPr>
        <w:pStyle w:val="Kop2"/>
        <w:numPr>
          <w:ilvl w:val="1"/>
          <w:numId w:val="5"/>
        </w:numPr>
        <w:spacing w:after="240"/>
        <w:jc w:val="both"/>
        <w:rPr>
          <w:rFonts w:ascii="Calibri" w:hAnsi="Calibri" w:cs="Calibri"/>
          <w:sz w:val="24"/>
          <w:szCs w:val="24"/>
          <w:lang w:val="nl-BE"/>
        </w:rPr>
      </w:pPr>
      <w:bookmarkStart w:id="4" w:name="_Toc73025964"/>
      <w:r>
        <w:rPr>
          <w:rFonts w:ascii="Calibri" w:hAnsi="Calibri" w:cs="Calibri"/>
          <w:sz w:val="24"/>
          <w:szCs w:val="24"/>
          <w:lang w:val="nl-BE"/>
        </w:rPr>
        <w:t xml:space="preserve">Hoe omgaan met de bronstroom aardgas in het </w:t>
      </w:r>
      <w:r w:rsidR="00CF547A">
        <w:rPr>
          <w:rFonts w:ascii="Calibri" w:hAnsi="Calibri" w:cs="Calibri"/>
          <w:sz w:val="24"/>
          <w:szCs w:val="24"/>
          <w:lang w:val="nl-BE"/>
        </w:rPr>
        <w:t>MP</w:t>
      </w:r>
      <w:r>
        <w:rPr>
          <w:rFonts w:ascii="Calibri" w:hAnsi="Calibri" w:cs="Calibri"/>
          <w:sz w:val="24"/>
          <w:szCs w:val="24"/>
          <w:lang w:val="nl-BE"/>
        </w:rPr>
        <w:t>?</w:t>
      </w:r>
      <w:bookmarkEnd w:id="4"/>
    </w:p>
    <w:p w:rsidR="00CF547A" w:rsidRDefault="00752DF0" w:rsidP="000B6961">
      <w:pPr>
        <w:spacing w:before="165" w:after="165"/>
        <w:ind w:right="95"/>
        <w:jc w:val="both"/>
        <w:rPr>
          <w:bCs/>
          <w:lang w:eastAsia="en-US"/>
        </w:rPr>
      </w:pPr>
      <w:r>
        <w:rPr>
          <w:bCs/>
          <w:lang w:eastAsia="en-US"/>
        </w:rPr>
        <w:t>Exploitanten</w:t>
      </w:r>
      <w:r w:rsidRPr="000B6961">
        <w:rPr>
          <w:bCs/>
          <w:lang w:eastAsia="en-US"/>
        </w:rPr>
        <w:t xml:space="preserve"> </w:t>
      </w:r>
      <w:r w:rsidR="007A5231" w:rsidRPr="000B6961">
        <w:rPr>
          <w:bCs/>
          <w:lang w:eastAsia="en-US"/>
        </w:rPr>
        <w:t xml:space="preserve">die aardgas toegeleverd krijgen via de transportnetbeheerder doen voor de bepaling van hun emissie van deze bronstroom beroep op de gedownloade gevalideerde data waartoe de exploitant via het Fluxus EDP-portaal toegang heeft. </w:t>
      </w:r>
      <w:r w:rsidR="00CF547A">
        <w:rPr>
          <w:bCs/>
          <w:lang w:eastAsia="en-US"/>
        </w:rPr>
        <w:t>In het MP</w:t>
      </w:r>
      <w:r w:rsidR="007A5231" w:rsidRPr="000B6961">
        <w:rPr>
          <w:bCs/>
          <w:lang w:eastAsia="en-US"/>
        </w:rPr>
        <w:t xml:space="preserve"> worden voor de bronstroom aardgas </w:t>
      </w:r>
      <w:r w:rsidR="00CF547A">
        <w:rPr>
          <w:bCs/>
          <w:lang w:eastAsia="en-US"/>
        </w:rPr>
        <w:t xml:space="preserve">bijgevolg </w:t>
      </w:r>
      <w:r w:rsidR="007A5231" w:rsidRPr="000B6961">
        <w:rPr>
          <w:bCs/>
          <w:lang w:eastAsia="en-US"/>
        </w:rPr>
        <w:t>dez</w:t>
      </w:r>
      <w:r w:rsidR="00AF1B59" w:rsidRPr="000B6961">
        <w:rPr>
          <w:bCs/>
          <w:lang w:eastAsia="en-US"/>
        </w:rPr>
        <w:t>e</w:t>
      </w:r>
      <w:r w:rsidR="007A5231" w:rsidRPr="000B6961">
        <w:rPr>
          <w:bCs/>
          <w:lang w:eastAsia="en-US"/>
        </w:rPr>
        <w:t xml:space="preserve"> EDP-data </w:t>
      </w:r>
      <w:r w:rsidR="00AF1B59" w:rsidRPr="000B6961">
        <w:rPr>
          <w:bCs/>
          <w:lang w:eastAsia="en-US"/>
        </w:rPr>
        <w:t>gebruikt</w:t>
      </w:r>
      <w:r w:rsidR="00CF547A">
        <w:rPr>
          <w:bCs/>
          <w:lang w:eastAsia="en-US"/>
        </w:rPr>
        <w:t>.</w:t>
      </w:r>
    </w:p>
    <w:p w:rsidR="007A5231" w:rsidRPr="00CF547A" w:rsidRDefault="00752DF0" w:rsidP="000B6961">
      <w:pPr>
        <w:spacing w:before="165" w:after="165"/>
        <w:ind w:right="95"/>
        <w:jc w:val="both"/>
        <w:rPr>
          <w:bCs/>
          <w:lang w:eastAsia="en-US"/>
        </w:rPr>
      </w:pPr>
      <w:r w:rsidRPr="000B6961">
        <w:rPr>
          <w:bCs/>
          <w:lang w:eastAsia="en-US"/>
        </w:rPr>
        <w:t xml:space="preserve">Facturen van de leverancier zijn enkel een bijkomend controlemiddel. </w:t>
      </w:r>
      <w:r w:rsidR="00CF547A" w:rsidRPr="00CF547A">
        <w:rPr>
          <w:bCs/>
          <w:lang w:eastAsia="en-US"/>
        </w:rPr>
        <w:t>Het is dus</w:t>
      </w:r>
      <w:r w:rsidR="007A5231" w:rsidRPr="00CF547A">
        <w:rPr>
          <w:bCs/>
          <w:lang w:eastAsia="en-US"/>
        </w:rPr>
        <w:t xml:space="preserve"> </w:t>
      </w:r>
      <w:r w:rsidR="007A5231" w:rsidRPr="00804584">
        <w:rPr>
          <w:bCs/>
          <w:u w:val="single"/>
          <w:lang w:eastAsia="en-US"/>
        </w:rPr>
        <w:t>niet</w:t>
      </w:r>
      <w:r w:rsidR="007A5231" w:rsidRPr="00CF547A">
        <w:rPr>
          <w:bCs/>
          <w:lang w:eastAsia="en-US"/>
        </w:rPr>
        <w:t xml:space="preserve"> toegestaan </w:t>
      </w:r>
      <w:r w:rsidR="00AF1B59" w:rsidRPr="00CF547A">
        <w:rPr>
          <w:bCs/>
          <w:lang w:eastAsia="en-US"/>
        </w:rPr>
        <w:t xml:space="preserve">om </w:t>
      </w:r>
      <w:r w:rsidR="007A5231" w:rsidRPr="00CF547A">
        <w:rPr>
          <w:bCs/>
          <w:lang w:eastAsia="en-US"/>
        </w:rPr>
        <w:t>een berekening</w:t>
      </w:r>
      <w:r w:rsidR="00AF1B59" w:rsidRPr="00CF547A">
        <w:rPr>
          <w:bCs/>
          <w:lang w:eastAsia="en-US"/>
        </w:rPr>
        <w:t xml:space="preserve"> te gebruiken </w:t>
      </w:r>
      <w:r w:rsidR="007A5231" w:rsidRPr="00CF547A">
        <w:rPr>
          <w:bCs/>
          <w:lang w:eastAsia="en-US"/>
        </w:rPr>
        <w:t xml:space="preserve">op basis van de gefactureerde </w:t>
      </w:r>
      <w:proofErr w:type="spellStart"/>
      <w:r w:rsidR="007A5231" w:rsidRPr="00CF547A">
        <w:rPr>
          <w:bCs/>
          <w:lang w:eastAsia="en-US"/>
        </w:rPr>
        <w:t>MWh</w:t>
      </w:r>
      <w:r w:rsidR="007A5231" w:rsidRPr="00CF547A">
        <w:rPr>
          <w:bCs/>
          <w:vertAlign w:val="subscript"/>
          <w:lang w:eastAsia="en-US"/>
        </w:rPr>
        <w:t>bvw</w:t>
      </w:r>
      <w:proofErr w:type="spellEnd"/>
      <w:r w:rsidR="00CF547A">
        <w:rPr>
          <w:bCs/>
          <w:lang w:eastAsia="en-US"/>
        </w:rPr>
        <w:t>. D</w:t>
      </w:r>
      <w:r w:rsidR="007A5231" w:rsidRPr="00CF547A">
        <w:rPr>
          <w:bCs/>
          <w:lang w:eastAsia="en-US"/>
        </w:rPr>
        <w:t>e omrekening van b</w:t>
      </w:r>
      <w:r w:rsidR="00987828" w:rsidRPr="00CF547A">
        <w:rPr>
          <w:bCs/>
          <w:lang w:eastAsia="en-US"/>
        </w:rPr>
        <w:t xml:space="preserve">ovenste </w:t>
      </w:r>
      <w:r w:rsidR="007A5231" w:rsidRPr="00CF547A">
        <w:rPr>
          <w:bCs/>
          <w:lang w:eastAsia="en-US"/>
        </w:rPr>
        <w:t xml:space="preserve">naar </w:t>
      </w:r>
      <w:r w:rsidR="00987828" w:rsidRPr="00CF547A">
        <w:rPr>
          <w:bCs/>
          <w:lang w:eastAsia="en-US"/>
        </w:rPr>
        <w:t xml:space="preserve">onderste verbrandingswaarde </w:t>
      </w:r>
      <w:r w:rsidR="007A5231" w:rsidRPr="00CF547A">
        <w:rPr>
          <w:bCs/>
          <w:lang w:eastAsia="en-US"/>
        </w:rPr>
        <w:t xml:space="preserve">op basis van </w:t>
      </w:r>
      <w:r w:rsidR="00987828" w:rsidRPr="00CF547A">
        <w:rPr>
          <w:bCs/>
          <w:lang w:eastAsia="en-US"/>
        </w:rPr>
        <w:t>de</w:t>
      </w:r>
      <w:r w:rsidR="007A5231" w:rsidRPr="00CF547A">
        <w:rPr>
          <w:bCs/>
          <w:lang w:eastAsia="en-US"/>
        </w:rPr>
        <w:t xml:space="preserve"> vaste factor 0.903 </w:t>
      </w:r>
      <w:r w:rsidR="00CF547A">
        <w:rPr>
          <w:bCs/>
          <w:lang w:eastAsia="en-US"/>
        </w:rPr>
        <w:t>leidt namelijk tot een minder accuraat cijfer</w:t>
      </w:r>
      <w:r w:rsidR="00AF1B59" w:rsidRPr="00CF547A">
        <w:rPr>
          <w:bCs/>
          <w:lang w:eastAsia="en-US"/>
        </w:rPr>
        <w:t>.</w:t>
      </w:r>
    </w:p>
    <w:p w:rsidR="00752DF0" w:rsidRDefault="00BD33E3" w:rsidP="000B6961">
      <w:pPr>
        <w:spacing w:before="165" w:after="165"/>
        <w:ind w:right="95"/>
        <w:jc w:val="both"/>
        <w:rPr>
          <w:bCs/>
          <w:lang w:eastAsia="en-US"/>
        </w:rPr>
      </w:pPr>
      <w:r w:rsidRPr="000B6961">
        <w:rPr>
          <w:bCs/>
          <w:lang w:eastAsia="en-US"/>
        </w:rPr>
        <w:t xml:space="preserve">De toegepaste tier voor de </w:t>
      </w:r>
      <w:r w:rsidR="00CF547A">
        <w:rPr>
          <w:bCs/>
          <w:lang w:eastAsia="en-US"/>
        </w:rPr>
        <w:t>calorische waarde</w:t>
      </w:r>
      <w:r w:rsidRPr="000B6961">
        <w:rPr>
          <w:bCs/>
          <w:lang w:eastAsia="en-US"/>
        </w:rPr>
        <w:t xml:space="preserve"> en de </w:t>
      </w:r>
      <w:r w:rsidR="00CF547A">
        <w:rPr>
          <w:bCs/>
          <w:lang w:eastAsia="en-US"/>
        </w:rPr>
        <w:t>emissiefactor</w:t>
      </w:r>
      <w:r w:rsidRPr="000B6961">
        <w:rPr>
          <w:bCs/>
          <w:lang w:eastAsia="en-US"/>
        </w:rPr>
        <w:t xml:space="preserve"> is steeds tier 3</w:t>
      </w:r>
      <w:r w:rsidR="00330B6C">
        <w:rPr>
          <w:bCs/>
          <w:lang w:eastAsia="en-US"/>
        </w:rPr>
        <w:t>.</w:t>
      </w:r>
      <w:r w:rsidR="00804584">
        <w:rPr>
          <w:bCs/>
          <w:lang w:eastAsia="en-US"/>
        </w:rPr>
        <w:t xml:space="preserve"> </w:t>
      </w:r>
      <w:r w:rsidR="00330B6C">
        <w:rPr>
          <w:bCs/>
          <w:lang w:eastAsia="en-US"/>
        </w:rPr>
        <w:t xml:space="preserve">Het </w:t>
      </w:r>
      <w:r w:rsidRPr="000B6961">
        <w:rPr>
          <w:bCs/>
          <w:lang w:eastAsia="en-US"/>
        </w:rPr>
        <w:t>labo is Fluxys</w:t>
      </w:r>
      <w:r w:rsidR="009837C8" w:rsidRPr="000B6961">
        <w:rPr>
          <w:bCs/>
          <w:lang w:eastAsia="en-US"/>
        </w:rPr>
        <w:t>.</w:t>
      </w:r>
    </w:p>
    <w:p w:rsidR="00804584" w:rsidRDefault="00804584" w:rsidP="00804584">
      <w:pPr>
        <w:spacing w:before="165" w:after="165"/>
        <w:ind w:right="95"/>
        <w:jc w:val="both"/>
        <w:rPr>
          <w:bCs/>
          <w:lang w:eastAsia="en-US"/>
        </w:rPr>
      </w:pPr>
      <w:r>
        <w:rPr>
          <w:bCs/>
          <w:lang w:eastAsia="en-US"/>
        </w:rPr>
        <w:t xml:space="preserve">Aangezien het over extern uitgevoerde analyses gaat, hoeft de procedure onder 7(f) in tabblad </w:t>
      </w:r>
      <w:proofErr w:type="spellStart"/>
      <w:r>
        <w:rPr>
          <w:bCs/>
          <w:lang w:eastAsia="en-US"/>
        </w:rPr>
        <w:t>D_CalculationBasedApproaches</w:t>
      </w:r>
      <w:proofErr w:type="spellEnd"/>
      <w:r>
        <w:rPr>
          <w:bCs/>
          <w:lang w:eastAsia="en-US"/>
        </w:rPr>
        <w:t xml:space="preserve"> van het MP niet ingevuld te worden. Wat wel moet ingevuld worden, is de procedure over het beheer van uitbestede processen, onder 22(f) in tabblad </w:t>
      </w:r>
      <w:proofErr w:type="spellStart"/>
      <w:r>
        <w:rPr>
          <w:bCs/>
          <w:lang w:eastAsia="en-US"/>
        </w:rPr>
        <w:t>K_ManagementControl</w:t>
      </w:r>
      <w:proofErr w:type="spellEnd"/>
      <w:r>
        <w:rPr>
          <w:bCs/>
          <w:lang w:eastAsia="en-US"/>
        </w:rPr>
        <w:t xml:space="preserve"> </w:t>
      </w:r>
      <w:r w:rsidRPr="001A630A">
        <w:rPr>
          <w:bCs/>
          <w:lang w:eastAsia="en-US"/>
        </w:rPr>
        <w:t xml:space="preserve">of de procedure voor het bijhouden van de instrumenten die in de installatie zijn geïnstalleerd voor het bepalen van activiteitsgegevens, onder 7(j) in tabblad </w:t>
      </w:r>
      <w:proofErr w:type="spellStart"/>
      <w:r w:rsidRPr="001A630A">
        <w:rPr>
          <w:bCs/>
          <w:lang w:eastAsia="en-US"/>
        </w:rPr>
        <w:t>D_CalculationBasedApproaches</w:t>
      </w:r>
      <w:proofErr w:type="spellEnd"/>
      <w:r>
        <w:rPr>
          <w:bCs/>
          <w:lang w:eastAsia="en-US"/>
        </w:rPr>
        <w:t>.</w:t>
      </w:r>
    </w:p>
    <w:p w:rsidR="00E173D2" w:rsidRDefault="00E173D2" w:rsidP="000B6961">
      <w:pPr>
        <w:spacing w:before="165" w:after="165"/>
        <w:ind w:right="95"/>
        <w:jc w:val="both"/>
        <w:rPr>
          <w:bCs/>
          <w:lang w:eastAsia="en-US"/>
        </w:rPr>
      </w:pPr>
    </w:p>
    <w:p w:rsidR="00CF547A" w:rsidRPr="000B6961" w:rsidRDefault="00CF547A" w:rsidP="00CF547A">
      <w:pPr>
        <w:pStyle w:val="Kop2"/>
        <w:numPr>
          <w:ilvl w:val="1"/>
          <w:numId w:val="5"/>
        </w:numPr>
        <w:spacing w:after="240"/>
        <w:jc w:val="both"/>
        <w:rPr>
          <w:rFonts w:ascii="Calibri" w:hAnsi="Calibri" w:cs="Calibri"/>
          <w:sz w:val="24"/>
          <w:szCs w:val="24"/>
          <w:lang w:val="nl-BE"/>
        </w:rPr>
      </w:pPr>
      <w:bookmarkStart w:id="5" w:name="_Toc73025965"/>
      <w:r>
        <w:rPr>
          <w:rFonts w:ascii="Calibri" w:hAnsi="Calibri" w:cs="Calibri"/>
          <w:sz w:val="24"/>
          <w:szCs w:val="24"/>
          <w:lang w:val="nl-BE"/>
        </w:rPr>
        <w:t>Voorbeeld van een correct ingevuld MP</w:t>
      </w:r>
      <w:r w:rsidR="00C92D21">
        <w:rPr>
          <w:rFonts w:ascii="Calibri" w:hAnsi="Calibri" w:cs="Calibri"/>
          <w:sz w:val="24"/>
          <w:szCs w:val="24"/>
          <w:lang w:val="nl-BE"/>
        </w:rPr>
        <w:t xml:space="preserve"> (tabblad </w:t>
      </w:r>
      <w:proofErr w:type="spellStart"/>
      <w:r w:rsidR="00C92D21">
        <w:rPr>
          <w:rFonts w:ascii="Calibri" w:hAnsi="Calibri" w:cs="Calibri"/>
          <w:sz w:val="24"/>
          <w:szCs w:val="24"/>
          <w:lang w:val="nl-BE"/>
        </w:rPr>
        <w:t>E_SourceStreams</w:t>
      </w:r>
      <w:proofErr w:type="spellEnd"/>
      <w:r w:rsidR="00C92D21">
        <w:rPr>
          <w:rFonts w:ascii="Calibri" w:hAnsi="Calibri" w:cs="Calibri"/>
          <w:sz w:val="24"/>
          <w:szCs w:val="24"/>
          <w:lang w:val="nl-BE"/>
        </w:rPr>
        <w:t>)</w:t>
      </w:r>
      <w:bookmarkEnd w:id="5"/>
    </w:p>
    <w:p w:rsidR="007421E3" w:rsidRDefault="00C55B84" w:rsidP="000B6961">
      <w:pPr>
        <w:spacing w:after="160" w:line="259" w:lineRule="auto"/>
        <w:ind w:left="284"/>
        <w:jc w:val="both"/>
        <w:rPr>
          <w:bCs/>
          <w:i/>
          <w:iCs/>
          <w:color w:val="0000FF"/>
          <w:lang w:eastAsia="en-US"/>
        </w:rPr>
      </w:pPr>
      <w:r w:rsidRPr="00C55B84">
        <w:rPr>
          <w:b/>
          <w:bCs/>
          <w:i/>
          <w:iCs/>
          <w:noProof/>
          <w:color w:val="FF000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B06CA" wp14:editId="1C305F35">
                <wp:simplePos x="0" y="0"/>
                <wp:positionH relativeFrom="margin">
                  <wp:posOffset>4953000</wp:posOffset>
                </wp:positionH>
                <wp:positionV relativeFrom="paragraph">
                  <wp:posOffset>2036445</wp:posOffset>
                </wp:positionV>
                <wp:extent cx="312420" cy="152400"/>
                <wp:effectExtent l="19050" t="19050" r="11430" b="3810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2420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D7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" o:spid="_x0000_s1026" type="#_x0000_t13" style="position:absolute;margin-left:390pt;margin-top:160.35pt;width:24.6pt;height:1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" adj="16332" fillcolor="red" strokecolor="#2f528f" strokeweight="1pt">
                <w10:wrap anchorx="margin"/>
              </v:shape>
            </w:pict>
          </mc:Fallback>
        </mc:AlternateContent>
      </w:r>
      <w:r w:rsidRPr="00C55B84">
        <w:rPr>
          <w:b/>
          <w:bCs/>
          <w:i/>
          <w:iCs/>
          <w:noProof/>
          <w:color w:val="FF000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13658" wp14:editId="3D4E8963">
                <wp:simplePos x="0" y="0"/>
                <wp:positionH relativeFrom="margin">
                  <wp:posOffset>3307080</wp:posOffset>
                </wp:positionH>
                <wp:positionV relativeFrom="paragraph">
                  <wp:posOffset>1137285</wp:posOffset>
                </wp:positionV>
                <wp:extent cx="312420" cy="152400"/>
                <wp:effectExtent l="19050" t="19050" r="11430" b="3810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2420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4701" id="Arrow: Right 23" o:spid="_x0000_s1026" type="#_x0000_t13" style="position:absolute;margin-left:260.4pt;margin-top:89.55pt;width:24.6pt;height:1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" adj="16332" fillcolor="red" strokecolor="#2f528f" strokeweight="1pt">
                <w10:wrap anchorx="margin"/>
              </v:shape>
            </w:pict>
          </mc:Fallback>
        </mc:AlternateContent>
      </w:r>
      <w:r w:rsidR="00286FDE">
        <w:rPr>
          <w:bCs/>
          <w:i/>
          <w:iCs/>
          <w:noProof/>
          <w:color w:val="0000FF"/>
          <w:lang w:eastAsia="en-US"/>
        </w:rPr>
        <w:drawing>
          <wp:inline distT="0" distB="0" distL="0" distR="0" wp14:anchorId="08F97662" wp14:editId="653F31CA">
            <wp:extent cx="5730875" cy="42125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584" w:rsidRDefault="00804584" w:rsidP="000B6961">
      <w:pPr>
        <w:spacing w:after="160" w:line="259" w:lineRule="auto"/>
        <w:ind w:left="284"/>
        <w:jc w:val="both"/>
        <w:rPr>
          <w:bCs/>
          <w:i/>
          <w:iCs/>
          <w:color w:val="0000FF"/>
          <w:lang w:eastAsia="en-US"/>
        </w:rPr>
      </w:pPr>
    </w:p>
    <w:p w:rsidR="00930211" w:rsidRPr="00930211" w:rsidRDefault="00930211" w:rsidP="000B6961">
      <w:pPr>
        <w:ind w:left="284" w:right="95"/>
        <w:jc w:val="both"/>
        <w:rPr>
          <w:b/>
          <w:color w:val="2F5496" w:themeColor="accent1" w:themeShade="BF"/>
          <w:sz w:val="18"/>
          <w:szCs w:val="18"/>
        </w:rPr>
      </w:pPr>
      <w:r w:rsidRPr="00930211">
        <w:rPr>
          <w:b/>
          <w:color w:val="2F5496" w:themeColor="accent1" w:themeShade="BF"/>
          <w:sz w:val="18"/>
          <w:szCs w:val="18"/>
        </w:rPr>
        <w:t>Berekeningsfactoren</w:t>
      </w:r>
      <w:r w:rsidR="003F0DDB">
        <w:rPr>
          <w:b/>
          <w:color w:val="2F5496" w:themeColor="accent1" w:themeShade="BF"/>
          <w:sz w:val="18"/>
          <w:szCs w:val="18"/>
        </w:rPr>
        <w:t>:</w:t>
      </w:r>
    </w:p>
    <w:p w:rsidR="007421E3" w:rsidRPr="00C55B84" w:rsidRDefault="004E12BE" w:rsidP="000B6961">
      <w:pPr>
        <w:spacing w:before="165" w:after="165"/>
        <w:ind w:left="284" w:right="95"/>
        <w:jc w:val="both"/>
        <w:rPr>
          <w:bCs/>
          <w:iCs/>
          <w:color w:val="0000FF"/>
          <w:lang w:eastAsia="en-US"/>
        </w:rPr>
      </w:pPr>
      <w:r>
        <w:rPr>
          <w:bCs/>
          <w:iCs/>
          <w:noProof/>
          <w:color w:val="0000FF"/>
          <w:lang w:eastAsia="en-US"/>
        </w:rPr>
        <w:drawing>
          <wp:inline distT="0" distB="0" distL="0" distR="0" wp14:anchorId="44660852" wp14:editId="195A07E2">
            <wp:extent cx="5730875" cy="25730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47A" w:rsidRDefault="00CF547A">
      <w:pPr>
        <w:spacing w:after="160" w:line="259" w:lineRule="auto"/>
        <w:rPr>
          <w:bCs/>
          <w:iCs/>
          <w:lang w:eastAsia="en-US"/>
        </w:rPr>
      </w:pPr>
      <w:r>
        <w:rPr>
          <w:bCs/>
          <w:iCs/>
          <w:lang w:eastAsia="en-US"/>
        </w:rPr>
        <w:br w:type="page"/>
      </w:r>
    </w:p>
    <w:p w:rsidR="00CF547A" w:rsidRDefault="00CF547A" w:rsidP="00CF547A">
      <w:pPr>
        <w:pStyle w:val="Kop1"/>
        <w:numPr>
          <w:ilvl w:val="0"/>
          <w:numId w:val="5"/>
        </w:numPr>
        <w:spacing w:after="24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</w:pPr>
      <w:bookmarkStart w:id="6" w:name="_Toc73025966"/>
      <w:bookmarkStart w:id="7" w:name="_Hlk71721824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>Installaties waarvan de</w:t>
      </w:r>
      <w:r w:rsidRPr="003D4750"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 xml:space="preserve"> aardgasteller(s) </w:t>
      </w:r>
      <w:r w:rsidR="00BC34D5"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>beheerd wordt door</w:t>
      </w:r>
      <w:r w:rsidRPr="003D4750"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>de distributienetbeheerder (Fluvius)</w:t>
      </w:r>
      <w:bookmarkEnd w:id="6"/>
    </w:p>
    <w:p w:rsidR="00CF547A" w:rsidRPr="00CF547A" w:rsidRDefault="00CF547A" w:rsidP="00CF547A">
      <w:pPr>
        <w:pStyle w:val="Kop2"/>
        <w:numPr>
          <w:ilvl w:val="1"/>
          <w:numId w:val="5"/>
        </w:numPr>
        <w:spacing w:after="240"/>
        <w:jc w:val="both"/>
        <w:rPr>
          <w:rFonts w:ascii="Calibri" w:hAnsi="Calibri" w:cs="Calibri"/>
          <w:sz w:val="24"/>
          <w:szCs w:val="24"/>
          <w:lang w:val="nl-BE"/>
        </w:rPr>
      </w:pPr>
      <w:bookmarkStart w:id="8" w:name="_Toc73025967"/>
      <w:bookmarkEnd w:id="7"/>
      <w:r>
        <w:rPr>
          <w:rFonts w:ascii="Calibri" w:hAnsi="Calibri" w:cs="Calibri"/>
          <w:sz w:val="24"/>
          <w:szCs w:val="24"/>
          <w:lang w:val="nl-BE"/>
        </w:rPr>
        <w:t>Activiteitsgegevens: beheer en verantwoordelijkheden</w:t>
      </w:r>
      <w:bookmarkEnd w:id="8"/>
    </w:p>
    <w:p w:rsidR="00264A6E" w:rsidRPr="007A5231" w:rsidRDefault="00264A6E" w:rsidP="000B6961">
      <w:pPr>
        <w:pStyle w:val="Lijstalinea"/>
        <w:numPr>
          <w:ilvl w:val="0"/>
          <w:numId w:val="8"/>
        </w:numPr>
        <w:spacing w:before="165" w:after="165"/>
        <w:ind w:left="567" w:right="95" w:hanging="283"/>
        <w:jc w:val="both"/>
        <w:rPr>
          <w:rFonts w:eastAsia="Times New Roman"/>
          <w:iCs/>
          <w:lang w:eastAsia="en-US"/>
        </w:rPr>
      </w:pPr>
      <w:r w:rsidRPr="007A5231">
        <w:rPr>
          <w:rFonts w:eastAsia="Times New Roman"/>
          <w:iCs/>
          <w:lang w:eastAsia="en-US"/>
        </w:rPr>
        <w:t>De meetapparatuur wordt aangekocht door</w:t>
      </w:r>
      <w:r>
        <w:rPr>
          <w:rFonts w:eastAsia="Times New Roman"/>
          <w:iCs/>
          <w:lang w:eastAsia="en-US"/>
        </w:rPr>
        <w:t xml:space="preserve"> </w:t>
      </w:r>
      <w:r w:rsidR="00CC4A15">
        <w:rPr>
          <w:rFonts w:eastAsia="Times New Roman"/>
          <w:iCs/>
          <w:lang w:eastAsia="en-US"/>
        </w:rPr>
        <w:t>de exploitant</w:t>
      </w:r>
      <w:r>
        <w:rPr>
          <w:rFonts w:eastAsia="Times New Roman"/>
          <w:iCs/>
          <w:lang w:eastAsia="en-US"/>
        </w:rPr>
        <w:t xml:space="preserve"> </w:t>
      </w:r>
      <w:r w:rsidR="00CC4A15">
        <w:rPr>
          <w:rFonts w:eastAsia="Times New Roman"/>
          <w:iCs/>
          <w:lang w:eastAsia="en-US"/>
        </w:rPr>
        <w:t xml:space="preserve">(op aangeven van Fluvius) </w:t>
      </w:r>
      <w:r>
        <w:rPr>
          <w:rFonts w:eastAsia="Times New Roman"/>
          <w:iCs/>
          <w:lang w:eastAsia="en-US"/>
        </w:rPr>
        <w:t xml:space="preserve">en </w:t>
      </w:r>
      <w:r w:rsidRPr="007A5231">
        <w:rPr>
          <w:rFonts w:eastAsia="Times New Roman"/>
          <w:iCs/>
          <w:lang w:eastAsia="en-US"/>
        </w:rPr>
        <w:t xml:space="preserve">is </w:t>
      </w:r>
      <w:r>
        <w:rPr>
          <w:rFonts w:eastAsia="Times New Roman"/>
          <w:iCs/>
          <w:lang w:eastAsia="en-US"/>
        </w:rPr>
        <w:t xml:space="preserve">dus </w:t>
      </w:r>
      <w:r w:rsidRPr="007A5231">
        <w:rPr>
          <w:rFonts w:eastAsia="Times New Roman"/>
          <w:iCs/>
          <w:lang w:eastAsia="en-US"/>
        </w:rPr>
        <w:t xml:space="preserve">eigendom van </w:t>
      </w:r>
      <w:r w:rsidR="00CC4A15">
        <w:rPr>
          <w:rFonts w:eastAsia="Times New Roman"/>
          <w:iCs/>
          <w:lang w:eastAsia="en-US"/>
        </w:rPr>
        <w:t>de exploitant</w:t>
      </w:r>
      <w:r>
        <w:rPr>
          <w:rFonts w:eastAsia="Times New Roman"/>
          <w:iCs/>
          <w:lang w:eastAsia="en-US"/>
        </w:rPr>
        <w:t>.</w:t>
      </w:r>
    </w:p>
    <w:p w:rsidR="0062566B" w:rsidRDefault="0062566B" w:rsidP="000B6961">
      <w:pPr>
        <w:pStyle w:val="Lijstalinea"/>
        <w:numPr>
          <w:ilvl w:val="0"/>
          <w:numId w:val="8"/>
        </w:numPr>
        <w:spacing w:before="165" w:after="165"/>
        <w:ind w:left="567" w:right="95" w:hanging="283"/>
        <w:jc w:val="both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t>Het</w:t>
      </w:r>
      <w:r w:rsidR="00944868" w:rsidRPr="00944868">
        <w:rPr>
          <w:rFonts w:eastAsia="Times New Roman"/>
          <w:iCs/>
          <w:lang w:eastAsia="en-US"/>
        </w:rPr>
        <w:t xml:space="preserve">  </w:t>
      </w:r>
      <w:r w:rsidR="001A2FFF">
        <w:rPr>
          <w:rFonts w:eastAsia="Times New Roman"/>
          <w:iCs/>
          <w:lang w:eastAsia="en-US"/>
        </w:rPr>
        <w:t>periodiek</w:t>
      </w:r>
      <w:r w:rsidR="00944868" w:rsidRPr="00944868">
        <w:rPr>
          <w:rFonts w:eastAsia="Times New Roman"/>
          <w:iCs/>
          <w:lang w:eastAsia="en-US"/>
        </w:rPr>
        <w:t xml:space="preserve">  nazicht van </w:t>
      </w:r>
      <w:r w:rsidR="00944868">
        <w:rPr>
          <w:rFonts w:eastAsia="Times New Roman"/>
          <w:iCs/>
          <w:lang w:eastAsia="en-US"/>
        </w:rPr>
        <w:t xml:space="preserve">de EVHI </w:t>
      </w:r>
      <w:r>
        <w:rPr>
          <w:rFonts w:eastAsia="Times New Roman"/>
          <w:iCs/>
          <w:lang w:eastAsia="en-US"/>
        </w:rPr>
        <w:t>en de</w:t>
      </w:r>
      <w:r w:rsidR="00944868" w:rsidRPr="00944868">
        <w:rPr>
          <w:rFonts w:eastAsia="Times New Roman"/>
          <w:iCs/>
          <w:lang w:eastAsia="en-US"/>
        </w:rPr>
        <w:t xml:space="preserve"> datalogging word</w:t>
      </w:r>
      <w:r w:rsidR="00991806">
        <w:rPr>
          <w:rFonts w:eastAsia="Times New Roman"/>
          <w:iCs/>
          <w:lang w:eastAsia="en-US"/>
        </w:rPr>
        <w:t>t</w:t>
      </w:r>
      <w:r w:rsidR="007A5231" w:rsidRPr="007A5231">
        <w:rPr>
          <w:rFonts w:eastAsia="Times New Roman"/>
          <w:iCs/>
          <w:lang w:eastAsia="en-US"/>
        </w:rPr>
        <w:t xml:space="preserve"> </w:t>
      </w:r>
      <w:r w:rsidR="007A5231" w:rsidRPr="007A5231">
        <w:rPr>
          <w:rFonts w:eastAsia="Times New Roman"/>
          <w:b/>
          <w:bCs/>
          <w:iCs/>
          <w:lang w:eastAsia="en-US"/>
        </w:rPr>
        <w:t xml:space="preserve">beheerd </w:t>
      </w:r>
      <w:r w:rsidR="00991806">
        <w:rPr>
          <w:rFonts w:eastAsia="Times New Roman"/>
          <w:b/>
          <w:bCs/>
          <w:iCs/>
          <w:lang w:eastAsia="en-US"/>
        </w:rPr>
        <w:t>en</w:t>
      </w:r>
      <w:r w:rsidR="007A5231" w:rsidRPr="007A5231">
        <w:rPr>
          <w:rFonts w:eastAsia="Times New Roman"/>
          <w:b/>
          <w:bCs/>
          <w:iCs/>
          <w:lang w:eastAsia="en-US"/>
        </w:rPr>
        <w:t xml:space="preserve"> uitgevoerd </w:t>
      </w:r>
      <w:r w:rsidR="007A5231" w:rsidRPr="007A5231">
        <w:rPr>
          <w:rFonts w:eastAsia="Times New Roman"/>
          <w:iCs/>
          <w:lang w:eastAsia="en-US"/>
        </w:rPr>
        <w:t xml:space="preserve">door de </w:t>
      </w:r>
      <w:r w:rsidR="004A3E35">
        <w:rPr>
          <w:rFonts w:eastAsia="Times New Roman"/>
          <w:iCs/>
          <w:lang w:eastAsia="en-US"/>
        </w:rPr>
        <w:t>Fluvius</w:t>
      </w:r>
      <w:r w:rsidR="007A5231" w:rsidRPr="007A5231">
        <w:rPr>
          <w:rFonts w:eastAsia="Times New Roman"/>
          <w:iCs/>
          <w:lang w:eastAsia="en-US"/>
        </w:rPr>
        <w:t>. Dit impliceert eveneens de kwaliteitsborging van de</w:t>
      </w:r>
      <w:r w:rsidR="004A3E35">
        <w:rPr>
          <w:rFonts w:eastAsia="Times New Roman"/>
          <w:iCs/>
          <w:lang w:eastAsia="en-US"/>
        </w:rPr>
        <w:t>ze</w:t>
      </w:r>
      <w:r w:rsidR="007A5231" w:rsidRPr="007A5231">
        <w:rPr>
          <w:rFonts w:eastAsia="Times New Roman"/>
          <w:iCs/>
          <w:lang w:eastAsia="en-US"/>
        </w:rPr>
        <w:t xml:space="preserve"> meetapparatuur. Zonder uitdrukkelijke toelating van </w:t>
      </w:r>
      <w:r w:rsidR="004A3E35">
        <w:rPr>
          <w:rFonts w:eastAsia="Times New Roman"/>
          <w:iCs/>
          <w:lang w:eastAsia="en-US"/>
        </w:rPr>
        <w:t xml:space="preserve">Fluvius </w:t>
      </w:r>
      <w:r w:rsidR="007A5231" w:rsidRPr="007A5231">
        <w:rPr>
          <w:rFonts w:eastAsia="Times New Roman"/>
          <w:iCs/>
          <w:lang w:eastAsia="en-US"/>
        </w:rPr>
        <w:t xml:space="preserve">mag de exploitant </w:t>
      </w:r>
      <w:r w:rsidRPr="007A5231">
        <w:rPr>
          <w:rFonts w:eastAsia="Times New Roman"/>
          <w:iCs/>
          <w:lang w:eastAsia="en-US"/>
        </w:rPr>
        <w:t xml:space="preserve">op eigen initiatief </w:t>
      </w:r>
      <w:r w:rsidR="007A5231" w:rsidRPr="007A5231">
        <w:rPr>
          <w:rFonts w:eastAsia="Times New Roman"/>
          <w:iCs/>
          <w:lang w:eastAsia="en-US"/>
        </w:rPr>
        <w:t>gee</w:t>
      </w:r>
      <w:r w:rsidR="004A3E35">
        <w:rPr>
          <w:rFonts w:eastAsia="Times New Roman"/>
          <w:iCs/>
          <w:lang w:eastAsia="en-US"/>
        </w:rPr>
        <w:t xml:space="preserve">n </w:t>
      </w:r>
      <w:r w:rsidR="007A5231" w:rsidRPr="007A5231">
        <w:rPr>
          <w:rFonts w:eastAsia="Times New Roman"/>
          <w:iCs/>
          <w:lang w:eastAsia="en-US"/>
        </w:rPr>
        <w:t xml:space="preserve">interventies </w:t>
      </w:r>
      <w:r w:rsidRPr="007A5231">
        <w:rPr>
          <w:rFonts w:eastAsia="Times New Roman"/>
          <w:iCs/>
          <w:lang w:eastAsia="en-US"/>
        </w:rPr>
        <w:t>aan de</w:t>
      </w:r>
      <w:r>
        <w:rPr>
          <w:rFonts w:eastAsia="Times New Roman"/>
          <w:iCs/>
          <w:lang w:eastAsia="en-US"/>
        </w:rPr>
        <w:t>ze</w:t>
      </w:r>
      <w:r w:rsidRPr="007A5231">
        <w:rPr>
          <w:rFonts w:eastAsia="Times New Roman"/>
          <w:iCs/>
          <w:lang w:eastAsia="en-US"/>
        </w:rPr>
        <w:t xml:space="preserve"> meetinstrumenten </w:t>
      </w:r>
      <w:r w:rsidR="007A5231" w:rsidRPr="007A5231">
        <w:rPr>
          <w:rFonts w:eastAsia="Times New Roman"/>
          <w:iCs/>
          <w:lang w:eastAsia="en-US"/>
        </w:rPr>
        <w:t>uitvoeren.</w:t>
      </w:r>
      <w:r w:rsidR="004A3E35">
        <w:rPr>
          <w:rFonts w:eastAsia="Times New Roman"/>
          <w:iCs/>
          <w:lang w:eastAsia="en-US"/>
        </w:rPr>
        <w:t xml:space="preserve"> </w:t>
      </w:r>
    </w:p>
    <w:p w:rsidR="007A5231" w:rsidRDefault="007A5231" w:rsidP="0062566B">
      <w:pPr>
        <w:pStyle w:val="Lijstalinea"/>
        <w:spacing w:before="165" w:after="165"/>
        <w:ind w:left="567" w:right="95"/>
        <w:jc w:val="both"/>
        <w:rPr>
          <w:rFonts w:eastAsia="Times New Roman"/>
          <w:iCs/>
          <w:lang w:eastAsia="en-US"/>
        </w:rPr>
      </w:pPr>
      <w:r w:rsidRPr="007A5231">
        <w:rPr>
          <w:rFonts w:eastAsia="Times New Roman"/>
          <w:iCs/>
          <w:lang w:eastAsia="en-US"/>
        </w:rPr>
        <w:t>In de regel zijn dergelijke aardgascabines nooit dubbel uitgevoerd en is de aanwezige turbine-</w:t>
      </w:r>
      <w:r w:rsidR="001D4009">
        <w:rPr>
          <w:rFonts w:eastAsia="Times New Roman"/>
          <w:iCs/>
          <w:lang w:eastAsia="en-US"/>
        </w:rPr>
        <w:t xml:space="preserve"> </w:t>
      </w:r>
      <w:r w:rsidRPr="007A5231">
        <w:rPr>
          <w:rFonts w:eastAsia="Times New Roman"/>
          <w:iCs/>
          <w:lang w:eastAsia="en-US"/>
        </w:rPr>
        <w:t>of rotormeter enkel geijkt bij indienstneming</w:t>
      </w:r>
      <w:r w:rsidR="004A3E35">
        <w:rPr>
          <w:rFonts w:eastAsia="Times New Roman"/>
          <w:iCs/>
          <w:lang w:eastAsia="en-US"/>
        </w:rPr>
        <w:t>.</w:t>
      </w:r>
    </w:p>
    <w:p w:rsidR="00CF547A" w:rsidRDefault="00CF547A" w:rsidP="00CF547A">
      <w:pPr>
        <w:pStyle w:val="Kop2"/>
        <w:numPr>
          <w:ilvl w:val="1"/>
          <w:numId w:val="5"/>
        </w:numPr>
        <w:spacing w:after="240"/>
        <w:jc w:val="both"/>
        <w:rPr>
          <w:rFonts w:ascii="Calibri" w:hAnsi="Calibri" w:cs="Calibri"/>
          <w:sz w:val="24"/>
          <w:szCs w:val="24"/>
          <w:lang w:val="nl-BE"/>
        </w:rPr>
      </w:pPr>
      <w:bookmarkStart w:id="9" w:name="_Toc73025968"/>
      <w:r w:rsidRPr="000B6961">
        <w:rPr>
          <w:rFonts w:ascii="Calibri" w:hAnsi="Calibri" w:cs="Calibri"/>
          <w:sz w:val="24"/>
          <w:szCs w:val="24"/>
          <w:lang w:val="nl-BE"/>
        </w:rPr>
        <w:t>Berekeningsfactoren</w:t>
      </w:r>
      <w:r w:rsidR="0062566B">
        <w:rPr>
          <w:rFonts w:ascii="Calibri" w:hAnsi="Calibri" w:cs="Calibri"/>
          <w:sz w:val="24"/>
          <w:szCs w:val="24"/>
          <w:lang w:val="nl-BE"/>
        </w:rPr>
        <w:t xml:space="preserve"> en databeschikbaarheid</w:t>
      </w:r>
      <w:bookmarkEnd w:id="9"/>
    </w:p>
    <w:p w:rsidR="002A65FD" w:rsidRDefault="0062566B" w:rsidP="0062566B">
      <w:pPr>
        <w:pStyle w:val="Lijstalinea"/>
        <w:numPr>
          <w:ilvl w:val="0"/>
          <w:numId w:val="9"/>
        </w:numPr>
        <w:spacing w:before="165" w:after="165"/>
        <w:ind w:left="567" w:right="95" w:hanging="283"/>
        <w:jc w:val="both"/>
        <w:rPr>
          <w:rFonts w:eastAsia="Times New Roman"/>
          <w:iCs/>
          <w:lang w:eastAsia="en-US"/>
        </w:rPr>
      </w:pPr>
      <w:r w:rsidRPr="007A5231">
        <w:rPr>
          <w:rFonts w:eastAsia="Times New Roman"/>
          <w:iCs/>
          <w:lang w:eastAsia="en-US"/>
        </w:rPr>
        <w:t>Fluvius</w:t>
      </w:r>
      <w:r>
        <w:rPr>
          <w:rFonts w:eastAsia="Times New Roman"/>
          <w:iCs/>
          <w:lang w:eastAsia="en-US"/>
        </w:rPr>
        <w:t xml:space="preserve"> is </w:t>
      </w:r>
      <w:r w:rsidRPr="007A5231">
        <w:rPr>
          <w:rFonts w:eastAsia="Times New Roman"/>
          <w:iCs/>
          <w:lang w:eastAsia="en-US"/>
        </w:rPr>
        <w:t xml:space="preserve">(als onafhankelijke handelspartner/tussenpersoon </w:t>
      </w:r>
      <w:r w:rsidR="002A65FD">
        <w:rPr>
          <w:rFonts w:eastAsia="Times New Roman"/>
          <w:iCs/>
          <w:lang w:eastAsia="en-US"/>
        </w:rPr>
        <w:t>tussen</w:t>
      </w:r>
      <w:r>
        <w:rPr>
          <w:rFonts w:eastAsia="Times New Roman"/>
          <w:iCs/>
          <w:lang w:eastAsia="en-US"/>
        </w:rPr>
        <w:t xml:space="preserve"> </w:t>
      </w:r>
      <w:r w:rsidRPr="007A5231">
        <w:rPr>
          <w:rFonts w:eastAsia="Times New Roman"/>
          <w:iCs/>
          <w:lang w:eastAsia="en-US"/>
        </w:rPr>
        <w:t xml:space="preserve">leverancier en afnemer/exploitant) </w:t>
      </w:r>
      <w:r>
        <w:rPr>
          <w:rFonts w:eastAsia="Times New Roman"/>
          <w:iCs/>
          <w:lang w:eastAsia="en-US"/>
        </w:rPr>
        <w:t>niet</w:t>
      </w:r>
      <w:r w:rsidRPr="007A5231">
        <w:rPr>
          <w:rFonts w:eastAsia="Times New Roman"/>
          <w:iCs/>
          <w:lang w:eastAsia="en-US"/>
        </w:rPr>
        <w:t xml:space="preserve"> verantwoordelijk voor de “online” analyse van de samenstelling van het aardgas (</w:t>
      </w:r>
      <w:r>
        <w:rPr>
          <w:rFonts w:eastAsia="Times New Roman"/>
          <w:iCs/>
          <w:lang w:eastAsia="en-US"/>
        </w:rPr>
        <w:t xml:space="preserve">in het </w:t>
      </w:r>
      <w:r w:rsidRPr="007A5231">
        <w:rPr>
          <w:rFonts w:eastAsia="Times New Roman"/>
          <w:iCs/>
          <w:lang w:eastAsia="en-US"/>
        </w:rPr>
        <w:t>nabijgelegen knooppunt).</w:t>
      </w:r>
    </w:p>
    <w:p w:rsidR="0062566B" w:rsidRPr="007A5231" w:rsidRDefault="0062566B" w:rsidP="0062566B">
      <w:pPr>
        <w:pStyle w:val="Lijstalinea"/>
        <w:numPr>
          <w:ilvl w:val="0"/>
          <w:numId w:val="9"/>
        </w:numPr>
        <w:spacing w:before="165" w:after="165"/>
        <w:ind w:left="567" w:right="95" w:hanging="283"/>
        <w:jc w:val="both"/>
        <w:rPr>
          <w:rFonts w:eastAsia="Times New Roman"/>
          <w:iCs/>
          <w:lang w:eastAsia="en-US"/>
        </w:rPr>
      </w:pPr>
      <w:r w:rsidRPr="007A5231">
        <w:rPr>
          <w:rFonts w:eastAsia="Times New Roman"/>
          <w:iCs/>
          <w:lang w:eastAsia="en-US"/>
        </w:rPr>
        <w:t>Fluvius pub</w:t>
      </w:r>
      <w:r>
        <w:rPr>
          <w:rFonts w:eastAsia="Times New Roman"/>
          <w:iCs/>
          <w:lang w:eastAsia="en-US"/>
        </w:rPr>
        <w:t>l</w:t>
      </w:r>
      <w:r w:rsidRPr="007A5231">
        <w:rPr>
          <w:rFonts w:eastAsia="Times New Roman"/>
          <w:iCs/>
          <w:lang w:eastAsia="en-US"/>
        </w:rPr>
        <w:t xml:space="preserve">iceert </w:t>
      </w:r>
      <w:r>
        <w:rPr>
          <w:rFonts w:eastAsia="Times New Roman"/>
          <w:iCs/>
          <w:lang w:eastAsia="en-US"/>
        </w:rPr>
        <w:t>voor</w:t>
      </w:r>
      <w:r w:rsidRPr="007A5231">
        <w:rPr>
          <w:rFonts w:eastAsia="Times New Roman"/>
          <w:iCs/>
          <w:lang w:eastAsia="en-US"/>
        </w:rPr>
        <w:t xml:space="preserve"> het einde van </w:t>
      </w:r>
      <w:r>
        <w:rPr>
          <w:rFonts w:eastAsia="Times New Roman"/>
          <w:iCs/>
          <w:lang w:eastAsia="en-US"/>
        </w:rPr>
        <w:t xml:space="preserve">elke </w:t>
      </w:r>
      <w:r w:rsidRPr="007A5231">
        <w:rPr>
          <w:rFonts w:eastAsia="Times New Roman"/>
          <w:iCs/>
          <w:lang w:eastAsia="en-US"/>
        </w:rPr>
        <w:t xml:space="preserve"> maand per sector een GOS waarde</w:t>
      </w:r>
      <w:r>
        <w:rPr>
          <w:rFonts w:eastAsia="Times New Roman"/>
          <w:iCs/>
          <w:lang w:eastAsia="en-US"/>
        </w:rPr>
        <w:t xml:space="preserve">, d.i. </w:t>
      </w:r>
      <w:r w:rsidRPr="007A5231">
        <w:rPr>
          <w:rFonts w:eastAsia="Times New Roman"/>
          <w:iCs/>
          <w:lang w:eastAsia="en-US"/>
        </w:rPr>
        <w:t xml:space="preserve">de </w:t>
      </w:r>
      <w:r>
        <w:rPr>
          <w:rFonts w:eastAsia="Times New Roman"/>
          <w:iCs/>
          <w:lang w:eastAsia="en-US"/>
        </w:rPr>
        <w:t xml:space="preserve">bovenste verbrandingswaarde (CBW) </w:t>
      </w:r>
      <w:r w:rsidRPr="007A5231">
        <w:rPr>
          <w:rFonts w:eastAsia="Times New Roman"/>
          <w:iCs/>
          <w:lang w:eastAsia="en-US"/>
        </w:rPr>
        <w:t xml:space="preserve">van het geleverde aardgas per </w:t>
      </w:r>
      <w:r>
        <w:rPr>
          <w:rFonts w:eastAsia="Times New Roman"/>
          <w:iCs/>
          <w:lang w:eastAsia="en-US"/>
        </w:rPr>
        <w:t>(</w:t>
      </w:r>
      <w:r w:rsidRPr="007A5231">
        <w:rPr>
          <w:rFonts w:eastAsia="Times New Roman"/>
          <w:iCs/>
          <w:lang w:eastAsia="en-US"/>
        </w:rPr>
        <w:t>sub</w:t>
      </w:r>
      <w:r>
        <w:rPr>
          <w:rFonts w:eastAsia="Times New Roman"/>
          <w:iCs/>
          <w:lang w:eastAsia="en-US"/>
        </w:rPr>
        <w:t>)</w:t>
      </w:r>
      <w:r w:rsidRPr="007A5231">
        <w:rPr>
          <w:rFonts w:eastAsia="Times New Roman"/>
          <w:iCs/>
          <w:lang w:eastAsia="en-US"/>
        </w:rPr>
        <w:t>intercommunale</w:t>
      </w:r>
      <w:r>
        <w:rPr>
          <w:rFonts w:eastAsia="Times New Roman"/>
          <w:iCs/>
          <w:lang w:eastAsia="en-US"/>
        </w:rPr>
        <w:t xml:space="preserve">, </w:t>
      </w:r>
      <w:r w:rsidRPr="007A5231">
        <w:rPr>
          <w:rFonts w:eastAsia="Times New Roman"/>
          <w:iCs/>
          <w:lang w:eastAsia="en-US"/>
        </w:rPr>
        <w:t xml:space="preserve">zie </w:t>
      </w:r>
      <w:r>
        <w:rPr>
          <w:rFonts w:eastAsia="Times New Roman"/>
          <w:iCs/>
          <w:lang w:eastAsia="en-US"/>
        </w:rPr>
        <w:t xml:space="preserve">bv. </w:t>
      </w:r>
      <w:hyperlink r:id="rId14" w:history="1">
        <w:r w:rsidRPr="000D39D6">
          <w:rPr>
            <w:rStyle w:val="Hyperlink"/>
            <w:rFonts w:eastAsia="Times New Roman"/>
            <w:iCs/>
            <w:lang w:eastAsia="en-US"/>
          </w:rPr>
          <w:t>https://www.indexis.be/nl/cbw_waarden.html</w:t>
        </w:r>
      </w:hyperlink>
      <w:r w:rsidRPr="007A5231">
        <w:rPr>
          <w:rFonts w:eastAsia="Times New Roman"/>
          <w:iCs/>
          <w:lang w:eastAsia="en-US"/>
        </w:rPr>
        <w:t>.</w:t>
      </w:r>
      <w:r>
        <w:rPr>
          <w:rFonts w:eastAsia="Times New Roman"/>
          <w:iCs/>
          <w:lang w:eastAsia="en-US"/>
        </w:rPr>
        <w:t xml:space="preserve"> </w:t>
      </w:r>
      <w:r w:rsidRPr="007A5231">
        <w:rPr>
          <w:rFonts w:eastAsia="Times New Roman"/>
          <w:iCs/>
          <w:lang w:eastAsia="en-US"/>
        </w:rPr>
        <w:t xml:space="preserve">Deze GOS waarden worden bepaald op basis van de </w:t>
      </w:r>
      <w:r>
        <w:rPr>
          <w:rFonts w:eastAsia="Times New Roman"/>
          <w:iCs/>
          <w:lang w:eastAsia="en-US"/>
        </w:rPr>
        <w:t xml:space="preserve">gaschromatografische </w:t>
      </w:r>
      <w:r w:rsidRPr="007A5231">
        <w:rPr>
          <w:rFonts w:eastAsia="Times New Roman"/>
          <w:iCs/>
          <w:lang w:eastAsia="en-US"/>
        </w:rPr>
        <w:t xml:space="preserve">analyses van het aardgas door Fluxys in een aantal knooppunten/ontspanstations tussen </w:t>
      </w:r>
      <w:r>
        <w:rPr>
          <w:rFonts w:eastAsia="Times New Roman"/>
          <w:iCs/>
          <w:lang w:eastAsia="en-US"/>
        </w:rPr>
        <w:t xml:space="preserve">het </w:t>
      </w:r>
      <w:r w:rsidRPr="007A5231">
        <w:rPr>
          <w:rFonts w:eastAsia="Times New Roman"/>
          <w:iCs/>
          <w:lang w:eastAsia="en-US"/>
        </w:rPr>
        <w:t xml:space="preserve">transportnet en </w:t>
      </w:r>
      <w:r>
        <w:rPr>
          <w:rFonts w:eastAsia="Times New Roman"/>
          <w:iCs/>
          <w:lang w:eastAsia="en-US"/>
        </w:rPr>
        <w:t xml:space="preserve">het </w:t>
      </w:r>
      <w:r w:rsidRPr="007A5231">
        <w:rPr>
          <w:rFonts w:eastAsia="Times New Roman"/>
          <w:iCs/>
          <w:lang w:eastAsia="en-US"/>
        </w:rPr>
        <w:t>distributienet.</w:t>
      </w:r>
    </w:p>
    <w:p w:rsidR="0062566B" w:rsidRPr="007A5231" w:rsidRDefault="0062566B" w:rsidP="0062566B">
      <w:pPr>
        <w:pStyle w:val="Lijstalinea"/>
        <w:numPr>
          <w:ilvl w:val="0"/>
          <w:numId w:val="9"/>
        </w:numPr>
        <w:spacing w:before="165" w:after="165"/>
        <w:ind w:left="567" w:right="95" w:hanging="283"/>
        <w:jc w:val="both"/>
        <w:rPr>
          <w:rFonts w:eastAsia="Times New Roman"/>
          <w:iCs/>
          <w:lang w:eastAsia="en-US"/>
        </w:rPr>
      </w:pPr>
      <w:r w:rsidRPr="007A5231">
        <w:rPr>
          <w:rFonts w:eastAsia="Times New Roman"/>
          <w:iCs/>
          <w:lang w:eastAsia="en-US"/>
        </w:rPr>
        <w:t xml:space="preserve">De </w:t>
      </w:r>
      <w:r w:rsidRPr="006350F8">
        <w:rPr>
          <w:rFonts w:eastAsia="Times New Roman"/>
          <w:iCs/>
          <w:u w:val="single"/>
          <w:lang w:eastAsia="en-US"/>
        </w:rPr>
        <w:t>leverancier</w:t>
      </w:r>
      <w:r w:rsidRPr="007A5231">
        <w:rPr>
          <w:rFonts w:eastAsia="Times New Roman"/>
          <w:iCs/>
          <w:lang w:eastAsia="en-US"/>
        </w:rPr>
        <w:t xml:space="preserve"> van het aardgas bepaalt per maand </w:t>
      </w:r>
      <w:r>
        <w:rPr>
          <w:rFonts w:eastAsia="Times New Roman"/>
          <w:iCs/>
          <w:lang w:eastAsia="en-US"/>
        </w:rPr>
        <w:t xml:space="preserve">en per klant </w:t>
      </w:r>
      <w:r w:rsidRPr="007A5231">
        <w:rPr>
          <w:rFonts w:eastAsia="Times New Roman"/>
          <w:iCs/>
          <w:lang w:eastAsia="en-US"/>
        </w:rPr>
        <w:t xml:space="preserve">aan de hand van de </w:t>
      </w:r>
      <w:r w:rsidR="002A65FD" w:rsidRPr="007A5231">
        <w:rPr>
          <w:rFonts w:eastAsia="Times New Roman"/>
          <w:iCs/>
          <w:lang w:eastAsia="en-US"/>
        </w:rPr>
        <w:t>act</w:t>
      </w:r>
      <w:r w:rsidR="002A65FD">
        <w:rPr>
          <w:rFonts w:eastAsia="Times New Roman"/>
          <w:iCs/>
          <w:lang w:eastAsia="en-US"/>
        </w:rPr>
        <w:t>i</w:t>
      </w:r>
      <w:r w:rsidR="002A65FD" w:rsidRPr="007A5231">
        <w:rPr>
          <w:rFonts w:eastAsia="Times New Roman"/>
          <w:iCs/>
          <w:lang w:eastAsia="en-US"/>
        </w:rPr>
        <w:t>viteits</w:t>
      </w:r>
      <w:r w:rsidR="002A65FD">
        <w:rPr>
          <w:rFonts w:eastAsia="Times New Roman"/>
          <w:iCs/>
          <w:lang w:eastAsia="en-US"/>
        </w:rPr>
        <w:t>gegevens</w:t>
      </w:r>
      <w:r w:rsidR="002A65FD" w:rsidRPr="007A5231">
        <w:rPr>
          <w:rFonts w:eastAsia="Times New Roman"/>
          <w:iCs/>
          <w:lang w:eastAsia="en-US"/>
        </w:rPr>
        <w:t xml:space="preserve"> </w:t>
      </w:r>
      <w:r w:rsidRPr="007A5231">
        <w:rPr>
          <w:rFonts w:eastAsia="Times New Roman"/>
          <w:iCs/>
          <w:lang w:eastAsia="en-US"/>
        </w:rPr>
        <w:t>(</w:t>
      </w:r>
      <w:r>
        <w:rPr>
          <w:rFonts w:eastAsia="Times New Roman"/>
          <w:iCs/>
          <w:lang w:eastAsia="en-US"/>
        </w:rPr>
        <w:t>=</w:t>
      </w:r>
      <w:r w:rsidRPr="007A5231">
        <w:rPr>
          <w:rFonts w:eastAsia="Times New Roman"/>
          <w:iCs/>
          <w:lang w:eastAsia="en-US"/>
        </w:rPr>
        <w:t>datacapta</w:t>
      </w:r>
      <w:r>
        <w:rPr>
          <w:rFonts w:eastAsia="Times New Roman"/>
          <w:iCs/>
          <w:lang w:eastAsia="en-US"/>
        </w:rPr>
        <w:t>t</w:t>
      </w:r>
      <w:r w:rsidRPr="007A5231">
        <w:rPr>
          <w:rFonts w:eastAsia="Times New Roman"/>
          <w:iCs/>
          <w:lang w:eastAsia="en-US"/>
        </w:rPr>
        <w:t>ie uitgelezen door  Fluvius) en de CBW/GOS waarde de maandelijks geleverde aardgasvolumes en drukt die uit in  </w:t>
      </w:r>
      <w:proofErr w:type="spellStart"/>
      <w:r w:rsidRPr="007A5231">
        <w:rPr>
          <w:rFonts w:eastAsia="Times New Roman"/>
          <w:iCs/>
          <w:lang w:eastAsia="en-US"/>
        </w:rPr>
        <w:t>MWh</w:t>
      </w:r>
      <w:r w:rsidRPr="007A5231">
        <w:rPr>
          <w:rFonts w:eastAsia="Times New Roman"/>
          <w:iCs/>
          <w:vertAlign w:val="subscript"/>
          <w:lang w:eastAsia="en-US"/>
        </w:rPr>
        <w:t>bvw</w:t>
      </w:r>
      <w:proofErr w:type="spellEnd"/>
      <w:r w:rsidRPr="007A5231">
        <w:rPr>
          <w:rFonts w:eastAsia="Times New Roman"/>
          <w:iCs/>
          <w:lang w:eastAsia="en-US"/>
        </w:rPr>
        <w:t xml:space="preserve">. </w:t>
      </w:r>
      <w:r>
        <w:rPr>
          <w:rFonts w:eastAsia="Times New Roman"/>
          <w:iCs/>
          <w:lang w:eastAsia="en-US"/>
        </w:rPr>
        <w:t>De</w:t>
      </w:r>
      <w:r w:rsidRPr="007A5231">
        <w:rPr>
          <w:rFonts w:eastAsia="Times New Roman"/>
          <w:iCs/>
          <w:lang w:eastAsia="en-US"/>
        </w:rPr>
        <w:t xml:space="preserve">  exploitant die aardgas afneemt van het distributienet beschikt dus </w:t>
      </w:r>
      <w:r>
        <w:rPr>
          <w:rFonts w:eastAsia="Times New Roman"/>
          <w:iCs/>
          <w:lang w:eastAsia="en-US"/>
        </w:rPr>
        <w:t xml:space="preserve">hoogstens </w:t>
      </w:r>
      <w:r w:rsidRPr="007A5231">
        <w:rPr>
          <w:rFonts w:eastAsia="Times New Roman"/>
          <w:iCs/>
          <w:lang w:eastAsia="en-US"/>
        </w:rPr>
        <w:t>over</w:t>
      </w:r>
      <w:r>
        <w:rPr>
          <w:rFonts w:eastAsia="Times New Roman"/>
          <w:iCs/>
          <w:lang w:eastAsia="en-US"/>
        </w:rPr>
        <w:t xml:space="preserve"> volgende gegevens:</w:t>
      </w:r>
    </w:p>
    <w:p w:rsidR="0062566B" w:rsidRPr="007A5231" w:rsidRDefault="0062566B" w:rsidP="0062566B">
      <w:pPr>
        <w:pStyle w:val="Lijstalinea"/>
        <w:numPr>
          <w:ilvl w:val="1"/>
          <w:numId w:val="10"/>
        </w:numPr>
        <w:spacing w:before="165" w:after="165"/>
        <w:ind w:left="851" w:right="95" w:hanging="284"/>
        <w:jc w:val="both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t xml:space="preserve">De </w:t>
      </w:r>
      <w:r w:rsidRPr="007A5231">
        <w:rPr>
          <w:rFonts w:eastAsia="Times New Roman"/>
          <w:iCs/>
          <w:lang w:eastAsia="en-US"/>
        </w:rPr>
        <w:t xml:space="preserve">geleverde </w:t>
      </w:r>
      <w:r>
        <w:rPr>
          <w:rFonts w:eastAsia="Times New Roman"/>
          <w:iCs/>
          <w:lang w:eastAsia="en-US"/>
        </w:rPr>
        <w:t xml:space="preserve">hoeveelheid in </w:t>
      </w:r>
      <w:proofErr w:type="spellStart"/>
      <w:r w:rsidRPr="007A5231">
        <w:rPr>
          <w:rFonts w:eastAsia="Times New Roman"/>
          <w:iCs/>
          <w:lang w:eastAsia="en-US"/>
        </w:rPr>
        <w:t>MWh</w:t>
      </w:r>
      <w:r w:rsidRPr="007A5231">
        <w:rPr>
          <w:rFonts w:eastAsia="Times New Roman"/>
          <w:iCs/>
          <w:vertAlign w:val="subscript"/>
          <w:lang w:eastAsia="en-US"/>
        </w:rPr>
        <w:t>bvw</w:t>
      </w:r>
      <w:proofErr w:type="spellEnd"/>
      <w:r w:rsidRPr="007A5231">
        <w:rPr>
          <w:rFonts w:eastAsia="Times New Roman"/>
          <w:iCs/>
          <w:lang w:eastAsia="en-US"/>
        </w:rPr>
        <w:t xml:space="preserve">  per maand via de leverancier </w:t>
      </w:r>
      <w:r>
        <w:rPr>
          <w:rFonts w:eastAsia="Times New Roman"/>
          <w:iCs/>
          <w:lang w:eastAsia="en-US"/>
        </w:rPr>
        <w:t>(staat altijd op de factuur);</w:t>
      </w:r>
    </w:p>
    <w:p w:rsidR="0062566B" w:rsidRPr="007A5231" w:rsidRDefault="0062566B" w:rsidP="0062566B">
      <w:pPr>
        <w:pStyle w:val="Lijstalinea"/>
        <w:numPr>
          <w:ilvl w:val="1"/>
          <w:numId w:val="10"/>
        </w:numPr>
        <w:spacing w:before="165" w:after="165"/>
        <w:ind w:left="851" w:right="95" w:hanging="284"/>
        <w:jc w:val="both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t>De g</w:t>
      </w:r>
      <w:r w:rsidRPr="007A5231">
        <w:rPr>
          <w:rFonts w:eastAsia="Times New Roman"/>
          <w:iCs/>
          <w:lang w:eastAsia="en-US"/>
        </w:rPr>
        <w:t>eleverde Nm³ per dag/maand (afhankelijk van de leverancier</w:t>
      </w:r>
      <w:r>
        <w:rPr>
          <w:rFonts w:eastAsia="Times New Roman"/>
          <w:iCs/>
          <w:lang w:eastAsia="en-US"/>
        </w:rPr>
        <w:t>, staat niet altijd op de factuur);</w:t>
      </w:r>
    </w:p>
    <w:p w:rsidR="0062566B" w:rsidRPr="007A5231" w:rsidRDefault="0062566B" w:rsidP="0062566B">
      <w:pPr>
        <w:pStyle w:val="Lijstalinea"/>
        <w:numPr>
          <w:ilvl w:val="1"/>
          <w:numId w:val="10"/>
        </w:numPr>
        <w:spacing w:before="165" w:after="165"/>
        <w:ind w:left="851" w:right="95" w:hanging="284"/>
        <w:jc w:val="both"/>
        <w:rPr>
          <w:rFonts w:eastAsia="Times New Roman"/>
          <w:iCs/>
          <w:lang w:eastAsia="en-US"/>
        </w:rPr>
      </w:pPr>
      <w:r w:rsidRPr="007A5231">
        <w:rPr>
          <w:rFonts w:eastAsia="Times New Roman"/>
          <w:iCs/>
          <w:lang w:eastAsia="en-US"/>
        </w:rPr>
        <w:t xml:space="preserve">de GOS/CBW-waarde van het geleverde aardgas per maand (uitgedrukt in </w:t>
      </w:r>
      <w:proofErr w:type="spellStart"/>
      <w:r w:rsidRPr="007A5231">
        <w:rPr>
          <w:rFonts w:eastAsia="Times New Roman"/>
          <w:iCs/>
          <w:lang w:eastAsia="en-US"/>
        </w:rPr>
        <w:t>kWh</w:t>
      </w:r>
      <w:r w:rsidRPr="007A5231">
        <w:rPr>
          <w:rFonts w:eastAsia="Times New Roman"/>
          <w:iCs/>
          <w:vertAlign w:val="subscript"/>
          <w:lang w:eastAsia="en-US"/>
        </w:rPr>
        <w:t>bvw</w:t>
      </w:r>
      <w:proofErr w:type="spellEnd"/>
      <w:r w:rsidRPr="007A5231">
        <w:rPr>
          <w:rFonts w:eastAsia="Times New Roman"/>
          <w:iCs/>
          <w:lang w:eastAsia="en-US"/>
        </w:rPr>
        <w:t>/Nm³</w:t>
      </w:r>
      <w:r>
        <w:rPr>
          <w:rFonts w:eastAsia="Times New Roman"/>
          <w:iCs/>
          <w:lang w:eastAsia="en-US"/>
        </w:rPr>
        <w:t>; staat niet altijd op de factuur</w:t>
      </w:r>
      <w:r w:rsidRPr="007A5231">
        <w:rPr>
          <w:rFonts w:eastAsia="Times New Roman"/>
          <w:iCs/>
          <w:lang w:eastAsia="en-US"/>
        </w:rPr>
        <w:t>)</w:t>
      </w:r>
      <w:r>
        <w:rPr>
          <w:rFonts w:eastAsia="Times New Roman"/>
          <w:iCs/>
          <w:lang w:eastAsia="en-US"/>
        </w:rPr>
        <w:t>.</w:t>
      </w:r>
    </w:p>
    <w:p w:rsidR="0062566B" w:rsidRDefault="0062566B" w:rsidP="0062566B">
      <w:pPr>
        <w:pStyle w:val="Lijstalinea"/>
        <w:numPr>
          <w:ilvl w:val="0"/>
          <w:numId w:val="13"/>
        </w:numPr>
        <w:spacing w:before="165" w:after="165"/>
        <w:ind w:right="95"/>
        <w:jc w:val="both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t xml:space="preserve">Om de emissies (per maand) te berekenen, </w:t>
      </w:r>
      <w:r w:rsidR="00E0501C">
        <w:rPr>
          <w:rFonts w:eastAsia="Times New Roman"/>
          <w:iCs/>
          <w:lang w:eastAsia="en-US"/>
        </w:rPr>
        <w:t>doen</w:t>
      </w:r>
      <w:r>
        <w:rPr>
          <w:rFonts w:eastAsia="Times New Roman"/>
          <w:iCs/>
          <w:lang w:eastAsia="en-US"/>
        </w:rPr>
        <w:t xml:space="preserve"> d</w:t>
      </w:r>
      <w:r w:rsidRPr="0062566B">
        <w:rPr>
          <w:rFonts w:eastAsia="Times New Roman"/>
          <w:iCs/>
          <w:lang w:eastAsia="en-US"/>
        </w:rPr>
        <w:t xml:space="preserve">e exploitanten beroep op de </w:t>
      </w:r>
      <w:r w:rsidR="00E0501C">
        <w:rPr>
          <w:rFonts w:eastAsia="Times New Roman"/>
          <w:iCs/>
          <w:lang w:eastAsia="en-US"/>
        </w:rPr>
        <w:t xml:space="preserve">jaarlijks </w:t>
      </w:r>
      <w:r w:rsidR="002A65FD" w:rsidRPr="003F0DDB">
        <w:rPr>
          <w:bCs/>
          <w:lang w:eastAsia="en-US"/>
        </w:rPr>
        <w:t xml:space="preserve">vastgelegde </w:t>
      </w:r>
      <w:proofErr w:type="spellStart"/>
      <w:r w:rsidR="002A65FD" w:rsidRPr="003F0DDB">
        <w:rPr>
          <w:bCs/>
          <w:lang w:eastAsia="en-US"/>
        </w:rPr>
        <w:t>landspecifieke</w:t>
      </w:r>
      <w:proofErr w:type="spellEnd"/>
      <w:r w:rsidR="002A65FD" w:rsidRPr="003F0DDB">
        <w:rPr>
          <w:bCs/>
          <w:lang w:eastAsia="en-US"/>
        </w:rPr>
        <w:t xml:space="preserve">  emissiefactor</w:t>
      </w:r>
      <w:r w:rsidR="00E0501C">
        <w:rPr>
          <w:bCs/>
          <w:lang w:eastAsia="en-US"/>
        </w:rPr>
        <w:t xml:space="preserve"> (EF). Deze wordt telkens in januari van het jaar x+1 gepubliceerd op de website van het VEKA voor rapporteringsjaar x</w:t>
      </w:r>
      <w:r>
        <w:rPr>
          <w:rFonts w:eastAsia="Times New Roman"/>
          <w:iCs/>
          <w:lang w:eastAsia="en-US"/>
        </w:rPr>
        <w:t>:</w:t>
      </w:r>
      <w:r w:rsidR="00E0501C">
        <w:rPr>
          <w:rFonts w:eastAsia="Times New Roman"/>
          <w:iCs/>
          <w:lang w:eastAsia="en-US"/>
        </w:rPr>
        <w:t xml:space="preserve"> </w:t>
      </w:r>
    </w:p>
    <w:p w:rsidR="003F0DDB" w:rsidRPr="003F0DDB" w:rsidRDefault="003F0DDB" w:rsidP="003F0DDB">
      <w:pPr>
        <w:pStyle w:val="Lijstalinea"/>
        <w:ind w:left="643"/>
        <w:rPr>
          <w:lang w:eastAsia="en-US"/>
        </w:rPr>
      </w:pPr>
      <w:r w:rsidRPr="003F0DDB">
        <w:rPr>
          <w:rFonts w:eastAsia="Times New Roman"/>
          <w:b/>
          <w:iCs/>
          <w:lang w:eastAsia="en-US"/>
        </w:rPr>
        <w:t>Hoeveelheid (</w:t>
      </w:r>
      <w:proofErr w:type="spellStart"/>
      <w:r w:rsidRPr="003F0DDB">
        <w:rPr>
          <w:b/>
          <w:iCs/>
          <w:lang w:eastAsia="en-US"/>
        </w:rPr>
        <w:t>MWh</w:t>
      </w:r>
      <w:r w:rsidRPr="003F0DDB">
        <w:rPr>
          <w:b/>
          <w:iCs/>
          <w:vertAlign w:val="subscript"/>
          <w:lang w:eastAsia="en-US"/>
        </w:rPr>
        <w:t>bvw</w:t>
      </w:r>
      <w:proofErr w:type="spellEnd"/>
      <w:r w:rsidRPr="003F0DDB">
        <w:rPr>
          <w:b/>
          <w:iCs/>
          <w:lang w:eastAsia="en-US"/>
        </w:rPr>
        <w:t xml:space="preserve">) * </w:t>
      </w:r>
      <w:r w:rsidRPr="003F0DDB">
        <w:rPr>
          <w:b/>
          <w:bCs/>
          <w:iCs/>
          <w:lang w:eastAsia="en-US"/>
        </w:rPr>
        <w:t>3.6 * 10</w:t>
      </w:r>
      <w:r w:rsidRPr="003F0DDB">
        <w:rPr>
          <w:b/>
          <w:bCs/>
          <w:iCs/>
          <w:vertAlign w:val="superscript"/>
          <w:lang w:eastAsia="en-US"/>
        </w:rPr>
        <w:t>-3</w:t>
      </w:r>
      <w:r w:rsidRPr="003F0DDB">
        <w:rPr>
          <w:b/>
          <w:bCs/>
          <w:iCs/>
          <w:lang w:eastAsia="en-US"/>
        </w:rPr>
        <w:t xml:space="preserve">  (TJ/</w:t>
      </w:r>
      <w:proofErr w:type="spellStart"/>
      <w:r w:rsidRPr="003F0DDB">
        <w:rPr>
          <w:b/>
          <w:bCs/>
          <w:iCs/>
          <w:lang w:eastAsia="en-US"/>
        </w:rPr>
        <w:t>MWh</w:t>
      </w:r>
      <w:r w:rsidRPr="003F0DDB">
        <w:rPr>
          <w:b/>
          <w:bCs/>
          <w:iCs/>
          <w:vertAlign w:val="subscript"/>
          <w:lang w:eastAsia="en-US"/>
        </w:rPr>
        <w:t>bvw</w:t>
      </w:r>
      <w:proofErr w:type="spellEnd"/>
      <w:r w:rsidRPr="003F0DDB">
        <w:rPr>
          <w:b/>
          <w:bCs/>
          <w:iCs/>
          <w:lang w:eastAsia="en-US"/>
        </w:rPr>
        <w:t xml:space="preserve">) * 0.903 * </w:t>
      </w:r>
      <w:r w:rsidR="00E0501C">
        <w:rPr>
          <w:b/>
          <w:bCs/>
          <w:iCs/>
          <w:lang w:eastAsia="en-US"/>
        </w:rPr>
        <w:t>EF</w:t>
      </w:r>
      <w:r w:rsidRPr="003F0DDB">
        <w:rPr>
          <w:b/>
          <w:bCs/>
          <w:iCs/>
          <w:lang w:eastAsia="en-US"/>
        </w:rPr>
        <w:t xml:space="preserve"> </w:t>
      </w:r>
      <w:r w:rsidR="00E0501C">
        <w:rPr>
          <w:b/>
          <w:bCs/>
          <w:iCs/>
          <w:lang w:eastAsia="en-US"/>
        </w:rPr>
        <w:t>(</w:t>
      </w:r>
      <w:r w:rsidRPr="003F0DDB">
        <w:rPr>
          <w:b/>
          <w:bCs/>
          <w:iCs/>
          <w:lang w:eastAsia="en-US"/>
        </w:rPr>
        <w:t>ton CO</w:t>
      </w:r>
      <w:r w:rsidRPr="003F0DDB">
        <w:rPr>
          <w:b/>
          <w:bCs/>
          <w:iCs/>
          <w:vertAlign w:val="subscript"/>
          <w:lang w:eastAsia="en-US"/>
        </w:rPr>
        <w:t>2</w:t>
      </w:r>
      <w:r w:rsidRPr="003F0DDB">
        <w:rPr>
          <w:b/>
          <w:bCs/>
          <w:iCs/>
          <w:lang w:eastAsia="en-US"/>
        </w:rPr>
        <w:t>/TJ</w:t>
      </w:r>
      <w:r w:rsidR="00E0501C">
        <w:rPr>
          <w:b/>
          <w:bCs/>
          <w:iCs/>
          <w:lang w:eastAsia="en-US"/>
        </w:rPr>
        <w:t>)</w:t>
      </w:r>
    </w:p>
    <w:p w:rsidR="003F0DDB" w:rsidRPr="0062566B" w:rsidRDefault="003F0DDB" w:rsidP="0062566B">
      <w:pPr>
        <w:pStyle w:val="Lijstalinea"/>
        <w:numPr>
          <w:ilvl w:val="0"/>
          <w:numId w:val="13"/>
        </w:numPr>
        <w:spacing w:before="165" w:after="165"/>
        <w:ind w:right="95"/>
        <w:jc w:val="both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t xml:space="preserve">In theorie </w:t>
      </w:r>
      <w:r>
        <w:rPr>
          <w:iCs/>
          <w:lang w:eastAsia="en-US"/>
        </w:rPr>
        <w:t>kunnen</w:t>
      </w:r>
      <w:r w:rsidRPr="003F0DDB">
        <w:rPr>
          <w:iCs/>
          <w:lang w:eastAsia="en-US"/>
        </w:rPr>
        <w:t xml:space="preserve"> </w:t>
      </w:r>
      <w:r>
        <w:rPr>
          <w:iCs/>
          <w:lang w:eastAsia="en-US"/>
        </w:rPr>
        <w:t>ook deze exploitanten</w:t>
      </w:r>
      <w:r w:rsidRPr="003F0DDB">
        <w:rPr>
          <w:iCs/>
          <w:lang w:eastAsia="en-US"/>
        </w:rPr>
        <w:t xml:space="preserve"> via (een betalend) NPS-portaal </w:t>
      </w:r>
      <w:r>
        <w:rPr>
          <w:iCs/>
          <w:lang w:eastAsia="en-US"/>
        </w:rPr>
        <w:t>hun</w:t>
      </w:r>
      <w:r w:rsidRPr="003F0DDB">
        <w:rPr>
          <w:iCs/>
          <w:lang w:eastAsia="en-US"/>
        </w:rPr>
        <w:t xml:space="preserve"> leveringen volgen</w:t>
      </w:r>
      <w:r>
        <w:rPr>
          <w:iCs/>
          <w:lang w:eastAsia="en-US"/>
        </w:rPr>
        <w:t>. Deze data zijn echter</w:t>
      </w:r>
      <w:r w:rsidRPr="003F0DDB">
        <w:rPr>
          <w:iCs/>
          <w:lang w:eastAsia="en-US"/>
        </w:rPr>
        <w:t xml:space="preserve"> uitgedrukt in </w:t>
      </w:r>
      <w:proofErr w:type="spellStart"/>
      <w:r w:rsidRPr="003F0DDB">
        <w:rPr>
          <w:iCs/>
          <w:lang w:eastAsia="en-US"/>
        </w:rPr>
        <w:t>MWh</w:t>
      </w:r>
      <w:r w:rsidRPr="003F0DDB">
        <w:rPr>
          <w:iCs/>
          <w:vertAlign w:val="subscript"/>
          <w:lang w:eastAsia="en-US"/>
        </w:rPr>
        <w:t>bvw</w:t>
      </w:r>
      <w:proofErr w:type="spellEnd"/>
      <w:r w:rsidRPr="003F0DDB">
        <w:rPr>
          <w:iCs/>
          <w:lang w:eastAsia="en-US"/>
        </w:rPr>
        <w:t xml:space="preserve"> en niet in Nm³.</w:t>
      </w:r>
    </w:p>
    <w:p w:rsidR="00BD33E3" w:rsidRPr="003F0DDB" w:rsidRDefault="00CF547A" w:rsidP="003F0DDB">
      <w:pPr>
        <w:pStyle w:val="Kop2"/>
        <w:numPr>
          <w:ilvl w:val="1"/>
          <w:numId w:val="5"/>
        </w:numPr>
        <w:spacing w:after="240"/>
        <w:jc w:val="both"/>
        <w:rPr>
          <w:rFonts w:ascii="Calibri" w:hAnsi="Calibri" w:cs="Calibri"/>
          <w:sz w:val="24"/>
          <w:szCs w:val="24"/>
          <w:lang w:val="nl-BE"/>
        </w:rPr>
      </w:pPr>
      <w:bookmarkStart w:id="10" w:name="_Toc73025969"/>
      <w:r>
        <w:rPr>
          <w:rFonts w:ascii="Calibri" w:hAnsi="Calibri" w:cs="Calibri"/>
          <w:sz w:val="24"/>
          <w:szCs w:val="24"/>
          <w:lang w:val="nl-BE"/>
        </w:rPr>
        <w:t>Hoe omgaan met de bronstroom aardgas in het MP?</w:t>
      </w:r>
      <w:bookmarkEnd w:id="10"/>
    </w:p>
    <w:p w:rsidR="002A65FD" w:rsidRPr="003F0DDB" w:rsidRDefault="00752DF0" w:rsidP="002A65FD">
      <w:pPr>
        <w:spacing w:before="165" w:after="165"/>
        <w:ind w:right="95"/>
        <w:jc w:val="both"/>
        <w:rPr>
          <w:bCs/>
          <w:lang w:eastAsia="en-US"/>
        </w:rPr>
      </w:pPr>
      <w:r>
        <w:rPr>
          <w:bCs/>
          <w:lang w:eastAsia="en-US"/>
        </w:rPr>
        <w:t>Exploitanten</w:t>
      </w:r>
      <w:r w:rsidRPr="003F0DDB">
        <w:rPr>
          <w:bCs/>
          <w:lang w:eastAsia="en-US"/>
        </w:rPr>
        <w:t xml:space="preserve"> </w:t>
      </w:r>
      <w:r w:rsidR="007A5231" w:rsidRPr="003F0DDB">
        <w:rPr>
          <w:bCs/>
          <w:lang w:eastAsia="en-US"/>
        </w:rPr>
        <w:t>die aardgas toegeleverd krijgen via de distributienetbeheerder mogen</w:t>
      </w:r>
      <w:r w:rsidR="00795FCB" w:rsidRPr="003F0DDB">
        <w:rPr>
          <w:bCs/>
          <w:lang w:eastAsia="en-US"/>
        </w:rPr>
        <w:t xml:space="preserve"> voor de bepaling van hun emissie van deze bronstroom </w:t>
      </w:r>
      <w:r w:rsidR="007A5231" w:rsidRPr="003F0DDB">
        <w:rPr>
          <w:bCs/>
          <w:lang w:eastAsia="en-US"/>
        </w:rPr>
        <w:t>beroep  doen op de factuurwaarden van de leverancier</w:t>
      </w:r>
      <w:r w:rsidR="00795FCB" w:rsidRPr="003F0DDB">
        <w:rPr>
          <w:bCs/>
          <w:lang w:eastAsia="en-US"/>
        </w:rPr>
        <w:t>,</w:t>
      </w:r>
      <w:r w:rsidR="007A5231" w:rsidRPr="003F0DDB">
        <w:rPr>
          <w:bCs/>
          <w:lang w:eastAsia="en-US"/>
        </w:rPr>
        <w:t xml:space="preserve"> uitgedrukt in </w:t>
      </w:r>
      <w:proofErr w:type="spellStart"/>
      <w:r w:rsidR="007A5231" w:rsidRPr="003F0DDB">
        <w:rPr>
          <w:bCs/>
          <w:lang w:eastAsia="en-US"/>
        </w:rPr>
        <w:t>MWh</w:t>
      </w:r>
      <w:r w:rsidR="007A5231" w:rsidRPr="003F0DDB">
        <w:rPr>
          <w:bCs/>
          <w:vertAlign w:val="subscript"/>
          <w:lang w:eastAsia="en-US"/>
        </w:rPr>
        <w:t>bvw</w:t>
      </w:r>
      <w:proofErr w:type="spellEnd"/>
      <w:r w:rsidR="003F0DDB">
        <w:rPr>
          <w:bCs/>
          <w:lang w:eastAsia="en-US"/>
        </w:rPr>
        <w:t xml:space="preserve">. Daarbij moet </w:t>
      </w:r>
      <w:r w:rsidR="007A5231" w:rsidRPr="003F0DDB">
        <w:rPr>
          <w:bCs/>
          <w:lang w:eastAsia="en-US"/>
        </w:rPr>
        <w:t xml:space="preserve">de geleverde energie </w:t>
      </w:r>
      <w:r w:rsidR="003F0DDB">
        <w:rPr>
          <w:bCs/>
          <w:lang w:eastAsia="en-US"/>
        </w:rPr>
        <w:t>omgerekend worden</w:t>
      </w:r>
      <w:r w:rsidR="007A5231" w:rsidRPr="003F0DDB">
        <w:rPr>
          <w:bCs/>
          <w:lang w:eastAsia="en-US"/>
        </w:rPr>
        <w:t xml:space="preserve"> </w:t>
      </w:r>
      <w:r w:rsidR="00B62F62" w:rsidRPr="003F0DDB">
        <w:rPr>
          <w:bCs/>
          <w:lang w:eastAsia="en-US"/>
        </w:rPr>
        <w:t xml:space="preserve">naar </w:t>
      </w:r>
      <w:r w:rsidR="003F0DDB">
        <w:rPr>
          <w:bCs/>
          <w:lang w:eastAsia="en-US"/>
        </w:rPr>
        <w:t xml:space="preserve">de </w:t>
      </w:r>
      <w:r w:rsidR="00B62F62" w:rsidRPr="003F0DDB">
        <w:rPr>
          <w:bCs/>
          <w:lang w:eastAsia="en-US"/>
        </w:rPr>
        <w:t xml:space="preserve">onderste verbrandingswaarde </w:t>
      </w:r>
      <w:r w:rsidR="007A5231" w:rsidRPr="003F0DDB">
        <w:rPr>
          <w:bCs/>
          <w:lang w:eastAsia="en-US"/>
        </w:rPr>
        <w:t xml:space="preserve">met </w:t>
      </w:r>
      <w:r w:rsidR="00B62F62" w:rsidRPr="003F0DDB">
        <w:rPr>
          <w:bCs/>
          <w:lang w:eastAsia="en-US"/>
        </w:rPr>
        <w:t>de</w:t>
      </w:r>
      <w:r w:rsidR="007A5231" w:rsidRPr="003F0DDB">
        <w:rPr>
          <w:bCs/>
          <w:lang w:eastAsia="en-US"/>
        </w:rPr>
        <w:t xml:space="preserve"> conversiefactor 3.6*0.903</w:t>
      </w:r>
      <w:r w:rsidR="00C73033" w:rsidRPr="003F0DDB">
        <w:rPr>
          <w:bCs/>
          <w:lang w:eastAsia="en-US"/>
        </w:rPr>
        <w:t xml:space="preserve"> = 3,2508 </w:t>
      </w:r>
      <w:r w:rsidR="007A5231" w:rsidRPr="003F0DDB">
        <w:rPr>
          <w:bCs/>
          <w:lang w:eastAsia="en-US"/>
        </w:rPr>
        <w:t xml:space="preserve"> </w:t>
      </w:r>
      <w:proofErr w:type="spellStart"/>
      <w:r w:rsidR="00814A0D" w:rsidRPr="003F0DDB">
        <w:rPr>
          <w:bCs/>
          <w:lang w:eastAsia="en-US"/>
        </w:rPr>
        <w:t>GJ</w:t>
      </w:r>
      <w:r w:rsidR="007F2953" w:rsidRPr="003F0DDB">
        <w:rPr>
          <w:bCs/>
          <w:vertAlign w:val="subscript"/>
          <w:lang w:eastAsia="en-US"/>
        </w:rPr>
        <w:t>ovw</w:t>
      </w:r>
      <w:proofErr w:type="spellEnd"/>
      <w:r w:rsidR="007A5231" w:rsidRPr="003F0DDB">
        <w:rPr>
          <w:bCs/>
          <w:lang w:eastAsia="en-US"/>
        </w:rPr>
        <w:t>/</w:t>
      </w:r>
      <w:proofErr w:type="spellStart"/>
      <w:r w:rsidR="007A5231" w:rsidRPr="003F0DDB">
        <w:rPr>
          <w:bCs/>
          <w:lang w:eastAsia="en-US"/>
        </w:rPr>
        <w:t>MWh</w:t>
      </w:r>
      <w:r w:rsidR="007A5231" w:rsidRPr="003F0DDB">
        <w:rPr>
          <w:bCs/>
          <w:vertAlign w:val="subscript"/>
          <w:lang w:eastAsia="en-US"/>
        </w:rPr>
        <w:t>bvw</w:t>
      </w:r>
      <w:proofErr w:type="spellEnd"/>
      <w:r w:rsidR="00814A0D" w:rsidRPr="003F0DDB">
        <w:rPr>
          <w:bCs/>
          <w:lang w:eastAsia="en-US"/>
        </w:rPr>
        <w:t>.</w:t>
      </w:r>
    </w:p>
    <w:p w:rsidR="007A5231" w:rsidRPr="003F0DDB" w:rsidRDefault="007A5231" w:rsidP="00804584">
      <w:pPr>
        <w:spacing w:before="165" w:after="165"/>
        <w:ind w:right="95"/>
        <w:jc w:val="both"/>
        <w:rPr>
          <w:bCs/>
          <w:lang w:eastAsia="en-US"/>
        </w:rPr>
      </w:pPr>
      <w:r w:rsidRPr="003F0DDB">
        <w:rPr>
          <w:bCs/>
          <w:lang w:eastAsia="en-US"/>
        </w:rPr>
        <w:t>Voor de bepaling van de emissie</w:t>
      </w:r>
      <w:r w:rsidR="00FA4153" w:rsidRPr="003F0DDB">
        <w:rPr>
          <w:bCs/>
          <w:lang w:eastAsia="en-US"/>
        </w:rPr>
        <w:t>s</w:t>
      </w:r>
      <w:r w:rsidRPr="003F0DDB">
        <w:rPr>
          <w:bCs/>
          <w:lang w:eastAsia="en-US"/>
        </w:rPr>
        <w:t xml:space="preserve"> </w:t>
      </w:r>
      <w:r w:rsidR="002F20D7" w:rsidRPr="003F0DDB">
        <w:rPr>
          <w:bCs/>
          <w:lang w:eastAsia="en-US"/>
        </w:rPr>
        <w:t>(</w:t>
      </w:r>
      <w:r w:rsidRPr="003F0DDB">
        <w:rPr>
          <w:bCs/>
          <w:lang w:eastAsia="en-US"/>
        </w:rPr>
        <w:t>op maand</w:t>
      </w:r>
      <w:r w:rsidR="00FA4153" w:rsidRPr="003F0DDB">
        <w:rPr>
          <w:bCs/>
          <w:lang w:eastAsia="en-US"/>
        </w:rPr>
        <w:t>- en j</w:t>
      </w:r>
      <w:r w:rsidRPr="003F0DDB">
        <w:rPr>
          <w:bCs/>
          <w:lang w:eastAsia="en-US"/>
        </w:rPr>
        <w:t>aarbasis</w:t>
      </w:r>
      <w:r w:rsidR="002A2F22" w:rsidRPr="003F0DDB">
        <w:rPr>
          <w:bCs/>
          <w:lang w:eastAsia="en-US"/>
        </w:rPr>
        <w:t>)</w:t>
      </w:r>
      <w:r w:rsidRPr="003F0DDB">
        <w:rPr>
          <w:bCs/>
          <w:lang w:eastAsia="en-US"/>
        </w:rPr>
        <w:t xml:space="preserve"> word</w:t>
      </w:r>
      <w:r w:rsidR="002F20D7" w:rsidRPr="003F0DDB">
        <w:rPr>
          <w:bCs/>
          <w:lang w:eastAsia="en-US"/>
        </w:rPr>
        <w:t>t</w:t>
      </w:r>
      <w:r w:rsidR="00FA4153" w:rsidRPr="003F0DDB">
        <w:rPr>
          <w:bCs/>
          <w:lang w:eastAsia="en-US"/>
        </w:rPr>
        <w:t xml:space="preserve"> </w:t>
      </w:r>
      <w:r w:rsidRPr="003F0DDB">
        <w:rPr>
          <w:bCs/>
          <w:lang w:eastAsia="en-US"/>
        </w:rPr>
        <w:t xml:space="preserve">de </w:t>
      </w:r>
      <w:r w:rsidR="002F20D7" w:rsidRPr="003F0DDB">
        <w:rPr>
          <w:bCs/>
          <w:lang w:eastAsia="en-US"/>
        </w:rPr>
        <w:t>vastgelegde</w:t>
      </w:r>
      <w:r w:rsidR="000F2227" w:rsidRPr="003F0DDB">
        <w:rPr>
          <w:bCs/>
          <w:lang w:eastAsia="en-US"/>
        </w:rPr>
        <w:t xml:space="preserve"> </w:t>
      </w:r>
      <w:proofErr w:type="spellStart"/>
      <w:r w:rsidR="002F20D7" w:rsidRPr="003F0DDB">
        <w:rPr>
          <w:bCs/>
          <w:lang w:eastAsia="en-US"/>
        </w:rPr>
        <w:t>landspecifi</w:t>
      </w:r>
      <w:r w:rsidR="000F2227" w:rsidRPr="003F0DDB">
        <w:rPr>
          <w:bCs/>
          <w:lang w:eastAsia="en-US"/>
        </w:rPr>
        <w:t>eke</w:t>
      </w:r>
      <w:proofErr w:type="spellEnd"/>
      <w:r w:rsidR="000F2227" w:rsidRPr="003F0DDB">
        <w:rPr>
          <w:bCs/>
          <w:lang w:eastAsia="en-US"/>
        </w:rPr>
        <w:t xml:space="preserve"> </w:t>
      </w:r>
      <w:r w:rsidRPr="003F0DDB">
        <w:rPr>
          <w:bCs/>
          <w:lang w:eastAsia="en-US"/>
        </w:rPr>
        <w:t xml:space="preserve"> emissiefactor </w:t>
      </w:r>
      <w:r w:rsidR="006A73B9" w:rsidRPr="003F0DDB">
        <w:rPr>
          <w:bCs/>
          <w:lang w:eastAsia="en-US"/>
        </w:rPr>
        <w:t>–</w:t>
      </w:r>
      <w:r w:rsidR="00E0501C">
        <w:rPr>
          <w:bCs/>
          <w:lang w:eastAsia="en-US"/>
        </w:rPr>
        <w:t xml:space="preserve"> jaarlijks gepubliceerd op de website van het VEKA</w:t>
      </w:r>
      <w:r w:rsidR="006A73B9" w:rsidRPr="003F0DDB">
        <w:rPr>
          <w:bCs/>
          <w:lang w:eastAsia="en-US"/>
        </w:rPr>
        <w:t xml:space="preserve"> –</w:t>
      </w:r>
      <w:r w:rsidRPr="003F0DDB">
        <w:rPr>
          <w:bCs/>
          <w:lang w:eastAsia="en-US"/>
        </w:rPr>
        <w:t xml:space="preserve"> gebruikt</w:t>
      </w:r>
      <w:r w:rsidR="003F0DDB">
        <w:rPr>
          <w:bCs/>
          <w:lang w:eastAsia="en-US"/>
        </w:rPr>
        <w:t xml:space="preserve">. De toegepaste tier voor de emissiefactor is dan </w:t>
      </w:r>
      <w:r w:rsidR="000F2227" w:rsidRPr="003F0DDB">
        <w:rPr>
          <w:bCs/>
          <w:lang w:eastAsia="en-US"/>
        </w:rPr>
        <w:t>2a</w:t>
      </w:r>
      <w:r w:rsidR="002271CA" w:rsidRPr="003F0DDB">
        <w:rPr>
          <w:bCs/>
          <w:lang w:eastAsia="en-US"/>
        </w:rPr>
        <w:t>.</w:t>
      </w:r>
    </w:p>
    <w:p w:rsidR="00804584" w:rsidRDefault="002271CA" w:rsidP="002A65FD">
      <w:pPr>
        <w:spacing w:before="165" w:after="165"/>
        <w:ind w:right="95"/>
        <w:jc w:val="both"/>
        <w:rPr>
          <w:bCs/>
          <w:lang w:eastAsia="en-US"/>
        </w:rPr>
      </w:pPr>
      <w:r w:rsidRPr="003F0DDB">
        <w:rPr>
          <w:bCs/>
          <w:lang w:eastAsia="en-US"/>
        </w:rPr>
        <w:t xml:space="preserve">De toegepaste tier voor de calorische waarde </w:t>
      </w:r>
      <w:r w:rsidR="006A73B9" w:rsidRPr="003F0DDB">
        <w:rPr>
          <w:bCs/>
          <w:lang w:eastAsia="en-US"/>
        </w:rPr>
        <w:t>is in dit geval tier 3</w:t>
      </w:r>
      <w:r w:rsidR="003F0DDB">
        <w:rPr>
          <w:bCs/>
          <w:lang w:eastAsia="en-US"/>
        </w:rPr>
        <w:t>, zoals in de periode 2013-2020</w:t>
      </w:r>
      <w:r w:rsidR="00804584">
        <w:rPr>
          <w:bCs/>
          <w:lang w:eastAsia="en-US"/>
        </w:rPr>
        <w:t>. H</w:t>
      </w:r>
      <w:r w:rsidR="00E173D2" w:rsidRPr="000B6961">
        <w:rPr>
          <w:bCs/>
          <w:lang w:eastAsia="en-US"/>
        </w:rPr>
        <w:t>et labo is Fluxys.</w:t>
      </w:r>
      <w:r w:rsidR="00E173D2">
        <w:rPr>
          <w:bCs/>
          <w:lang w:eastAsia="en-US"/>
        </w:rPr>
        <w:t xml:space="preserve"> </w:t>
      </w:r>
    </w:p>
    <w:p w:rsidR="00795FCB" w:rsidRDefault="00E173D2" w:rsidP="002A65FD">
      <w:pPr>
        <w:spacing w:before="165" w:after="165"/>
        <w:ind w:right="95"/>
        <w:jc w:val="both"/>
        <w:rPr>
          <w:bCs/>
          <w:lang w:eastAsia="en-US"/>
        </w:rPr>
      </w:pPr>
      <w:r>
        <w:rPr>
          <w:bCs/>
          <w:lang w:eastAsia="en-US"/>
        </w:rPr>
        <w:t xml:space="preserve">Aangezien het over extern uitgevoerde analyses gaat, hoeft de procedure onder 7(f) in tabblad </w:t>
      </w:r>
      <w:proofErr w:type="spellStart"/>
      <w:r>
        <w:rPr>
          <w:bCs/>
          <w:lang w:eastAsia="en-US"/>
        </w:rPr>
        <w:t>D_CalculationBasedApproaches</w:t>
      </w:r>
      <w:proofErr w:type="spellEnd"/>
      <w:r>
        <w:rPr>
          <w:bCs/>
          <w:lang w:eastAsia="en-US"/>
        </w:rPr>
        <w:t xml:space="preserve"> van het MP niet ingevuld te worden. Wat wel moet ingevuld worden, is de procedure over het beheer van uitbestede processen, onder 22(f) in tabblad </w:t>
      </w:r>
      <w:proofErr w:type="spellStart"/>
      <w:r>
        <w:rPr>
          <w:bCs/>
          <w:lang w:eastAsia="en-US"/>
        </w:rPr>
        <w:t>K_ManagementControl</w:t>
      </w:r>
      <w:proofErr w:type="spellEnd"/>
      <w:r w:rsidR="001A630A">
        <w:rPr>
          <w:bCs/>
          <w:lang w:eastAsia="en-US"/>
        </w:rPr>
        <w:t xml:space="preserve"> </w:t>
      </w:r>
      <w:r w:rsidR="001A630A" w:rsidRPr="001A630A">
        <w:rPr>
          <w:bCs/>
          <w:lang w:eastAsia="en-US"/>
        </w:rPr>
        <w:t xml:space="preserve">of de procedure voor het bijhouden van de instrumenten die in de installatie zijn geïnstalleerd voor het bepalen van activiteitsgegevens, onder 7(j) in tabblad </w:t>
      </w:r>
      <w:proofErr w:type="spellStart"/>
      <w:r w:rsidR="001A630A" w:rsidRPr="001A630A">
        <w:rPr>
          <w:bCs/>
          <w:lang w:eastAsia="en-US"/>
        </w:rPr>
        <w:t>D_CalculationBasedApproaches</w:t>
      </w:r>
      <w:proofErr w:type="spellEnd"/>
      <w:r>
        <w:rPr>
          <w:bCs/>
          <w:lang w:eastAsia="en-US"/>
        </w:rPr>
        <w:t>.</w:t>
      </w:r>
    </w:p>
    <w:p w:rsidR="002A65FD" w:rsidRDefault="002A65FD" w:rsidP="00804584">
      <w:pPr>
        <w:spacing w:before="165" w:after="165"/>
        <w:ind w:right="95"/>
        <w:jc w:val="both"/>
        <w:rPr>
          <w:bCs/>
          <w:lang w:eastAsia="en-US"/>
        </w:rPr>
      </w:pPr>
    </w:p>
    <w:p w:rsidR="00CF547A" w:rsidRPr="00CF547A" w:rsidRDefault="00CF547A" w:rsidP="00CF547A">
      <w:pPr>
        <w:pStyle w:val="Kop2"/>
        <w:numPr>
          <w:ilvl w:val="1"/>
          <w:numId w:val="5"/>
        </w:numPr>
        <w:spacing w:after="240"/>
        <w:jc w:val="both"/>
        <w:rPr>
          <w:rFonts w:ascii="Calibri" w:hAnsi="Calibri" w:cs="Calibri"/>
          <w:sz w:val="24"/>
          <w:szCs w:val="24"/>
          <w:lang w:val="nl-BE"/>
        </w:rPr>
      </w:pPr>
      <w:bookmarkStart w:id="11" w:name="_Toc73025970"/>
      <w:r>
        <w:rPr>
          <w:rFonts w:ascii="Calibri" w:hAnsi="Calibri" w:cs="Calibri"/>
          <w:sz w:val="24"/>
          <w:szCs w:val="24"/>
          <w:lang w:val="nl-BE"/>
        </w:rPr>
        <w:t>Voorbeeld van een correct ingevuld MP</w:t>
      </w:r>
      <w:r w:rsidR="00C92D21">
        <w:rPr>
          <w:rFonts w:ascii="Calibri" w:hAnsi="Calibri" w:cs="Calibri"/>
          <w:sz w:val="24"/>
          <w:szCs w:val="24"/>
          <w:lang w:val="nl-BE"/>
        </w:rPr>
        <w:t xml:space="preserve"> (tabblad </w:t>
      </w:r>
      <w:proofErr w:type="spellStart"/>
      <w:r w:rsidR="00C92D21">
        <w:rPr>
          <w:rFonts w:ascii="Calibri" w:hAnsi="Calibri" w:cs="Calibri"/>
          <w:sz w:val="24"/>
          <w:szCs w:val="24"/>
          <w:lang w:val="nl-BE"/>
        </w:rPr>
        <w:t>E_SourceStreams</w:t>
      </w:r>
      <w:proofErr w:type="spellEnd"/>
      <w:r w:rsidR="00C92D21">
        <w:rPr>
          <w:rFonts w:ascii="Calibri" w:hAnsi="Calibri" w:cs="Calibri"/>
          <w:sz w:val="24"/>
          <w:szCs w:val="24"/>
          <w:lang w:val="nl-BE"/>
        </w:rPr>
        <w:t>)</w:t>
      </w:r>
      <w:bookmarkEnd w:id="11"/>
    </w:p>
    <w:p w:rsidR="007A5231" w:rsidRPr="007A5231" w:rsidRDefault="0080593F" w:rsidP="000B6961">
      <w:pPr>
        <w:spacing w:before="165" w:after="165"/>
        <w:ind w:left="284" w:right="95"/>
        <w:jc w:val="both"/>
        <w:rPr>
          <w:b/>
          <w:bCs/>
          <w:iCs/>
          <w:sz w:val="24"/>
          <w:szCs w:val="24"/>
          <w:lang w:eastAsia="en-US"/>
        </w:rPr>
      </w:pPr>
      <w:r w:rsidRPr="0080593F">
        <w:rPr>
          <w:noProof/>
        </w:rPr>
        <w:drawing>
          <wp:inline distT="0" distB="0" distL="0" distR="0" wp14:anchorId="2DED37A1" wp14:editId="007BDCC1">
            <wp:extent cx="5731510" cy="421021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EDA" w:rsidRPr="00523EDA">
        <w:rPr>
          <w:b/>
          <w:bCs/>
          <w:i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0939C" wp14:editId="1EBB83B1">
                <wp:simplePos x="0" y="0"/>
                <wp:positionH relativeFrom="margin">
                  <wp:posOffset>4975860</wp:posOffset>
                </wp:positionH>
                <wp:positionV relativeFrom="paragraph">
                  <wp:posOffset>2030730</wp:posOffset>
                </wp:positionV>
                <wp:extent cx="312420" cy="152400"/>
                <wp:effectExtent l="19050" t="19050" r="11430" b="3810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2420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C02A" id="Arrow: Right 20" o:spid="_x0000_s1026" type="#_x0000_t13" style="position:absolute;margin-left:391.8pt;margin-top:159.9pt;width:24.6pt;height:1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" adj="16332" fillcolor="red" strokecolor="#2f528f" strokeweight="1pt">
                <w10:wrap anchorx="margin"/>
              </v:shape>
            </w:pict>
          </mc:Fallback>
        </mc:AlternateContent>
      </w:r>
      <w:r w:rsidR="00523EDA" w:rsidRPr="00523EDA">
        <w:rPr>
          <w:b/>
          <w:bCs/>
          <w:i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7EF3D" wp14:editId="1D61AF65">
                <wp:simplePos x="0" y="0"/>
                <wp:positionH relativeFrom="margin">
                  <wp:posOffset>3329940</wp:posOffset>
                </wp:positionH>
                <wp:positionV relativeFrom="paragraph">
                  <wp:posOffset>1139190</wp:posOffset>
                </wp:positionV>
                <wp:extent cx="312420" cy="152400"/>
                <wp:effectExtent l="19050" t="19050" r="11430" b="3810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2420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E210" id="Arrow: Right 21" o:spid="_x0000_s1026" type="#_x0000_t13" style="position:absolute;margin-left:262.2pt;margin-top:89.7pt;width:24.6pt;height:1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" adj="16332" fillcolor="red" strokecolor="#2f528f" strokeweight="1pt">
                <w10:wrap anchorx="margin"/>
              </v:shape>
            </w:pict>
          </mc:Fallback>
        </mc:AlternateContent>
      </w:r>
    </w:p>
    <w:p w:rsidR="007A5231" w:rsidRDefault="007A5231" w:rsidP="000B6961">
      <w:pPr>
        <w:ind w:right="95"/>
        <w:jc w:val="both"/>
      </w:pPr>
    </w:p>
    <w:p w:rsidR="00930211" w:rsidRDefault="00930211" w:rsidP="000B6961">
      <w:pPr>
        <w:ind w:right="95"/>
        <w:jc w:val="both"/>
      </w:pPr>
    </w:p>
    <w:p w:rsidR="001A630A" w:rsidRDefault="001A630A">
      <w:pPr>
        <w:spacing w:after="160" w:line="259" w:lineRule="auto"/>
        <w:rPr>
          <w:b/>
          <w:color w:val="2F5496" w:themeColor="accent1" w:themeShade="BF"/>
          <w:sz w:val="18"/>
          <w:szCs w:val="18"/>
        </w:rPr>
      </w:pPr>
      <w:r>
        <w:rPr>
          <w:b/>
          <w:color w:val="2F5496" w:themeColor="accent1" w:themeShade="BF"/>
          <w:sz w:val="18"/>
          <w:szCs w:val="18"/>
        </w:rPr>
        <w:br w:type="page"/>
      </w:r>
    </w:p>
    <w:p w:rsidR="00930211" w:rsidRPr="00930211" w:rsidRDefault="00930211" w:rsidP="000B6961">
      <w:pPr>
        <w:ind w:left="284" w:right="95"/>
        <w:jc w:val="both"/>
        <w:rPr>
          <w:b/>
          <w:color w:val="2F5496" w:themeColor="accent1" w:themeShade="BF"/>
          <w:sz w:val="18"/>
          <w:szCs w:val="18"/>
        </w:rPr>
      </w:pPr>
      <w:r w:rsidRPr="00930211">
        <w:rPr>
          <w:b/>
          <w:color w:val="2F5496" w:themeColor="accent1" w:themeShade="BF"/>
          <w:sz w:val="18"/>
          <w:szCs w:val="18"/>
        </w:rPr>
        <w:t>Berekeningsfactoren</w:t>
      </w:r>
      <w:r w:rsidR="003F0DDB">
        <w:rPr>
          <w:b/>
          <w:color w:val="2F5496" w:themeColor="accent1" w:themeShade="BF"/>
          <w:sz w:val="18"/>
          <w:szCs w:val="18"/>
        </w:rPr>
        <w:t>:</w:t>
      </w:r>
    </w:p>
    <w:p w:rsidR="00930211" w:rsidRDefault="00930211" w:rsidP="000B6961">
      <w:pPr>
        <w:ind w:left="284" w:right="95"/>
        <w:jc w:val="both"/>
      </w:pPr>
    </w:p>
    <w:p w:rsidR="00930211" w:rsidRDefault="00E0501C" w:rsidP="000B6961">
      <w:pPr>
        <w:ind w:left="284" w:right="95"/>
        <w:jc w:val="both"/>
      </w:pPr>
      <w:r w:rsidRPr="00E050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9288AD" wp14:editId="5B9221E9">
            <wp:extent cx="5731510" cy="219329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F9" w:rsidRDefault="00751EF9" w:rsidP="000B6961">
      <w:pPr>
        <w:ind w:left="284" w:right="95"/>
        <w:jc w:val="both"/>
      </w:pPr>
    </w:p>
    <w:p w:rsidR="00751EF9" w:rsidRDefault="00751EF9" w:rsidP="000B6961">
      <w:pPr>
        <w:ind w:left="284" w:right="95"/>
        <w:jc w:val="both"/>
      </w:pPr>
    </w:p>
    <w:p w:rsidR="00751EF9" w:rsidRDefault="002A65FD" w:rsidP="00804584">
      <w:pPr>
        <w:pStyle w:val="Kop1"/>
        <w:numPr>
          <w:ilvl w:val="0"/>
          <w:numId w:val="5"/>
        </w:numPr>
        <w:spacing w:after="240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</w:pPr>
      <w:bookmarkStart w:id="12" w:name="_Toc73025971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 xml:space="preserve">Verlaging van de toegepaste </w:t>
      </w:r>
      <w:r w:rsidR="008D01BA"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 xml:space="preserve">tier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 xml:space="preserve">voor activiteitsgegevens aardgas </w:t>
      </w:r>
      <w:r w:rsidR="00073037"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>(</w:t>
      </w:r>
      <w:r w:rsidR="00E34261"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 xml:space="preserve">enkel </w:t>
      </w:r>
      <w:r w:rsidR="00073037"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>voor installaties met geringe emissies)</w:t>
      </w:r>
      <w:bookmarkEnd w:id="12"/>
      <w:r w:rsidR="008D01BA">
        <w:rPr>
          <w:rFonts w:asciiTheme="minorHAnsi" w:hAnsiTheme="minorHAnsi" w:cstheme="minorHAnsi"/>
          <w:b/>
          <w:bCs/>
          <w:color w:val="auto"/>
          <w:sz w:val="28"/>
          <w:szCs w:val="28"/>
          <w:lang w:val="nl-BE"/>
        </w:rPr>
        <w:t xml:space="preserve"> </w:t>
      </w:r>
    </w:p>
    <w:p w:rsidR="00A00C75" w:rsidRDefault="008D01BA" w:rsidP="00E34261">
      <w:pPr>
        <w:pStyle w:val="Lijstalinea"/>
        <w:ind w:left="0"/>
        <w:jc w:val="both"/>
        <w:rPr>
          <w:lang w:eastAsia="en-US"/>
        </w:rPr>
      </w:pPr>
      <w:r>
        <w:rPr>
          <w:lang w:eastAsia="en-US"/>
        </w:rPr>
        <w:t xml:space="preserve">Indien </w:t>
      </w:r>
      <w:r w:rsidR="00A00C75">
        <w:rPr>
          <w:lang w:eastAsia="en-US"/>
        </w:rPr>
        <w:t>nu al geweten is dat in de loop van de periode 2021-2025</w:t>
      </w:r>
      <w:r w:rsidR="00E34261">
        <w:rPr>
          <w:lang w:eastAsia="en-US"/>
        </w:rPr>
        <w:t xml:space="preserve"> </w:t>
      </w:r>
      <w:r>
        <w:rPr>
          <w:lang w:eastAsia="en-US"/>
        </w:rPr>
        <w:t xml:space="preserve">de toegepaste tier lager </w:t>
      </w:r>
      <w:r w:rsidR="00A00C75">
        <w:rPr>
          <w:lang w:eastAsia="en-US"/>
        </w:rPr>
        <w:t xml:space="preserve">zal zijn </w:t>
      </w:r>
      <w:r>
        <w:rPr>
          <w:lang w:eastAsia="en-US"/>
        </w:rPr>
        <w:t>dan de huidige tier</w:t>
      </w:r>
      <w:r w:rsidR="00E34261">
        <w:rPr>
          <w:lang w:eastAsia="en-US"/>
        </w:rPr>
        <w:t>,</w:t>
      </w:r>
      <w:r>
        <w:rPr>
          <w:lang w:eastAsia="en-US"/>
        </w:rPr>
        <w:t xml:space="preserve"> </w:t>
      </w:r>
      <w:r w:rsidR="00E34261">
        <w:rPr>
          <w:lang w:eastAsia="en-US"/>
        </w:rPr>
        <w:t xml:space="preserve">wegens het niet periodiek kalibreren van de meetinstrumenten, </w:t>
      </w:r>
      <w:r w:rsidRPr="00804584">
        <w:rPr>
          <w:u w:val="single"/>
          <w:lang w:eastAsia="en-US"/>
        </w:rPr>
        <w:t>dan mag deze lagere tier meteen als t</w:t>
      </w:r>
      <w:r w:rsidR="00073037" w:rsidRPr="00804584">
        <w:rPr>
          <w:u w:val="single"/>
          <w:lang w:eastAsia="en-US"/>
        </w:rPr>
        <w:t>oe</w:t>
      </w:r>
      <w:r w:rsidRPr="00804584">
        <w:rPr>
          <w:u w:val="single"/>
          <w:lang w:eastAsia="en-US"/>
        </w:rPr>
        <w:t>gepaste tier ingevuld worden in het MP</w:t>
      </w:r>
      <w:r w:rsidR="00A00C75" w:rsidRPr="00804584">
        <w:rPr>
          <w:u w:val="single"/>
          <w:lang w:eastAsia="en-US"/>
        </w:rPr>
        <w:t xml:space="preserve"> onder twee voorwaarden</w:t>
      </w:r>
      <w:r w:rsidR="00A00C75">
        <w:rPr>
          <w:lang w:eastAsia="en-US"/>
        </w:rPr>
        <w:t>:</w:t>
      </w:r>
    </w:p>
    <w:p w:rsidR="002A65FD" w:rsidRDefault="002A65FD" w:rsidP="00E34261">
      <w:pPr>
        <w:pStyle w:val="Lijstalinea"/>
        <w:ind w:left="0"/>
        <w:jc w:val="both"/>
        <w:rPr>
          <w:lang w:eastAsia="en-US"/>
        </w:rPr>
      </w:pPr>
    </w:p>
    <w:p w:rsidR="00A00C75" w:rsidRDefault="00E34261" w:rsidP="00E34261">
      <w:pPr>
        <w:pStyle w:val="Lijstalinea"/>
        <w:numPr>
          <w:ilvl w:val="0"/>
          <w:numId w:val="15"/>
        </w:numPr>
        <w:ind w:left="360"/>
        <w:jc w:val="both"/>
        <w:rPr>
          <w:lang w:eastAsia="en-US"/>
        </w:rPr>
      </w:pPr>
      <w:r>
        <w:rPr>
          <w:lang w:eastAsia="en-US"/>
        </w:rPr>
        <w:t>d</w:t>
      </w:r>
      <w:r w:rsidR="00A00C75">
        <w:rPr>
          <w:lang w:eastAsia="en-US"/>
        </w:rPr>
        <w:t>e vereiste tier wordt nog steeds behaald;</w:t>
      </w:r>
    </w:p>
    <w:p w:rsidR="00A00C75" w:rsidRDefault="00E34261" w:rsidP="00E34261">
      <w:pPr>
        <w:pStyle w:val="Lijstalinea"/>
        <w:numPr>
          <w:ilvl w:val="0"/>
          <w:numId w:val="15"/>
        </w:numPr>
        <w:ind w:left="360"/>
        <w:jc w:val="both"/>
        <w:rPr>
          <w:lang w:eastAsia="en-US"/>
        </w:rPr>
      </w:pPr>
      <w:r>
        <w:rPr>
          <w:lang w:eastAsia="en-US"/>
        </w:rPr>
        <w:t>d</w:t>
      </w:r>
      <w:r w:rsidR="00A00C75">
        <w:rPr>
          <w:lang w:eastAsia="en-US"/>
        </w:rPr>
        <w:t>e monitoringmethode wijzigt niet.</w:t>
      </w:r>
    </w:p>
    <w:p w:rsidR="002A65FD" w:rsidRDefault="002A65FD" w:rsidP="00E34261">
      <w:pPr>
        <w:pStyle w:val="Lijstalinea"/>
        <w:ind w:left="0"/>
        <w:jc w:val="both"/>
        <w:rPr>
          <w:lang w:eastAsia="en-US"/>
        </w:rPr>
      </w:pPr>
    </w:p>
    <w:p w:rsidR="002A65FD" w:rsidRDefault="00E34261" w:rsidP="00E34261">
      <w:pPr>
        <w:pStyle w:val="Lijstalinea"/>
        <w:ind w:left="0"/>
        <w:jc w:val="both"/>
        <w:rPr>
          <w:lang w:eastAsia="en-US"/>
        </w:rPr>
      </w:pPr>
      <w:r>
        <w:rPr>
          <w:lang w:eastAsia="en-US"/>
        </w:rPr>
        <w:t>Op die manier</w:t>
      </w:r>
      <w:r w:rsidR="008D01BA">
        <w:rPr>
          <w:lang w:eastAsia="en-US"/>
        </w:rPr>
        <w:t xml:space="preserve"> hoeft dit </w:t>
      </w:r>
      <w:r w:rsidR="00A00C75">
        <w:rPr>
          <w:lang w:eastAsia="en-US"/>
        </w:rPr>
        <w:t xml:space="preserve">tijdens de periode 2021-2025 </w:t>
      </w:r>
      <w:r w:rsidR="008D01BA">
        <w:rPr>
          <w:lang w:eastAsia="en-US"/>
        </w:rPr>
        <w:t xml:space="preserve">niet </w:t>
      </w:r>
      <w:r w:rsidR="00073037">
        <w:rPr>
          <w:lang w:eastAsia="en-US"/>
        </w:rPr>
        <w:t xml:space="preserve">meer </w:t>
      </w:r>
      <w:r w:rsidR="008D01BA">
        <w:rPr>
          <w:lang w:eastAsia="en-US"/>
        </w:rPr>
        <w:t xml:space="preserve">aangepast </w:t>
      </w:r>
      <w:r w:rsidR="00073037">
        <w:rPr>
          <w:lang w:eastAsia="en-US"/>
        </w:rPr>
        <w:t xml:space="preserve">te </w:t>
      </w:r>
      <w:r w:rsidR="008D01BA">
        <w:rPr>
          <w:lang w:eastAsia="en-US"/>
        </w:rPr>
        <w:t>worden met een Significante Wijziging.</w:t>
      </w:r>
      <w:r>
        <w:rPr>
          <w:lang w:eastAsia="en-US"/>
        </w:rPr>
        <w:tab/>
      </w:r>
      <w:r w:rsidR="008D01BA">
        <w:rPr>
          <w:lang w:eastAsia="en-US"/>
        </w:rPr>
        <w:br/>
      </w:r>
    </w:p>
    <w:p w:rsidR="00751EF9" w:rsidRDefault="00073037" w:rsidP="00E34261">
      <w:pPr>
        <w:pStyle w:val="Lijstalinea"/>
        <w:ind w:left="0"/>
        <w:jc w:val="both"/>
      </w:pPr>
      <w:r>
        <w:rPr>
          <w:lang w:eastAsia="en-US"/>
        </w:rPr>
        <w:t>Opgelet: dit</w:t>
      </w:r>
      <w:r w:rsidR="008D01BA">
        <w:rPr>
          <w:lang w:eastAsia="en-US"/>
        </w:rPr>
        <w:t xml:space="preserve"> kan enkel toegepast worden door installaties met geringe emissies (&lt;25</w:t>
      </w:r>
      <w:r w:rsidR="00A00C75">
        <w:rPr>
          <w:lang w:eastAsia="en-US"/>
        </w:rPr>
        <w:t xml:space="preserve"> </w:t>
      </w:r>
      <w:proofErr w:type="spellStart"/>
      <w:r w:rsidR="008D01BA">
        <w:rPr>
          <w:lang w:eastAsia="en-US"/>
        </w:rPr>
        <w:t>kton</w:t>
      </w:r>
      <w:proofErr w:type="spellEnd"/>
      <w:r w:rsidR="008D01BA">
        <w:rPr>
          <w:lang w:eastAsia="en-US"/>
        </w:rPr>
        <w:t xml:space="preserve">) </w:t>
      </w:r>
      <w:r>
        <w:rPr>
          <w:lang w:eastAsia="en-US"/>
        </w:rPr>
        <w:t xml:space="preserve">aangezien een kalibratie voor deze exploitanten gezien wordt als een </w:t>
      </w:r>
      <w:r w:rsidR="00A608EC">
        <w:rPr>
          <w:lang w:eastAsia="en-US"/>
        </w:rPr>
        <w:t xml:space="preserve">bijkomende </w:t>
      </w:r>
      <w:r>
        <w:rPr>
          <w:lang w:eastAsia="en-US"/>
        </w:rPr>
        <w:t>inspanning.</w:t>
      </w:r>
      <w:r w:rsidR="008D01BA">
        <w:t xml:space="preserve"> </w:t>
      </w:r>
      <w:r w:rsidR="003A1D59">
        <w:t>Tier 1 blijft de minimaal vereiste tier</w:t>
      </w:r>
      <w:r w:rsidR="00A00C75">
        <w:t>.</w:t>
      </w:r>
    </w:p>
    <w:p w:rsidR="00073037" w:rsidRDefault="00073037" w:rsidP="00E34261">
      <w:pPr>
        <w:pStyle w:val="Lijstalinea"/>
        <w:ind w:left="0"/>
        <w:jc w:val="both"/>
        <w:rPr>
          <w:lang w:eastAsia="en-US"/>
        </w:rPr>
      </w:pPr>
    </w:p>
    <w:p w:rsidR="00073037" w:rsidRDefault="00073037" w:rsidP="00E34261">
      <w:pPr>
        <w:pStyle w:val="Lijstalinea"/>
        <w:ind w:left="0"/>
        <w:jc w:val="both"/>
        <w:rPr>
          <w:lang w:eastAsia="en-US"/>
        </w:rPr>
      </w:pPr>
      <w:r w:rsidRPr="00345E1C">
        <w:rPr>
          <w:u w:val="single"/>
          <w:lang w:eastAsia="en-US"/>
        </w:rPr>
        <w:t>Voorbeeld:</w:t>
      </w:r>
      <w:r>
        <w:rPr>
          <w:lang w:eastAsia="en-US"/>
        </w:rPr>
        <w:br/>
        <w:t xml:space="preserve">Een exploitant </w:t>
      </w:r>
      <w:r w:rsidR="00345E1C">
        <w:rPr>
          <w:lang w:eastAsia="en-US"/>
        </w:rPr>
        <w:t xml:space="preserve">van een installatie </w:t>
      </w:r>
      <w:r w:rsidR="003A1D59">
        <w:rPr>
          <w:lang w:eastAsia="en-US"/>
        </w:rPr>
        <w:t xml:space="preserve">met geringe emissies </w:t>
      </w:r>
      <w:r>
        <w:rPr>
          <w:lang w:eastAsia="en-US"/>
        </w:rPr>
        <w:t>gebruikt</w:t>
      </w:r>
      <w:r w:rsidR="00315126">
        <w:rPr>
          <w:lang w:eastAsia="en-US"/>
        </w:rPr>
        <w:t xml:space="preserve"> in 2021</w:t>
      </w:r>
      <w:r>
        <w:rPr>
          <w:lang w:eastAsia="en-US"/>
        </w:rPr>
        <w:t xml:space="preserve"> voor het aardgasverbruik een turbinemeter met een onzekerheid van 1% en een VHI met een onzekerheid van 1%. De totale onzekerheid voor de bronstroom aardgas bedraagt 1,41%; de toegepaste tier is 4.</w:t>
      </w:r>
      <w:r w:rsidR="00E34261">
        <w:rPr>
          <w:lang w:eastAsia="en-US"/>
        </w:rPr>
        <w:t xml:space="preserve"> Als</w:t>
      </w:r>
      <w:r>
        <w:rPr>
          <w:lang w:eastAsia="en-US"/>
        </w:rPr>
        <w:t xml:space="preserve"> in 2023 de vijfjaarlijkse kalibratie van de turbinemeter niet uitgevoerd wordt</w:t>
      </w:r>
      <w:r w:rsidR="00345E1C">
        <w:rPr>
          <w:lang w:eastAsia="en-US"/>
        </w:rPr>
        <w:t>,</w:t>
      </w:r>
      <w:r>
        <w:rPr>
          <w:lang w:eastAsia="en-US"/>
        </w:rPr>
        <w:t xml:space="preserve"> dan wordt de onzekerheid voor deze bronstroom 1,6% of tier 3.</w:t>
      </w:r>
      <w:r w:rsidR="00E34261">
        <w:rPr>
          <w:lang w:eastAsia="en-US"/>
        </w:rPr>
        <w:t xml:space="preserve"> </w:t>
      </w:r>
      <w:r>
        <w:rPr>
          <w:lang w:eastAsia="en-US"/>
        </w:rPr>
        <w:t>In het MP</w:t>
      </w:r>
      <w:r w:rsidR="003A1D59">
        <w:rPr>
          <w:lang w:eastAsia="en-US"/>
        </w:rPr>
        <w:t>21-25</w:t>
      </w:r>
      <w:r>
        <w:rPr>
          <w:lang w:eastAsia="en-US"/>
        </w:rPr>
        <w:t xml:space="preserve"> mag </w:t>
      </w:r>
      <w:r w:rsidR="00345E1C">
        <w:rPr>
          <w:lang w:eastAsia="en-US"/>
        </w:rPr>
        <w:t xml:space="preserve">in dit geval </w:t>
      </w:r>
      <w:r>
        <w:rPr>
          <w:lang w:eastAsia="en-US"/>
        </w:rPr>
        <w:t xml:space="preserve">meteen tier 3 als toegepaste tier ingevuld worden. </w:t>
      </w:r>
    </w:p>
    <w:p w:rsidR="002A65FD" w:rsidRDefault="002A65FD" w:rsidP="002A65FD">
      <w:pPr>
        <w:pStyle w:val="Kop1"/>
        <w:numPr>
          <w:ilvl w:val="0"/>
          <w:numId w:val="5"/>
        </w:numPr>
        <w:ind w:left="426" w:hanging="426"/>
        <w:rPr>
          <w:rFonts w:asciiTheme="minorHAnsi" w:hAnsiTheme="minorHAnsi" w:cstheme="minorBidi"/>
          <w:b/>
          <w:bCs/>
          <w:color w:val="auto"/>
          <w:sz w:val="28"/>
          <w:szCs w:val="28"/>
          <w:lang w:val="nl-BE"/>
        </w:rPr>
      </w:pPr>
      <w:bookmarkStart w:id="13" w:name="_Toc73025972"/>
      <w:r w:rsidRPr="23E2087A">
        <w:rPr>
          <w:rFonts w:asciiTheme="minorHAnsi" w:hAnsiTheme="minorHAnsi" w:cstheme="minorBidi"/>
          <w:b/>
          <w:bCs/>
          <w:color w:val="auto"/>
          <w:sz w:val="28"/>
          <w:szCs w:val="28"/>
          <w:lang w:val="nl-BE"/>
        </w:rPr>
        <w:t>Versiebeheer van deze toelichting</w:t>
      </w:r>
      <w:bookmarkEnd w:id="13"/>
    </w:p>
    <w:p w:rsidR="002A65FD" w:rsidRPr="00804584" w:rsidRDefault="002A65FD" w:rsidP="0080458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611"/>
      </w:tblGrid>
      <w:tr w:rsidR="002A65FD" w:rsidTr="00EC5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65FD" w:rsidRPr="0066724E" w:rsidRDefault="002A65FD" w:rsidP="00EC57A1">
            <w:pPr>
              <w:rPr>
                <w:rFonts w:cstheme="minorHAnsi"/>
                <w:b/>
                <w:bCs/>
              </w:rPr>
            </w:pPr>
            <w:r w:rsidRPr="0066724E">
              <w:rPr>
                <w:rFonts w:cstheme="minorHAnsi"/>
                <w:b/>
                <w:bCs/>
              </w:rPr>
              <w:t>Versie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65FD" w:rsidRPr="0066724E" w:rsidRDefault="002A65FD" w:rsidP="00EC57A1">
            <w:pPr>
              <w:rPr>
                <w:rFonts w:cstheme="minorHAnsi"/>
                <w:b/>
                <w:bCs/>
              </w:rPr>
            </w:pPr>
            <w:r w:rsidRPr="0066724E"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65FD" w:rsidRPr="0066724E" w:rsidRDefault="002A65FD" w:rsidP="00EC57A1">
            <w:pPr>
              <w:rPr>
                <w:rFonts w:cstheme="minorHAnsi"/>
                <w:b/>
                <w:bCs/>
              </w:rPr>
            </w:pPr>
            <w:r w:rsidRPr="0066724E">
              <w:rPr>
                <w:rFonts w:cstheme="minorHAnsi"/>
                <w:b/>
                <w:bCs/>
              </w:rPr>
              <w:t>Omschrijving</w:t>
            </w:r>
          </w:p>
        </w:tc>
      </w:tr>
      <w:tr w:rsidR="002A65FD" w:rsidTr="00EC5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FD" w:rsidRDefault="002A65FD" w:rsidP="00EC57A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FD" w:rsidRPr="00804584" w:rsidRDefault="002A65FD" w:rsidP="00EC57A1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26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  <w:lang w:val="nl-BE"/>
              </w:rPr>
              <w:t>Mei</w:t>
            </w:r>
            <w:r>
              <w:rPr>
                <w:rFonts w:cstheme="minorHAnsi"/>
              </w:rPr>
              <w:t>-2</w:t>
            </w:r>
            <w:r>
              <w:rPr>
                <w:rFonts w:cstheme="minorHAnsi"/>
                <w:lang w:val="nl-BE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FD" w:rsidRDefault="002A65FD" w:rsidP="00EC57A1">
            <w:pPr>
              <w:rPr>
                <w:rFonts w:cstheme="minorHAnsi"/>
              </w:rPr>
            </w:pPr>
            <w:r>
              <w:rPr>
                <w:rFonts w:cstheme="minorHAnsi"/>
              </w:rPr>
              <w:t>Initiële toelichting</w:t>
            </w:r>
          </w:p>
        </w:tc>
      </w:tr>
      <w:tr w:rsidR="00E0501C" w:rsidTr="00EC57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C" w:rsidRPr="00E0501C" w:rsidRDefault="00E0501C" w:rsidP="00EC57A1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C" w:rsidRPr="00E0501C" w:rsidRDefault="00E0501C" w:rsidP="00EC57A1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8-Dec-21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1C" w:rsidRPr="00E0501C" w:rsidRDefault="00E0501C" w:rsidP="00EC57A1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Toelichting over jaarlijkse publicatie emissiefactor aardgas voor installaties met beheer van de aardgasteller(s) door Fluvius</w:t>
            </w:r>
          </w:p>
        </w:tc>
      </w:tr>
    </w:tbl>
    <w:p w:rsidR="002A65FD" w:rsidRDefault="002A65FD" w:rsidP="00E34261">
      <w:pPr>
        <w:pStyle w:val="Lijstalinea"/>
        <w:ind w:left="0"/>
        <w:jc w:val="both"/>
        <w:rPr>
          <w:lang w:eastAsia="en-US"/>
        </w:rPr>
      </w:pPr>
    </w:p>
    <w:p w:rsidR="00BC34D5" w:rsidRPr="007A5231" w:rsidRDefault="00BC34D5" w:rsidP="00435DFC">
      <w:pPr>
        <w:pStyle w:val="Lijstalinea"/>
        <w:ind w:left="360"/>
        <w:jc w:val="both"/>
        <w:rPr>
          <w:lang w:eastAsia="en-US"/>
        </w:rPr>
      </w:pPr>
    </w:p>
    <w:sectPr w:rsidR="00BC34D5" w:rsidRPr="007A523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4C65" w:rsidRDefault="00F44C65" w:rsidP="00B61D54">
      <w:r>
        <w:separator/>
      </w:r>
    </w:p>
  </w:endnote>
  <w:endnote w:type="continuationSeparator" w:id="0">
    <w:p w:rsidR="00F44C65" w:rsidRDefault="00F44C65" w:rsidP="00B6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D06" w:rsidRDefault="003F3D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1D54" w:rsidRDefault="00B61D54">
    <w:pPr>
      <w:pStyle w:val="Voetteks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6A73B9">
      <w:rPr>
        <w:noProof/>
      </w:rPr>
      <w:fldChar w:fldCharType="begin"/>
    </w:r>
    <w:r w:rsidR="006A73B9">
      <w:rPr>
        <w:noProof/>
      </w:rPr>
      <w:instrText xml:space="preserve"> NUMPAGES   \* MERGEFORMAT </w:instrText>
    </w:r>
    <w:r w:rsidR="006A73B9">
      <w:rPr>
        <w:noProof/>
      </w:rPr>
      <w:fldChar w:fldCharType="separate"/>
    </w:r>
    <w:r>
      <w:rPr>
        <w:noProof/>
      </w:rPr>
      <w:t>5</w:t>
    </w:r>
    <w:r w:rsidR="006A73B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D06" w:rsidRDefault="003F3D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4C65" w:rsidRDefault="00F44C65" w:rsidP="00B61D54">
      <w:r>
        <w:separator/>
      </w:r>
    </w:p>
  </w:footnote>
  <w:footnote w:type="continuationSeparator" w:id="0">
    <w:p w:rsidR="00F44C65" w:rsidRDefault="00F44C65" w:rsidP="00B6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D06" w:rsidRDefault="003F3D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D06" w:rsidRDefault="003F3D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D06" w:rsidRDefault="003F3D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14457"/>
    <w:multiLevelType w:val="hybridMultilevel"/>
    <w:tmpl w:val="62CEE1A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2A0D"/>
    <w:multiLevelType w:val="hybridMultilevel"/>
    <w:tmpl w:val="F0EACE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7E18"/>
    <w:multiLevelType w:val="hybridMultilevel"/>
    <w:tmpl w:val="70E432CA"/>
    <w:lvl w:ilvl="0" w:tplc="08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00019">
      <w:start w:val="1"/>
      <w:numFmt w:val="lowerLetter"/>
      <w:lvlText w:val="%2."/>
      <w:lvlJc w:val="left"/>
      <w:pPr>
        <w:ind w:left="2352" w:hanging="360"/>
      </w:pPr>
    </w:lvl>
    <w:lvl w:ilvl="2" w:tplc="0C00001B">
      <w:start w:val="1"/>
      <w:numFmt w:val="lowerRoman"/>
      <w:lvlText w:val="%3."/>
      <w:lvlJc w:val="right"/>
      <w:pPr>
        <w:ind w:left="3072" w:hanging="180"/>
      </w:pPr>
    </w:lvl>
    <w:lvl w:ilvl="3" w:tplc="0C00000F">
      <w:start w:val="1"/>
      <w:numFmt w:val="decimal"/>
      <w:lvlText w:val="%4."/>
      <w:lvlJc w:val="left"/>
      <w:pPr>
        <w:ind w:left="3792" w:hanging="360"/>
      </w:pPr>
    </w:lvl>
    <w:lvl w:ilvl="4" w:tplc="0C000019">
      <w:start w:val="1"/>
      <w:numFmt w:val="lowerLetter"/>
      <w:lvlText w:val="%5."/>
      <w:lvlJc w:val="left"/>
      <w:pPr>
        <w:ind w:left="4512" w:hanging="360"/>
      </w:pPr>
    </w:lvl>
    <w:lvl w:ilvl="5" w:tplc="0C00001B">
      <w:start w:val="1"/>
      <w:numFmt w:val="lowerRoman"/>
      <w:lvlText w:val="%6."/>
      <w:lvlJc w:val="right"/>
      <w:pPr>
        <w:ind w:left="5232" w:hanging="180"/>
      </w:pPr>
    </w:lvl>
    <w:lvl w:ilvl="6" w:tplc="0C00000F">
      <w:start w:val="1"/>
      <w:numFmt w:val="decimal"/>
      <w:lvlText w:val="%7."/>
      <w:lvlJc w:val="left"/>
      <w:pPr>
        <w:ind w:left="5952" w:hanging="360"/>
      </w:pPr>
    </w:lvl>
    <w:lvl w:ilvl="7" w:tplc="0C000019">
      <w:start w:val="1"/>
      <w:numFmt w:val="lowerLetter"/>
      <w:lvlText w:val="%8."/>
      <w:lvlJc w:val="left"/>
      <w:pPr>
        <w:ind w:left="6672" w:hanging="360"/>
      </w:pPr>
    </w:lvl>
    <w:lvl w:ilvl="8" w:tplc="0C00001B">
      <w:start w:val="1"/>
      <w:numFmt w:val="lowerRoman"/>
      <w:lvlText w:val="%9."/>
      <w:lvlJc w:val="right"/>
      <w:pPr>
        <w:ind w:left="7392" w:hanging="180"/>
      </w:pPr>
    </w:lvl>
  </w:abstractNum>
  <w:abstractNum w:abstractNumId="3" w15:restartNumberingAfterBreak="0">
    <w:nsid w:val="2AB4775B"/>
    <w:multiLevelType w:val="hybridMultilevel"/>
    <w:tmpl w:val="3992F1B0"/>
    <w:lvl w:ilvl="0" w:tplc="17766EC0">
      <w:start w:val="1"/>
      <w:numFmt w:val="lowerLetter"/>
      <w:lvlText w:val="%1)"/>
      <w:lvlJc w:val="left"/>
      <w:pPr>
        <w:ind w:left="1778" w:hanging="360"/>
      </w:pPr>
    </w:lvl>
    <w:lvl w:ilvl="1" w:tplc="0C000019">
      <w:start w:val="1"/>
      <w:numFmt w:val="lowerLetter"/>
      <w:lvlText w:val="%2."/>
      <w:lvlJc w:val="left"/>
      <w:pPr>
        <w:ind w:left="2352" w:hanging="360"/>
      </w:pPr>
    </w:lvl>
    <w:lvl w:ilvl="2" w:tplc="0C00001B">
      <w:start w:val="1"/>
      <w:numFmt w:val="lowerRoman"/>
      <w:lvlText w:val="%3."/>
      <w:lvlJc w:val="right"/>
      <w:pPr>
        <w:ind w:left="3072" w:hanging="180"/>
      </w:pPr>
    </w:lvl>
    <w:lvl w:ilvl="3" w:tplc="0C00000F">
      <w:start w:val="1"/>
      <w:numFmt w:val="decimal"/>
      <w:lvlText w:val="%4."/>
      <w:lvlJc w:val="left"/>
      <w:pPr>
        <w:ind w:left="3792" w:hanging="360"/>
      </w:pPr>
    </w:lvl>
    <w:lvl w:ilvl="4" w:tplc="0C000019">
      <w:start w:val="1"/>
      <w:numFmt w:val="lowerLetter"/>
      <w:lvlText w:val="%5."/>
      <w:lvlJc w:val="left"/>
      <w:pPr>
        <w:ind w:left="4512" w:hanging="360"/>
      </w:pPr>
    </w:lvl>
    <w:lvl w:ilvl="5" w:tplc="0C00001B">
      <w:start w:val="1"/>
      <w:numFmt w:val="lowerRoman"/>
      <w:lvlText w:val="%6."/>
      <w:lvlJc w:val="right"/>
      <w:pPr>
        <w:ind w:left="5232" w:hanging="180"/>
      </w:pPr>
    </w:lvl>
    <w:lvl w:ilvl="6" w:tplc="0C00000F">
      <w:start w:val="1"/>
      <w:numFmt w:val="decimal"/>
      <w:lvlText w:val="%7."/>
      <w:lvlJc w:val="left"/>
      <w:pPr>
        <w:ind w:left="5952" w:hanging="360"/>
      </w:pPr>
    </w:lvl>
    <w:lvl w:ilvl="7" w:tplc="0C000019">
      <w:start w:val="1"/>
      <w:numFmt w:val="lowerLetter"/>
      <w:lvlText w:val="%8."/>
      <w:lvlJc w:val="left"/>
      <w:pPr>
        <w:ind w:left="6672" w:hanging="360"/>
      </w:pPr>
    </w:lvl>
    <w:lvl w:ilvl="8" w:tplc="0C00001B">
      <w:start w:val="1"/>
      <w:numFmt w:val="lowerRoman"/>
      <w:lvlText w:val="%9."/>
      <w:lvlJc w:val="right"/>
      <w:pPr>
        <w:ind w:left="7392" w:hanging="180"/>
      </w:pPr>
    </w:lvl>
  </w:abstractNum>
  <w:abstractNum w:abstractNumId="4" w15:restartNumberingAfterBreak="0">
    <w:nsid w:val="2D997274"/>
    <w:multiLevelType w:val="hybridMultilevel"/>
    <w:tmpl w:val="B1F45DC6"/>
    <w:lvl w:ilvl="0" w:tplc="08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00019">
      <w:start w:val="1"/>
      <w:numFmt w:val="lowerLetter"/>
      <w:lvlText w:val="%2."/>
      <w:lvlJc w:val="left"/>
      <w:pPr>
        <w:ind w:left="2498" w:hanging="360"/>
      </w:pPr>
    </w:lvl>
    <w:lvl w:ilvl="2" w:tplc="0C00001B">
      <w:start w:val="1"/>
      <w:numFmt w:val="lowerRoman"/>
      <w:lvlText w:val="%3."/>
      <w:lvlJc w:val="right"/>
      <w:pPr>
        <w:ind w:left="3218" w:hanging="180"/>
      </w:pPr>
    </w:lvl>
    <w:lvl w:ilvl="3" w:tplc="0C00000F">
      <w:start w:val="1"/>
      <w:numFmt w:val="decimal"/>
      <w:lvlText w:val="%4."/>
      <w:lvlJc w:val="left"/>
      <w:pPr>
        <w:ind w:left="3938" w:hanging="360"/>
      </w:pPr>
    </w:lvl>
    <w:lvl w:ilvl="4" w:tplc="0C000019">
      <w:start w:val="1"/>
      <w:numFmt w:val="lowerLetter"/>
      <w:lvlText w:val="%5."/>
      <w:lvlJc w:val="left"/>
      <w:pPr>
        <w:ind w:left="4658" w:hanging="360"/>
      </w:pPr>
    </w:lvl>
    <w:lvl w:ilvl="5" w:tplc="0C00001B">
      <w:start w:val="1"/>
      <w:numFmt w:val="lowerRoman"/>
      <w:lvlText w:val="%6."/>
      <w:lvlJc w:val="right"/>
      <w:pPr>
        <w:ind w:left="5378" w:hanging="180"/>
      </w:pPr>
    </w:lvl>
    <w:lvl w:ilvl="6" w:tplc="0C00000F">
      <w:start w:val="1"/>
      <w:numFmt w:val="decimal"/>
      <w:lvlText w:val="%7."/>
      <w:lvlJc w:val="left"/>
      <w:pPr>
        <w:ind w:left="6098" w:hanging="360"/>
      </w:pPr>
    </w:lvl>
    <w:lvl w:ilvl="7" w:tplc="0C000019">
      <w:start w:val="1"/>
      <w:numFmt w:val="lowerLetter"/>
      <w:lvlText w:val="%8."/>
      <w:lvlJc w:val="left"/>
      <w:pPr>
        <w:ind w:left="6818" w:hanging="360"/>
      </w:pPr>
    </w:lvl>
    <w:lvl w:ilvl="8" w:tplc="0C00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04B5F19"/>
    <w:multiLevelType w:val="hybridMultilevel"/>
    <w:tmpl w:val="F8DA682A"/>
    <w:lvl w:ilvl="0" w:tplc="08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00019">
      <w:start w:val="1"/>
      <w:numFmt w:val="lowerLetter"/>
      <w:lvlText w:val="%2."/>
      <w:lvlJc w:val="left"/>
      <w:pPr>
        <w:ind w:left="2352" w:hanging="360"/>
      </w:pPr>
    </w:lvl>
    <w:lvl w:ilvl="2" w:tplc="0C00001B">
      <w:start w:val="1"/>
      <w:numFmt w:val="lowerRoman"/>
      <w:lvlText w:val="%3."/>
      <w:lvlJc w:val="right"/>
      <w:pPr>
        <w:ind w:left="3072" w:hanging="180"/>
      </w:pPr>
    </w:lvl>
    <w:lvl w:ilvl="3" w:tplc="0C00000F">
      <w:start w:val="1"/>
      <w:numFmt w:val="decimal"/>
      <w:lvlText w:val="%4."/>
      <w:lvlJc w:val="left"/>
      <w:pPr>
        <w:ind w:left="3792" w:hanging="360"/>
      </w:pPr>
    </w:lvl>
    <w:lvl w:ilvl="4" w:tplc="0C000019">
      <w:start w:val="1"/>
      <w:numFmt w:val="lowerLetter"/>
      <w:lvlText w:val="%5."/>
      <w:lvlJc w:val="left"/>
      <w:pPr>
        <w:ind w:left="4512" w:hanging="360"/>
      </w:pPr>
    </w:lvl>
    <w:lvl w:ilvl="5" w:tplc="0C00001B">
      <w:start w:val="1"/>
      <w:numFmt w:val="lowerRoman"/>
      <w:lvlText w:val="%6."/>
      <w:lvlJc w:val="right"/>
      <w:pPr>
        <w:ind w:left="5232" w:hanging="180"/>
      </w:pPr>
    </w:lvl>
    <w:lvl w:ilvl="6" w:tplc="0C00000F">
      <w:start w:val="1"/>
      <w:numFmt w:val="decimal"/>
      <w:lvlText w:val="%7."/>
      <w:lvlJc w:val="left"/>
      <w:pPr>
        <w:ind w:left="5952" w:hanging="360"/>
      </w:pPr>
    </w:lvl>
    <w:lvl w:ilvl="7" w:tplc="0C000019">
      <w:start w:val="1"/>
      <w:numFmt w:val="lowerLetter"/>
      <w:lvlText w:val="%8."/>
      <w:lvlJc w:val="left"/>
      <w:pPr>
        <w:ind w:left="6672" w:hanging="360"/>
      </w:pPr>
    </w:lvl>
    <w:lvl w:ilvl="8" w:tplc="0C00001B">
      <w:start w:val="1"/>
      <w:numFmt w:val="lowerRoman"/>
      <w:lvlText w:val="%9."/>
      <w:lvlJc w:val="right"/>
      <w:pPr>
        <w:ind w:left="7392" w:hanging="180"/>
      </w:pPr>
    </w:lvl>
  </w:abstractNum>
  <w:abstractNum w:abstractNumId="6" w15:restartNumberingAfterBreak="0">
    <w:nsid w:val="43E56DE6"/>
    <w:multiLevelType w:val="hybridMultilevel"/>
    <w:tmpl w:val="3992F1B0"/>
    <w:lvl w:ilvl="0" w:tplc="17766EC0">
      <w:start w:val="1"/>
      <w:numFmt w:val="lowerLetter"/>
      <w:lvlText w:val="%1)"/>
      <w:lvlJc w:val="left"/>
      <w:pPr>
        <w:ind w:left="1778" w:hanging="360"/>
      </w:pPr>
    </w:lvl>
    <w:lvl w:ilvl="1" w:tplc="0C000019">
      <w:start w:val="1"/>
      <w:numFmt w:val="lowerLetter"/>
      <w:lvlText w:val="%2."/>
      <w:lvlJc w:val="left"/>
      <w:pPr>
        <w:ind w:left="2352" w:hanging="360"/>
      </w:pPr>
    </w:lvl>
    <w:lvl w:ilvl="2" w:tplc="0C00001B">
      <w:start w:val="1"/>
      <w:numFmt w:val="lowerRoman"/>
      <w:lvlText w:val="%3."/>
      <w:lvlJc w:val="right"/>
      <w:pPr>
        <w:ind w:left="3072" w:hanging="180"/>
      </w:pPr>
    </w:lvl>
    <w:lvl w:ilvl="3" w:tplc="0C00000F">
      <w:start w:val="1"/>
      <w:numFmt w:val="decimal"/>
      <w:lvlText w:val="%4."/>
      <w:lvlJc w:val="left"/>
      <w:pPr>
        <w:ind w:left="3792" w:hanging="360"/>
      </w:pPr>
    </w:lvl>
    <w:lvl w:ilvl="4" w:tplc="0C000019">
      <w:start w:val="1"/>
      <w:numFmt w:val="lowerLetter"/>
      <w:lvlText w:val="%5."/>
      <w:lvlJc w:val="left"/>
      <w:pPr>
        <w:ind w:left="4512" w:hanging="360"/>
      </w:pPr>
    </w:lvl>
    <w:lvl w:ilvl="5" w:tplc="0C00001B">
      <w:start w:val="1"/>
      <w:numFmt w:val="lowerRoman"/>
      <w:lvlText w:val="%6."/>
      <w:lvlJc w:val="right"/>
      <w:pPr>
        <w:ind w:left="5232" w:hanging="180"/>
      </w:pPr>
    </w:lvl>
    <w:lvl w:ilvl="6" w:tplc="0C00000F">
      <w:start w:val="1"/>
      <w:numFmt w:val="decimal"/>
      <w:lvlText w:val="%7."/>
      <w:lvlJc w:val="left"/>
      <w:pPr>
        <w:ind w:left="5952" w:hanging="360"/>
      </w:pPr>
    </w:lvl>
    <w:lvl w:ilvl="7" w:tplc="0C000019">
      <w:start w:val="1"/>
      <w:numFmt w:val="lowerLetter"/>
      <w:lvlText w:val="%8."/>
      <w:lvlJc w:val="left"/>
      <w:pPr>
        <w:ind w:left="6672" w:hanging="360"/>
      </w:pPr>
    </w:lvl>
    <w:lvl w:ilvl="8" w:tplc="0C00001B">
      <w:start w:val="1"/>
      <w:numFmt w:val="lowerRoman"/>
      <w:lvlText w:val="%9."/>
      <w:lvlJc w:val="right"/>
      <w:pPr>
        <w:ind w:left="7392" w:hanging="180"/>
      </w:pPr>
    </w:lvl>
  </w:abstractNum>
  <w:abstractNum w:abstractNumId="7" w15:restartNumberingAfterBreak="0">
    <w:nsid w:val="4A125450"/>
    <w:multiLevelType w:val="hybridMultilevel"/>
    <w:tmpl w:val="732CD0EC"/>
    <w:lvl w:ilvl="0" w:tplc="08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CB46B98"/>
    <w:multiLevelType w:val="multilevel"/>
    <w:tmpl w:val="2E76B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C853EF"/>
    <w:multiLevelType w:val="multilevel"/>
    <w:tmpl w:val="8A0A3F8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4C6AB8"/>
    <w:multiLevelType w:val="multilevel"/>
    <w:tmpl w:val="8A0A3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45DE3"/>
    <w:multiLevelType w:val="hybridMultilevel"/>
    <w:tmpl w:val="44C0CB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8358F"/>
    <w:multiLevelType w:val="multilevel"/>
    <w:tmpl w:val="8A0A3F8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31"/>
    <w:rsid w:val="00017B41"/>
    <w:rsid w:val="00073037"/>
    <w:rsid w:val="000768F2"/>
    <w:rsid w:val="0009621F"/>
    <w:rsid w:val="000A50AD"/>
    <w:rsid w:val="000B3EBA"/>
    <w:rsid w:val="000B6961"/>
    <w:rsid w:val="000D39D6"/>
    <w:rsid w:val="000F2227"/>
    <w:rsid w:val="001A2FFF"/>
    <w:rsid w:val="001A630A"/>
    <w:rsid w:val="001D4009"/>
    <w:rsid w:val="002110C0"/>
    <w:rsid w:val="002228EE"/>
    <w:rsid w:val="002271CA"/>
    <w:rsid w:val="00244DF4"/>
    <w:rsid w:val="00264A6E"/>
    <w:rsid w:val="00267183"/>
    <w:rsid w:val="00280E27"/>
    <w:rsid w:val="00286FDE"/>
    <w:rsid w:val="002A2F22"/>
    <w:rsid w:val="002A65FD"/>
    <w:rsid w:val="002F20D7"/>
    <w:rsid w:val="00315126"/>
    <w:rsid w:val="00330B6C"/>
    <w:rsid w:val="00345E1C"/>
    <w:rsid w:val="00353318"/>
    <w:rsid w:val="00357194"/>
    <w:rsid w:val="003A1D59"/>
    <w:rsid w:val="003D4750"/>
    <w:rsid w:val="003E323D"/>
    <w:rsid w:val="003F0DDB"/>
    <w:rsid w:val="003F1050"/>
    <w:rsid w:val="003F3D06"/>
    <w:rsid w:val="00435DFC"/>
    <w:rsid w:val="00445852"/>
    <w:rsid w:val="004A3E35"/>
    <w:rsid w:val="004E12BE"/>
    <w:rsid w:val="00503AEF"/>
    <w:rsid w:val="00523EDA"/>
    <w:rsid w:val="0054339B"/>
    <w:rsid w:val="00550BDB"/>
    <w:rsid w:val="00582459"/>
    <w:rsid w:val="005936CC"/>
    <w:rsid w:val="005F5F56"/>
    <w:rsid w:val="0062566B"/>
    <w:rsid w:val="006350F8"/>
    <w:rsid w:val="00636877"/>
    <w:rsid w:val="006A73B9"/>
    <w:rsid w:val="00722082"/>
    <w:rsid w:val="007421E3"/>
    <w:rsid w:val="00751EF9"/>
    <w:rsid w:val="00752DF0"/>
    <w:rsid w:val="00760756"/>
    <w:rsid w:val="00795FCB"/>
    <w:rsid w:val="007A5231"/>
    <w:rsid w:val="007D15D9"/>
    <w:rsid w:val="007F2953"/>
    <w:rsid w:val="00804584"/>
    <w:rsid w:val="0080593F"/>
    <w:rsid w:val="00814A0D"/>
    <w:rsid w:val="00877742"/>
    <w:rsid w:val="00885FE8"/>
    <w:rsid w:val="008D01BA"/>
    <w:rsid w:val="008F2B2B"/>
    <w:rsid w:val="00930211"/>
    <w:rsid w:val="00944868"/>
    <w:rsid w:val="00976EEF"/>
    <w:rsid w:val="00980FC9"/>
    <w:rsid w:val="009837C8"/>
    <w:rsid w:val="00987828"/>
    <w:rsid w:val="00991806"/>
    <w:rsid w:val="00A00C75"/>
    <w:rsid w:val="00A15C02"/>
    <w:rsid w:val="00A608EC"/>
    <w:rsid w:val="00AB5179"/>
    <w:rsid w:val="00AC0E17"/>
    <w:rsid w:val="00AE46F8"/>
    <w:rsid w:val="00AF1B59"/>
    <w:rsid w:val="00B06A83"/>
    <w:rsid w:val="00B26D5C"/>
    <w:rsid w:val="00B54A63"/>
    <w:rsid w:val="00B61D54"/>
    <w:rsid w:val="00B62F62"/>
    <w:rsid w:val="00BC34D5"/>
    <w:rsid w:val="00BD07A4"/>
    <w:rsid w:val="00BD33E3"/>
    <w:rsid w:val="00BE40A4"/>
    <w:rsid w:val="00C00216"/>
    <w:rsid w:val="00C55B84"/>
    <w:rsid w:val="00C73033"/>
    <w:rsid w:val="00C92D21"/>
    <w:rsid w:val="00CC4A15"/>
    <w:rsid w:val="00CE58AF"/>
    <w:rsid w:val="00CF547A"/>
    <w:rsid w:val="00E0501C"/>
    <w:rsid w:val="00E173D2"/>
    <w:rsid w:val="00E34261"/>
    <w:rsid w:val="00E5313E"/>
    <w:rsid w:val="00EB60D9"/>
    <w:rsid w:val="00EE429C"/>
    <w:rsid w:val="00EF7539"/>
    <w:rsid w:val="00F17989"/>
    <w:rsid w:val="00F32AF3"/>
    <w:rsid w:val="00F44C65"/>
    <w:rsid w:val="00FA4153"/>
    <w:rsid w:val="00FD6770"/>
    <w:rsid w:val="00FE25BA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87356"/>
  <w15:chartTrackingRefBased/>
  <w15:docId w15:val="{1439EC46-6184-4882-BD77-6DDA6BB9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231"/>
    <w:pPr>
      <w:spacing w:after="0" w:line="240" w:lineRule="auto"/>
    </w:pPr>
    <w:rPr>
      <w:rFonts w:ascii="Calibri" w:hAnsi="Calibri" w:cs="Calibri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D47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x-non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68F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x-non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5231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0D39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39D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7989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61D5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1D54"/>
    <w:rPr>
      <w:rFonts w:ascii="Calibri" w:hAnsi="Calibri" w:cs="Calibri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B61D5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1D54"/>
    <w:rPr>
      <w:rFonts w:ascii="Calibri" w:hAnsi="Calibri" w:cs="Calibri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73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73B9"/>
    <w:rPr>
      <w:rFonts w:ascii="Segoe UI" w:hAnsi="Segoe UI" w:cs="Segoe UI"/>
      <w:sz w:val="18"/>
      <w:szCs w:val="18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3D4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x-non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3D4750"/>
    <w:rPr>
      <w:rFonts w:asciiTheme="majorHAnsi" w:eastAsiaTheme="majorEastAsia" w:hAnsiTheme="majorHAnsi" w:cstheme="majorBidi"/>
      <w:spacing w:val="-10"/>
      <w:kern w:val="28"/>
      <w:sz w:val="56"/>
      <w:szCs w:val="56"/>
      <w:lang w:val="x-none"/>
    </w:rPr>
  </w:style>
  <w:style w:type="character" w:customStyle="1" w:styleId="Kop1Char">
    <w:name w:val="Kop 1 Char"/>
    <w:basedOn w:val="Standaardalinea-lettertype"/>
    <w:link w:val="Kop1"/>
    <w:uiPriority w:val="9"/>
    <w:rsid w:val="003D47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x-none"/>
    </w:rPr>
  </w:style>
  <w:style w:type="character" w:customStyle="1" w:styleId="Kop2Char">
    <w:name w:val="Kop 2 Char"/>
    <w:basedOn w:val="Standaardalinea-lettertype"/>
    <w:link w:val="Kop2"/>
    <w:uiPriority w:val="9"/>
    <w:rsid w:val="000768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x-non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F0DDB"/>
    <w:pPr>
      <w:outlineLvl w:val="9"/>
    </w:pPr>
    <w:rPr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3F0DD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F0DDB"/>
    <w:pPr>
      <w:spacing w:after="100"/>
      <w:ind w:left="2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173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73D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73D2"/>
    <w:rPr>
      <w:rFonts w:ascii="Calibri" w:hAnsi="Calibri" w:cs="Calibri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73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73D2"/>
    <w:rPr>
      <w:rFonts w:ascii="Calibri" w:hAnsi="Calibri" w:cs="Calibri"/>
      <w:b/>
      <w:bCs/>
      <w:sz w:val="20"/>
      <w:szCs w:val="20"/>
      <w:lang w:eastAsia="nl-BE"/>
    </w:rPr>
  </w:style>
  <w:style w:type="paragraph" w:customStyle="1" w:styleId="Documenttype">
    <w:name w:val="Document type"/>
    <w:basedOn w:val="Standaard"/>
    <w:link w:val="DocumenttypeChar"/>
    <w:qFormat/>
    <w:rsid w:val="00BC34D5"/>
    <w:pPr>
      <w:tabs>
        <w:tab w:val="right" w:pos="9921"/>
      </w:tabs>
      <w:spacing w:after="360" w:line="280" w:lineRule="exact"/>
      <w:contextualSpacing/>
      <w:jc w:val="right"/>
    </w:pPr>
    <w:rPr>
      <w:rFonts w:cstheme="minorBidi"/>
      <w:color w:val="000000"/>
      <w:sz w:val="32"/>
      <w:lang w:eastAsia="en-US"/>
    </w:rPr>
  </w:style>
  <w:style w:type="character" w:customStyle="1" w:styleId="DocumenttypeChar">
    <w:name w:val="Document type Char"/>
    <w:basedOn w:val="Standaardalinea-lettertype"/>
    <w:link w:val="Documenttype"/>
    <w:rsid w:val="00BC34D5"/>
    <w:rPr>
      <w:rFonts w:ascii="Calibri" w:hAnsi="Calibri"/>
      <w:color w:val="000000"/>
      <w:sz w:val="32"/>
    </w:rPr>
  </w:style>
  <w:style w:type="table" w:styleId="Tabelraster">
    <w:name w:val="Table Grid"/>
    <w:basedOn w:val="Standaardtabel"/>
    <w:uiPriority w:val="59"/>
    <w:rsid w:val="002A65FD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dexis.be/nl/cbw_waarden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A81E2001A38439949C95D78A39751" ma:contentTypeVersion="9" ma:contentTypeDescription="Een nieuw document maken." ma:contentTypeScope="" ma:versionID="b04b3c9c03a6da777cab1ee8a3def49c">
  <xsd:schema xmlns:xsd="http://www.w3.org/2001/XMLSchema" xmlns:xs="http://www.w3.org/2001/XMLSchema" xmlns:p="http://schemas.microsoft.com/office/2006/metadata/properties" xmlns:ns3="d92e5f24-a32e-4052-bb71-1c8534641071" targetNamespace="http://schemas.microsoft.com/office/2006/metadata/properties" ma:root="true" ma:fieldsID="022b38be6e440e78e57631c45948eb53" ns3:_="">
    <xsd:import namespace="d92e5f24-a32e-4052-bb71-1c85346410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e5f24-a32e-4052-bb71-1c853464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3E2AB-8032-457B-8304-C841F9648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55D73-02F3-4656-82DB-4F9EBFC77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8D30D-52D2-4718-8281-885BE5FD37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F2133A-77F7-431C-92BE-27CCD844B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e5f24-a32e-4052-bb71-1c8534641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1888</Words>
  <Characters>10384</Characters>
  <Application>Microsoft Office Word</Application>
  <DocSecurity>0</DocSecurity>
  <Lines>86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VITO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Reunes Geert</dc:creator>
  <cp:keywords/>
  <dc:description/>
  <cp:lastModifiedBy>Velghe Tomas</cp:lastModifiedBy>
  <cp:revision>1</cp:revision>
  <dcterms:created xsi:type="dcterms:W3CDTF">2021-12-20T10:37:00Z</dcterms:created>
  <dcterms:modified xsi:type="dcterms:W3CDTF">2021-12-20T10:37:00Z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0x01010093AA81E2001A38439949C95D78A39751</vt:lpwstr>
  </property>
</Properties>
</file>