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2CCFC" w14:textId="358031C4" w:rsidR="00674317" w:rsidRDefault="00CC219A" w:rsidP="00CC219A">
      <w:pPr>
        <w:pStyle w:val="Kop1"/>
        <w:numPr>
          <w:ilvl w:val="0"/>
          <w:numId w:val="0"/>
        </w:numPr>
        <w:tabs>
          <w:tab w:val="clear" w:pos="3686"/>
        </w:tabs>
        <w:spacing w:before="240" w:after="0" w:line="259" w:lineRule="auto"/>
        <w:ind w:left="432" w:hanging="432"/>
        <w:contextualSpacing w:val="0"/>
        <w:jc w:val="center"/>
        <w:rPr>
          <w:rFonts w:ascii="Calibri" w:hAnsi="Calibri" w:cs="Calibri"/>
        </w:rPr>
      </w:pPr>
      <w:r>
        <w:rPr>
          <w:rFonts w:ascii="Calibri" w:hAnsi="Calibri" w:cs="Calibri"/>
        </w:rPr>
        <w:t>Overzicht EU wetgeving en richtsnoeren inzake de toewijzingsregels 2021-2030</w:t>
      </w:r>
    </w:p>
    <w:p w14:paraId="38DEA634" w14:textId="5A6229D3" w:rsidR="00674317" w:rsidRDefault="00674317" w:rsidP="00674317"/>
    <w:p w14:paraId="02EB7061" w14:textId="697FAA14" w:rsidR="009C2755" w:rsidRDefault="009C2755" w:rsidP="00674317">
      <w:r>
        <w:t>Datum laatste wijziging: 17/02/2022</w:t>
      </w:r>
    </w:p>
    <w:p w14:paraId="61ACB57A" w14:textId="77777777" w:rsidR="00943490" w:rsidRDefault="00943490" w:rsidP="00674317"/>
    <w:p w14:paraId="7332DFB7" w14:textId="77777777" w:rsidR="00CC219A" w:rsidRDefault="00CC219A" w:rsidP="00674317"/>
    <w:p w14:paraId="5BB75B37" w14:textId="28788322" w:rsidR="00CC219A" w:rsidRPr="00CC219A" w:rsidRDefault="00CC219A" w:rsidP="00674317">
      <w:pPr>
        <w:rPr>
          <w:b/>
          <w:bCs/>
        </w:rPr>
      </w:pPr>
      <w:r>
        <w:rPr>
          <w:b/>
          <w:bCs/>
        </w:rPr>
        <w:t>Wetgeving</w:t>
      </w:r>
    </w:p>
    <w:p w14:paraId="509AFDBE" w14:textId="030F91FE" w:rsidR="00674317" w:rsidRDefault="00674317" w:rsidP="00674317">
      <w:r>
        <w:t xml:space="preserve">De Europese regels inzake de toewijzingen voor 2021-2030 zijn uitgewerkt in </w:t>
      </w:r>
      <w:r w:rsidR="00944A1B">
        <w:t>de volgende</w:t>
      </w:r>
      <w:r>
        <w:t xml:space="preserve"> wetgeving:</w:t>
      </w:r>
    </w:p>
    <w:p w14:paraId="65054E98" w14:textId="77777777" w:rsidR="00674317" w:rsidRDefault="00674317" w:rsidP="00674317"/>
    <w:p w14:paraId="17A4FEA1" w14:textId="77777777" w:rsidR="00674317" w:rsidRDefault="00674317" w:rsidP="00674317">
      <w:pPr>
        <w:pStyle w:val="Lijstalinea"/>
        <w:numPr>
          <w:ilvl w:val="0"/>
          <w:numId w:val="3"/>
        </w:numPr>
      </w:pPr>
      <w:r w:rsidRPr="00220364">
        <w:t xml:space="preserve">De </w:t>
      </w:r>
      <w:hyperlink r:id="rId9" w:history="1">
        <w:r w:rsidRPr="00220364">
          <w:rPr>
            <w:rStyle w:val="Hyperlink"/>
          </w:rPr>
          <w:t xml:space="preserve">Free </w:t>
        </w:r>
        <w:proofErr w:type="spellStart"/>
        <w:r w:rsidRPr="00220364">
          <w:rPr>
            <w:rStyle w:val="Hyperlink"/>
          </w:rPr>
          <w:t>Allocation</w:t>
        </w:r>
        <w:proofErr w:type="spellEnd"/>
        <w:r w:rsidRPr="00220364">
          <w:rPr>
            <w:rStyle w:val="Hyperlink"/>
          </w:rPr>
          <w:t xml:space="preserve"> </w:t>
        </w:r>
        <w:proofErr w:type="spellStart"/>
        <w:r w:rsidRPr="00220364">
          <w:rPr>
            <w:rStyle w:val="Hyperlink"/>
          </w:rPr>
          <w:t>Regulation</w:t>
        </w:r>
        <w:proofErr w:type="spellEnd"/>
      </w:hyperlink>
      <w:r w:rsidRPr="00220364">
        <w:t xml:space="preserve"> (of FAR): deze legt de algemene toewij</w:t>
      </w:r>
      <w:r>
        <w:t>zingsregels vast;</w:t>
      </w:r>
    </w:p>
    <w:p w14:paraId="2FC91F0F" w14:textId="77777777" w:rsidR="00674317" w:rsidRDefault="00674317" w:rsidP="00674317">
      <w:pPr>
        <w:pStyle w:val="Lijstalinea"/>
        <w:numPr>
          <w:ilvl w:val="0"/>
          <w:numId w:val="3"/>
        </w:numPr>
      </w:pPr>
      <w:r w:rsidRPr="00220364">
        <w:t xml:space="preserve">De </w:t>
      </w:r>
      <w:hyperlink r:id="rId10" w:history="1">
        <w:r w:rsidRPr="00220364">
          <w:rPr>
            <w:rStyle w:val="Hyperlink"/>
          </w:rPr>
          <w:t xml:space="preserve">Activity Level Change </w:t>
        </w:r>
        <w:proofErr w:type="spellStart"/>
        <w:r w:rsidRPr="00220364">
          <w:rPr>
            <w:rStyle w:val="Hyperlink"/>
          </w:rPr>
          <w:t>Regulation</w:t>
        </w:r>
        <w:proofErr w:type="spellEnd"/>
      </w:hyperlink>
      <w:r w:rsidRPr="00220364">
        <w:t xml:space="preserve"> (of ALC </w:t>
      </w:r>
      <w:proofErr w:type="spellStart"/>
      <w:r w:rsidRPr="00220364">
        <w:t>Regulation</w:t>
      </w:r>
      <w:proofErr w:type="spellEnd"/>
      <w:r w:rsidRPr="00220364">
        <w:t>): deze bepaalt hoe de toewijzin</w:t>
      </w:r>
      <w:r>
        <w:t>g moet worden aangepast in geval van wijzigingen in het activiteitsniveau.</w:t>
      </w:r>
    </w:p>
    <w:p w14:paraId="4FE26B5F" w14:textId="21377E58" w:rsidR="00674317" w:rsidRDefault="00DF64CB" w:rsidP="00944A1B">
      <w:pPr>
        <w:pStyle w:val="Lijstalinea"/>
        <w:numPr>
          <w:ilvl w:val="0"/>
          <w:numId w:val="3"/>
        </w:numPr>
      </w:pPr>
      <w:r>
        <w:t xml:space="preserve">De geactualiseerde benchmarkwaardes voor </w:t>
      </w:r>
      <w:r w:rsidR="00166E6B">
        <w:t xml:space="preserve">2021-2025 </w:t>
      </w:r>
      <w:r w:rsidR="00944A1B">
        <w:t xml:space="preserve">zijn </w:t>
      </w:r>
      <w:hyperlink r:id="rId11" w:history="1">
        <w:r w:rsidR="00944A1B" w:rsidRPr="00944A1B">
          <w:rPr>
            <w:rStyle w:val="Hyperlink"/>
          </w:rPr>
          <w:t>h</w:t>
        </w:r>
        <w:r w:rsidR="00944A1B" w:rsidRPr="00944A1B">
          <w:rPr>
            <w:rStyle w:val="Hyperlink"/>
          </w:rPr>
          <w:t>i</w:t>
        </w:r>
        <w:r w:rsidR="00944A1B" w:rsidRPr="00944A1B">
          <w:rPr>
            <w:rStyle w:val="Hyperlink"/>
          </w:rPr>
          <w:t>er</w:t>
        </w:r>
      </w:hyperlink>
      <w:r w:rsidR="00944A1B">
        <w:t xml:space="preserve"> te vinden.</w:t>
      </w:r>
    </w:p>
    <w:p w14:paraId="10A5FA34" w14:textId="77777777" w:rsidR="00944A1B" w:rsidRDefault="00944A1B" w:rsidP="00944A1B">
      <w:pPr>
        <w:pStyle w:val="Lijstalinea"/>
        <w:ind w:left="720"/>
      </w:pPr>
    </w:p>
    <w:p w14:paraId="116E8CF1" w14:textId="0F8DD8FD" w:rsidR="00CC219A" w:rsidRPr="00CC219A" w:rsidRDefault="00CC219A" w:rsidP="00674317">
      <w:pPr>
        <w:rPr>
          <w:b/>
          <w:bCs/>
        </w:rPr>
      </w:pPr>
      <w:proofErr w:type="spellStart"/>
      <w:r>
        <w:rPr>
          <w:b/>
          <w:bCs/>
        </w:rPr>
        <w:t>Guidance</w:t>
      </w:r>
      <w:proofErr w:type="spellEnd"/>
      <w:r>
        <w:rPr>
          <w:b/>
          <w:bCs/>
        </w:rPr>
        <w:t xml:space="preserve"> documenten</w:t>
      </w:r>
    </w:p>
    <w:p w14:paraId="3C3E0337" w14:textId="42D2CE39" w:rsidR="00674317" w:rsidRDefault="00674317" w:rsidP="00674317">
      <w:r>
        <w:t xml:space="preserve">Ter verduidelijking van de toewijzingsregels heeft de Europese Commissie ook nog een aantal </w:t>
      </w:r>
      <w:proofErr w:type="spellStart"/>
      <w:r>
        <w:t>Guidance</w:t>
      </w:r>
      <w:proofErr w:type="spellEnd"/>
      <w:r>
        <w:t xml:space="preserve"> </w:t>
      </w:r>
      <w:r w:rsidR="00CC219A">
        <w:t>d</w:t>
      </w:r>
      <w:r>
        <w:t>ocumenten opgesteld:</w:t>
      </w:r>
    </w:p>
    <w:p w14:paraId="320E1771" w14:textId="77777777" w:rsidR="00674317" w:rsidRDefault="00674317" w:rsidP="00674317"/>
    <w:p w14:paraId="61A6284F" w14:textId="46446F4E" w:rsidR="00674317" w:rsidRDefault="00943490" w:rsidP="00674317">
      <w:pPr>
        <w:pStyle w:val="Lijstalinea"/>
        <w:numPr>
          <w:ilvl w:val="0"/>
          <w:numId w:val="4"/>
        </w:numPr>
        <w:tabs>
          <w:tab w:val="clear" w:pos="3686"/>
        </w:tabs>
        <w:spacing w:after="160" w:line="259" w:lineRule="auto"/>
      </w:pPr>
      <w:hyperlink r:id="rId12" w:history="1">
        <w:proofErr w:type="spellStart"/>
        <w:r w:rsidR="00674317" w:rsidRPr="00CB71F4">
          <w:rPr>
            <w:rStyle w:val="Hyperlink"/>
          </w:rPr>
          <w:t>Guidance</w:t>
        </w:r>
        <w:proofErr w:type="spellEnd"/>
        <w:r w:rsidR="00674317" w:rsidRPr="00CB71F4">
          <w:rPr>
            <w:rStyle w:val="Hyperlink"/>
          </w:rPr>
          <w:t xml:space="preserve"> document 1</w:t>
        </w:r>
      </w:hyperlink>
      <w:r w:rsidR="00674317">
        <w:t xml:space="preserve"> geeft een eerste overzicht van hoe de toewijzing voor de periode 2021-2030 bepaald zal worden;</w:t>
      </w:r>
    </w:p>
    <w:p w14:paraId="3E654BDF" w14:textId="292D12EA" w:rsidR="00674317" w:rsidRDefault="00943490" w:rsidP="00674317">
      <w:pPr>
        <w:pStyle w:val="Lijstalinea"/>
        <w:numPr>
          <w:ilvl w:val="0"/>
          <w:numId w:val="4"/>
        </w:numPr>
        <w:tabs>
          <w:tab w:val="clear" w:pos="3686"/>
        </w:tabs>
        <w:spacing w:after="160" w:line="259" w:lineRule="auto"/>
      </w:pPr>
      <w:hyperlink r:id="rId13" w:history="1">
        <w:proofErr w:type="spellStart"/>
        <w:r w:rsidR="00674317" w:rsidRPr="00CB71F4">
          <w:rPr>
            <w:rStyle w:val="Hyperlink"/>
          </w:rPr>
          <w:t>Guidance</w:t>
        </w:r>
        <w:proofErr w:type="spellEnd"/>
        <w:r w:rsidR="00674317" w:rsidRPr="00CB71F4">
          <w:rPr>
            <w:rStyle w:val="Hyperlink"/>
          </w:rPr>
          <w:t xml:space="preserve"> document 2</w:t>
        </w:r>
      </w:hyperlink>
      <w:r w:rsidR="00674317">
        <w:t xml:space="preserve"> licht toe hoe een installatie moet opgesplitst worden in sub-installaties, en hoe de activiteitsniveaus bepaald moeten worden;</w:t>
      </w:r>
    </w:p>
    <w:p w14:paraId="4F1C7670" w14:textId="44011547" w:rsidR="00674317" w:rsidRDefault="00943490" w:rsidP="00674317">
      <w:pPr>
        <w:pStyle w:val="Lijstalinea"/>
        <w:numPr>
          <w:ilvl w:val="0"/>
          <w:numId w:val="4"/>
        </w:numPr>
        <w:tabs>
          <w:tab w:val="clear" w:pos="3686"/>
        </w:tabs>
        <w:spacing w:after="160" w:line="259" w:lineRule="auto"/>
      </w:pPr>
      <w:hyperlink r:id="rId14" w:history="1">
        <w:proofErr w:type="spellStart"/>
        <w:r w:rsidR="00674317" w:rsidRPr="00CB71F4">
          <w:rPr>
            <w:rStyle w:val="Hyperlink"/>
          </w:rPr>
          <w:t>Guidance</w:t>
        </w:r>
        <w:proofErr w:type="spellEnd"/>
        <w:r w:rsidR="00674317" w:rsidRPr="00CB71F4">
          <w:rPr>
            <w:rStyle w:val="Hyperlink"/>
          </w:rPr>
          <w:t xml:space="preserve"> document 3</w:t>
        </w:r>
      </w:hyperlink>
      <w:r w:rsidR="00674317">
        <w:t xml:space="preserve"> licht stap voor stap toe hoe het baseline rapport moet ingevuld worden;</w:t>
      </w:r>
    </w:p>
    <w:p w14:paraId="11F88B05" w14:textId="4AE1A851" w:rsidR="00674317" w:rsidRDefault="00943490" w:rsidP="00674317">
      <w:pPr>
        <w:pStyle w:val="Lijstalinea"/>
        <w:numPr>
          <w:ilvl w:val="0"/>
          <w:numId w:val="4"/>
        </w:numPr>
        <w:tabs>
          <w:tab w:val="clear" w:pos="3686"/>
        </w:tabs>
        <w:spacing w:after="160" w:line="259" w:lineRule="auto"/>
      </w:pPr>
      <w:hyperlink r:id="rId15" w:history="1">
        <w:proofErr w:type="spellStart"/>
        <w:r w:rsidR="00674317" w:rsidRPr="00CB71F4">
          <w:rPr>
            <w:rStyle w:val="Hyperlink"/>
          </w:rPr>
          <w:t>Guidance</w:t>
        </w:r>
        <w:proofErr w:type="spellEnd"/>
        <w:r w:rsidR="00674317" w:rsidRPr="00CB71F4">
          <w:rPr>
            <w:rStyle w:val="Hyperlink"/>
          </w:rPr>
          <w:t xml:space="preserve"> document 4</w:t>
        </w:r>
      </w:hyperlink>
      <w:r w:rsidR="00674317">
        <w:t xml:space="preserve"> gaat dieper in op de verificatie van het baseline rapport;</w:t>
      </w:r>
    </w:p>
    <w:p w14:paraId="06F9FA9D" w14:textId="385A53E2" w:rsidR="00674317" w:rsidRDefault="00943490" w:rsidP="00674317">
      <w:pPr>
        <w:pStyle w:val="Lijstalinea"/>
        <w:numPr>
          <w:ilvl w:val="0"/>
          <w:numId w:val="4"/>
        </w:numPr>
        <w:tabs>
          <w:tab w:val="clear" w:pos="3686"/>
        </w:tabs>
        <w:spacing w:after="160" w:line="259" w:lineRule="auto"/>
      </w:pPr>
      <w:hyperlink r:id="rId16" w:history="1">
        <w:proofErr w:type="spellStart"/>
        <w:r w:rsidR="00674317" w:rsidRPr="00CB71F4">
          <w:rPr>
            <w:rStyle w:val="Hyperlink"/>
          </w:rPr>
          <w:t>Guidance</w:t>
        </w:r>
        <w:proofErr w:type="spellEnd"/>
        <w:r w:rsidR="00674317" w:rsidRPr="00CB71F4">
          <w:rPr>
            <w:rStyle w:val="Hyperlink"/>
          </w:rPr>
          <w:t xml:space="preserve"> document 5</w:t>
        </w:r>
      </w:hyperlink>
      <w:r w:rsidR="00674317">
        <w:t xml:space="preserve"> licht de belangrijkste monitoringregels voor de datacollectie toe, en is dus een nuttig achtergronddocument bij het invullen van het MMP. Het document start ook met een nuttige leeswijzer die toelicht welke </w:t>
      </w:r>
      <w:proofErr w:type="spellStart"/>
      <w:r w:rsidR="00674317">
        <w:t>guidance</w:t>
      </w:r>
      <w:proofErr w:type="spellEnd"/>
      <w:r w:rsidR="00674317">
        <w:t xml:space="preserve"> documenten u best kan raadplegen in functie van uw rol (exploitant of verificateur) en voorkennis;</w:t>
      </w:r>
    </w:p>
    <w:p w14:paraId="3F100A90" w14:textId="6EE34850" w:rsidR="00674317" w:rsidRDefault="00943490" w:rsidP="00674317">
      <w:pPr>
        <w:pStyle w:val="Lijstalinea"/>
        <w:numPr>
          <w:ilvl w:val="0"/>
          <w:numId w:val="4"/>
        </w:numPr>
        <w:tabs>
          <w:tab w:val="clear" w:pos="3686"/>
        </w:tabs>
        <w:spacing w:after="160" w:line="259" w:lineRule="auto"/>
      </w:pPr>
      <w:hyperlink r:id="rId17" w:history="1">
        <w:proofErr w:type="spellStart"/>
        <w:r w:rsidR="00674317" w:rsidRPr="004C21C5">
          <w:rPr>
            <w:rStyle w:val="Hyperlink"/>
          </w:rPr>
          <w:t>Guidance</w:t>
        </w:r>
        <w:proofErr w:type="spellEnd"/>
        <w:r w:rsidR="00674317" w:rsidRPr="004C21C5">
          <w:rPr>
            <w:rStyle w:val="Hyperlink"/>
          </w:rPr>
          <w:t xml:space="preserve"> document 6</w:t>
        </w:r>
      </w:hyperlink>
      <w:r w:rsidR="00674317">
        <w:t xml:space="preserve"> gaat in op situaties waarbij er warmte wordt ingevoerd of uitgevoerd  (‘cross-</w:t>
      </w:r>
      <w:proofErr w:type="spellStart"/>
      <w:r w:rsidR="00674317">
        <w:t>boundary</w:t>
      </w:r>
      <w:proofErr w:type="spellEnd"/>
      <w:r w:rsidR="00674317">
        <w:t xml:space="preserve"> heat </w:t>
      </w:r>
      <w:proofErr w:type="spellStart"/>
      <w:r w:rsidR="00674317">
        <w:t>flows</w:t>
      </w:r>
      <w:proofErr w:type="spellEnd"/>
      <w:r w:rsidR="00674317">
        <w:t>’) en hoe hier mee moet omgegaan worden in het kader van de toewijzingsregels;</w:t>
      </w:r>
    </w:p>
    <w:p w14:paraId="6572129F" w14:textId="59826C39" w:rsidR="00674317" w:rsidRDefault="00943490" w:rsidP="00674317">
      <w:pPr>
        <w:pStyle w:val="Lijstalinea"/>
        <w:numPr>
          <w:ilvl w:val="0"/>
          <w:numId w:val="4"/>
        </w:numPr>
        <w:tabs>
          <w:tab w:val="clear" w:pos="3686"/>
        </w:tabs>
        <w:spacing w:after="160" w:line="259" w:lineRule="auto"/>
      </w:pPr>
      <w:hyperlink r:id="rId18" w:history="1">
        <w:proofErr w:type="spellStart"/>
        <w:r w:rsidR="00674317" w:rsidRPr="004C21C5">
          <w:rPr>
            <w:rStyle w:val="Hyperlink"/>
          </w:rPr>
          <w:t>Guidance</w:t>
        </w:r>
        <w:proofErr w:type="spellEnd"/>
        <w:r w:rsidR="00674317" w:rsidRPr="004C21C5">
          <w:rPr>
            <w:rStyle w:val="Hyperlink"/>
          </w:rPr>
          <w:t xml:space="preserve"> document 7</w:t>
        </w:r>
      </w:hyperlink>
      <w:r w:rsidR="00674317">
        <w:t xml:space="preserve"> gaat in op de regels voor nieuwkomers, sluitingen en aanpassingen van de toewijzingen ten gevolge van gewijzigde </w:t>
      </w:r>
      <w:proofErr w:type="spellStart"/>
      <w:r w:rsidR="00674317">
        <w:t>activiteitsniveau’s</w:t>
      </w:r>
      <w:proofErr w:type="spellEnd"/>
      <w:r w:rsidR="00674317">
        <w:t xml:space="preserve">; </w:t>
      </w:r>
    </w:p>
    <w:p w14:paraId="64415592" w14:textId="54547CB8" w:rsidR="00674317" w:rsidRDefault="00943490" w:rsidP="00674317">
      <w:pPr>
        <w:pStyle w:val="Lijstalinea"/>
        <w:numPr>
          <w:ilvl w:val="0"/>
          <w:numId w:val="4"/>
        </w:numPr>
        <w:tabs>
          <w:tab w:val="clear" w:pos="3686"/>
        </w:tabs>
        <w:spacing w:after="160" w:line="259" w:lineRule="auto"/>
      </w:pPr>
      <w:hyperlink r:id="rId19" w:history="1">
        <w:proofErr w:type="spellStart"/>
        <w:r w:rsidR="00674317" w:rsidRPr="004C21C5">
          <w:rPr>
            <w:rStyle w:val="Hyperlink"/>
          </w:rPr>
          <w:t>Guidance</w:t>
        </w:r>
        <w:proofErr w:type="spellEnd"/>
        <w:r w:rsidR="00674317" w:rsidRPr="004C21C5">
          <w:rPr>
            <w:rStyle w:val="Hyperlink"/>
          </w:rPr>
          <w:t xml:space="preserve"> document 8</w:t>
        </w:r>
      </w:hyperlink>
      <w:r w:rsidR="00674317">
        <w:t xml:space="preserve"> gaat in op de specifieke behandeling van afgassen (</w:t>
      </w:r>
      <w:r w:rsidR="00674317">
        <w:rPr>
          <w:i/>
        </w:rPr>
        <w:t xml:space="preserve">‘waste </w:t>
      </w:r>
      <w:proofErr w:type="spellStart"/>
      <w:r w:rsidR="00674317">
        <w:rPr>
          <w:i/>
        </w:rPr>
        <w:t>gases</w:t>
      </w:r>
      <w:proofErr w:type="spellEnd"/>
      <w:r w:rsidR="00674317">
        <w:rPr>
          <w:i/>
        </w:rPr>
        <w:t>’</w:t>
      </w:r>
      <w:r w:rsidR="00674317">
        <w:t xml:space="preserve">) en proces emissie sub-installaties, en bevat ook verdere toelichting over </w:t>
      </w:r>
      <w:proofErr w:type="spellStart"/>
      <w:r w:rsidR="00674317">
        <w:t>veiligheidsaffakkeling</w:t>
      </w:r>
      <w:proofErr w:type="spellEnd"/>
      <w:r w:rsidR="00674317">
        <w:t>;</w:t>
      </w:r>
    </w:p>
    <w:p w14:paraId="397CACE3" w14:textId="20E66C58" w:rsidR="00674317" w:rsidRDefault="00943490" w:rsidP="00674317">
      <w:pPr>
        <w:pStyle w:val="Lijstalinea"/>
        <w:numPr>
          <w:ilvl w:val="0"/>
          <w:numId w:val="4"/>
        </w:numPr>
        <w:tabs>
          <w:tab w:val="clear" w:pos="3686"/>
        </w:tabs>
        <w:spacing w:after="160" w:line="259" w:lineRule="auto"/>
      </w:pPr>
      <w:hyperlink r:id="rId20" w:history="1">
        <w:proofErr w:type="spellStart"/>
        <w:r w:rsidR="00674317" w:rsidRPr="004C21C5">
          <w:rPr>
            <w:rStyle w:val="Hyperlink"/>
          </w:rPr>
          <w:t>Guidance</w:t>
        </w:r>
        <w:proofErr w:type="spellEnd"/>
        <w:r w:rsidR="00674317" w:rsidRPr="004C21C5">
          <w:rPr>
            <w:rStyle w:val="Hyperlink"/>
          </w:rPr>
          <w:t xml:space="preserve"> document 9</w:t>
        </w:r>
      </w:hyperlink>
      <w:r w:rsidR="00674317">
        <w:t xml:space="preserve"> bevat verdere </w:t>
      </w:r>
      <w:proofErr w:type="spellStart"/>
      <w:r w:rsidR="00674317">
        <w:t>sector-specifieke</w:t>
      </w:r>
      <w:proofErr w:type="spellEnd"/>
      <w:r w:rsidR="00674317">
        <w:t xml:space="preserve"> richtsnoeren per product benchmark (bv. wat valt er wel onder de product benchmark en wat niet).</w:t>
      </w:r>
    </w:p>
    <w:p w14:paraId="720EF2B6" w14:textId="6D8D7B20" w:rsidR="003300E4" w:rsidRDefault="00A73EBA" w:rsidP="009C2755">
      <w:pPr>
        <w:pStyle w:val="Lijstalinea"/>
        <w:numPr>
          <w:ilvl w:val="0"/>
          <w:numId w:val="4"/>
        </w:numPr>
        <w:tabs>
          <w:tab w:val="clear" w:pos="3686"/>
        </w:tabs>
        <w:spacing w:after="160" w:line="259" w:lineRule="auto"/>
      </w:pPr>
      <w:hyperlink r:id="rId21" w:history="1">
        <w:proofErr w:type="spellStart"/>
        <w:r w:rsidRPr="00A73EBA">
          <w:rPr>
            <w:rStyle w:val="Hyperlink"/>
          </w:rPr>
          <w:t>Guidance</w:t>
        </w:r>
        <w:proofErr w:type="spellEnd"/>
        <w:r w:rsidRPr="00A73EBA">
          <w:rPr>
            <w:rStyle w:val="Hyperlink"/>
          </w:rPr>
          <w:t xml:space="preserve"> document 10</w:t>
        </w:r>
      </w:hyperlink>
      <w:r>
        <w:t xml:space="preserve"> </w:t>
      </w:r>
      <w:r w:rsidR="0029256C">
        <w:t>g</w:t>
      </w:r>
      <w:r w:rsidR="0029256C" w:rsidRPr="0029256C">
        <w:t>aat over de toewijzing bij fusies en splitsingen</w:t>
      </w:r>
      <w:r w:rsidR="0029256C">
        <w:t>.</w:t>
      </w:r>
    </w:p>
    <w:sectPr w:rsidR="00330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erif-Regular">
    <w:altName w:val="Calibri"/>
    <w:charset w:val="00"/>
    <w:family w:val="auto"/>
    <w:pitch w:val="variable"/>
    <w:sig w:usb0="00000007" w:usb1="00000000" w:usb2="00000000" w:usb3="00000000" w:csb0="00000093" w:csb1="00000000"/>
  </w:font>
  <w:font w:name="FlandersArtSans-Bold">
    <w:altName w:val="Calibri"/>
    <w:charset w:val="00"/>
    <w:family w:val="auto"/>
    <w:pitch w:val="variable"/>
    <w:sig w:usb0="00000007" w:usb1="00000000" w:usb2="00000000" w:usb3="00000000" w:csb0="00000093" w:csb1="00000000"/>
  </w:font>
  <w:font w:name="FlandersArtSans-Regular">
    <w:altName w:val="Calibri"/>
    <w:charset w:val="00"/>
    <w:family w:val="auto"/>
    <w:pitch w:val="variable"/>
    <w:sig w:usb0="00000007" w:usb1="00000000" w:usb2="00000000" w:usb3="00000000" w:csb0="00000093" w:csb1="00000000"/>
  </w:font>
  <w:font w:name="FlandersArtSerif-Bold">
    <w:charset w:val="00"/>
    <w:family w:val="auto"/>
    <w:pitch w:val="variable"/>
    <w:sig w:usb0="00000007" w:usb1="00000000" w:usb2="00000000" w:usb3="00000000" w:csb0="00000093" w:csb1="00000000"/>
  </w:font>
  <w:font w:name="FlandersArtSerif-Medium">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D4732"/>
    <w:multiLevelType w:val="multilevel"/>
    <w:tmpl w:val="D99E0C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60971D7"/>
    <w:multiLevelType w:val="hybridMultilevel"/>
    <w:tmpl w:val="146005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747916F7"/>
    <w:multiLevelType w:val="hybridMultilevel"/>
    <w:tmpl w:val="76AAC2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17"/>
    <w:rsid w:val="00166E6B"/>
    <w:rsid w:val="00263FA4"/>
    <w:rsid w:val="0029256C"/>
    <w:rsid w:val="004C21C5"/>
    <w:rsid w:val="00674317"/>
    <w:rsid w:val="00943490"/>
    <w:rsid w:val="00944A1B"/>
    <w:rsid w:val="009C2755"/>
    <w:rsid w:val="00A73EBA"/>
    <w:rsid w:val="00B44996"/>
    <w:rsid w:val="00C51743"/>
    <w:rsid w:val="00CC219A"/>
    <w:rsid w:val="00CE693C"/>
    <w:rsid w:val="00DF64CB"/>
    <w:rsid w:val="00EA3F47"/>
    <w:rsid w:val="00F74B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CC9F"/>
  <w15:chartTrackingRefBased/>
  <w15:docId w15:val="{039E1D3C-164B-461C-B808-DCD45C8F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4317"/>
    <w:pPr>
      <w:tabs>
        <w:tab w:val="left" w:pos="3686"/>
      </w:tabs>
      <w:spacing w:after="0" w:line="270" w:lineRule="exact"/>
      <w:contextualSpacing/>
    </w:pPr>
    <w:rPr>
      <w:rFonts w:ascii="FlandersArtSerif-Regular" w:hAnsi="FlandersArtSerif-Regular"/>
      <w:color w:val="171717" w:themeColor="background2" w:themeShade="1A"/>
    </w:rPr>
  </w:style>
  <w:style w:type="paragraph" w:styleId="Kop1">
    <w:name w:val="heading 1"/>
    <w:basedOn w:val="Standaard"/>
    <w:next w:val="Standaard"/>
    <w:link w:val="Kop1Char"/>
    <w:uiPriority w:val="9"/>
    <w:qFormat/>
    <w:rsid w:val="00674317"/>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674317"/>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674317"/>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674317"/>
    <w:pPr>
      <w:keepNext/>
      <w:keepLines/>
      <w:numPr>
        <w:ilvl w:val="3"/>
        <w:numId w:val="1"/>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Standaard"/>
    <w:link w:val="Kop5Char"/>
    <w:uiPriority w:val="9"/>
    <w:unhideWhenUsed/>
    <w:rsid w:val="00674317"/>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674317"/>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674317"/>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674317"/>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674317"/>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74317"/>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674317"/>
    <w:rPr>
      <w:rFonts w:ascii="FlandersArtSans-Regular" w:eastAsiaTheme="majorEastAsia" w:hAnsi="FlandersArtSans-Regular" w:cstheme="majorBidi"/>
      <w:bCs/>
      <w:caps/>
      <w:color w:val="000000" w:themeColor="text1"/>
      <w:sz w:val="32"/>
      <w:szCs w:val="32"/>
      <w:u w:val="dotted"/>
    </w:rPr>
  </w:style>
  <w:style w:type="character" w:customStyle="1" w:styleId="Kop3Char">
    <w:name w:val="Kop 3 Char"/>
    <w:basedOn w:val="Standaardalinea-lettertype"/>
    <w:link w:val="Kop3"/>
    <w:uiPriority w:val="9"/>
    <w:rsid w:val="00674317"/>
    <w:rPr>
      <w:rFonts w:ascii="FlandersArtSerif-Bold" w:eastAsiaTheme="majorEastAsia" w:hAnsi="FlandersArtSerif-Bold" w:cstheme="majorBidi"/>
      <w:bCs/>
      <w:color w:val="9B9DA0"/>
      <w:sz w:val="24"/>
      <w:szCs w:val="24"/>
    </w:rPr>
  </w:style>
  <w:style w:type="character" w:customStyle="1" w:styleId="Kop4Char">
    <w:name w:val="Kop 4 Char"/>
    <w:basedOn w:val="Standaardalinea-lettertype"/>
    <w:link w:val="Kop4"/>
    <w:uiPriority w:val="9"/>
    <w:rsid w:val="00674317"/>
    <w:rPr>
      <w:rFonts w:ascii="FlandersArtSerif-Bold" w:eastAsiaTheme="majorEastAsia" w:hAnsi="FlandersArtSerif-Bold" w:cstheme="majorBidi"/>
      <w:bCs/>
      <w:iCs/>
      <w:color w:val="000000" w:themeColor="text1"/>
      <w:u w:val="single"/>
    </w:rPr>
  </w:style>
  <w:style w:type="character" w:customStyle="1" w:styleId="Kop5Char">
    <w:name w:val="Kop 5 Char"/>
    <w:basedOn w:val="Standaardalinea-lettertype"/>
    <w:link w:val="Kop5"/>
    <w:uiPriority w:val="9"/>
    <w:rsid w:val="00674317"/>
    <w:rPr>
      <w:rFonts w:ascii="FlandersArtSans-Regular" w:eastAsiaTheme="majorEastAsia" w:hAnsi="FlandersArtSans-Regular" w:cstheme="majorBidi"/>
      <w:color w:val="3C3D3C"/>
    </w:rPr>
  </w:style>
  <w:style w:type="character" w:customStyle="1" w:styleId="Kop6Char">
    <w:name w:val="Kop 6 Char"/>
    <w:basedOn w:val="Standaardalinea-lettertype"/>
    <w:link w:val="Kop6"/>
    <w:uiPriority w:val="9"/>
    <w:rsid w:val="00674317"/>
    <w:rPr>
      <w:rFonts w:ascii="FlandersArtSerif-Regular" w:eastAsiaTheme="majorEastAsia" w:hAnsi="FlandersArtSerif-Regular" w:cstheme="majorBidi"/>
      <w:iCs/>
      <w:color w:val="6F7173"/>
    </w:rPr>
  </w:style>
  <w:style w:type="character" w:customStyle="1" w:styleId="Kop7Char">
    <w:name w:val="Kop 7 Char"/>
    <w:basedOn w:val="Standaardalinea-lettertype"/>
    <w:link w:val="Kop7"/>
    <w:uiPriority w:val="9"/>
    <w:rsid w:val="00674317"/>
    <w:rPr>
      <w:rFonts w:ascii="FlandersArtSerif-Medium" w:eastAsiaTheme="majorEastAsia" w:hAnsi="FlandersArtSerif-Medium" w:cstheme="majorBidi"/>
      <w:iCs/>
      <w:color w:val="9B9DA0"/>
    </w:rPr>
  </w:style>
  <w:style w:type="character" w:customStyle="1" w:styleId="Kop8Char">
    <w:name w:val="Kop 8 Char"/>
    <w:basedOn w:val="Standaardalinea-lettertype"/>
    <w:link w:val="Kop8"/>
    <w:uiPriority w:val="9"/>
    <w:rsid w:val="00674317"/>
    <w:rPr>
      <w:rFonts w:ascii="FlandersArtSerif-Regular" w:eastAsiaTheme="majorEastAsia" w:hAnsi="FlandersArtSerif-Regular" w:cstheme="majorBidi"/>
      <w:color w:val="3C3D3C"/>
      <w:szCs w:val="20"/>
    </w:rPr>
  </w:style>
  <w:style w:type="character" w:customStyle="1" w:styleId="Kop9Char">
    <w:name w:val="Kop 9 Char"/>
    <w:basedOn w:val="Standaardalinea-lettertype"/>
    <w:link w:val="Kop9"/>
    <w:uiPriority w:val="9"/>
    <w:rsid w:val="00674317"/>
    <w:rPr>
      <w:rFonts w:ascii="FlandersArtSerif-Regular" w:eastAsiaTheme="majorEastAsia" w:hAnsi="FlandersArtSerif-Regular" w:cstheme="majorBidi"/>
      <w:iCs/>
      <w:color w:val="6F7173"/>
      <w:szCs w:val="20"/>
    </w:rPr>
  </w:style>
  <w:style w:type="character" w:styleId="Hyperlink">
    <w:name w:val="Hyperlink"/>
    <w:uiPriority w:val="99"/>
    <w:unhideWhenUsed/>
    <w:rsid w:val="00674317"/>
    <w:rPr>
      <w:color w:val="3C96BE"/>
      <w:u w:val="single"/>
    </w:rPr>
  </w:style>
  <w:style w:type="paragraph" w:styleId="Lijstalinea">
    <w:name w:val="List Paragraph"/>
    <w:basedOn w:val="Standaard"/>
    <w:uiPriority w:val="34"/>
    <w:qFormat/>
    <w:rsid w:val="00674317"/>
    <w:pPr>
      <w:ind w:left="426"/>
    </w:pPr>
  </w:style>
  <w:style w:type="character" w:styleId="Verwijzingopmerking">
    <w:name w:val="annotation reference"/>
    <w:basedOn w:val="Standaardalinea-lettertype"/>
    <w:uiPriority w:val="99"/>
    <w:semiHidden/>
    <w:unhideWhenUsed/>
    <w:rsid w:val="00674317"/>
    <w:rPr>
      <w:sz w:val="16"/>
      <w:szCs w:val="16"/>
    </w:rPr>
  </w:style>
  <w:style w:type="paragraph" w:styleId="Tekstopmerking">
    <w:name w:val="annotation text"/>
    <w:basedOn w:val="Standaard"/>
    <w:link w:val="TekstopmerkingChar"/>
    <w:uiPriority w:val="99"/>
    <w:semiHidden/>
    <w:unhideWhenUsed/>
    <w:rsid w:val="006743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4317"/>
    <w:rPr>
      <w:rFonts w:ascii="FlandersArtSerif-Regular" w:hAnsi="FlandersArtSerif-Regular"/>
      <w:color w:val="171717" w:themeColor="background2" w:themeShade="1A"/>
      <w:sz w:val="20"/>
      <w:szCs w:val="20"/>
    </w:rPr>
  </w:style>
  <w:style w:type="paragraph" w:styleId="Ballontekst">
    <w:name w:val="Balloon Text"/>
    <w:basedOn w:val="Standaard"/>
    <w:link w:val="BallontekstChar"/>
    <w:uiPriority w:val="99"/>
    <w:semiHidden/>
    <w:unhideWhenUsed/>
    <w:rsid w:val="0067431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4317"/>
    <w:rPr>
      <w:rFonts w:ascii="Segoe UI" w:hAnsi="Segoe UI" w:cs="Segoe UI"/>
      <w:color w:val="171717" w:themeColor="background2" w:themeShade="1A"/>
      <w:sz w:val="18"/>
      <w:szCs w:val="18"/>
    </w:rPr>
  </w:style>
  <w:style w:type="character" w:styleId="Onopgelostemelding">
    <w:name w:val="Unresolved Mention"/>
    <w:basedOn w:val="Standaardalinea-lettertype"/>
    <w:uiPriority w:val="99"/>
    <w:semiHidden/>
    <w:unhideWhenUsed/>
    <w:rsid w:val="004C21C5"/>
    <w:rPr>
      <w:color w:val="605E5C"/>
      <w:shd w:val="clear" w:color="auto" w:fill="E1DFDD"/>
    </w:rPr>
  </w:style>
  <w:style w:type="character" w:styleId="GevolgdeHyperlink">
    <w:name w:val="FollowedHyperlink"/>
    <w:basedOn w:val="Standaardalinea-lettertype"/>
    <w:uiPriority w:val="99"/>
    <w:semiHidden/>
    <w:unhideWhenUsed/>
    <w:rsid w:val="00263FA4"/>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944A1B"/>
    <w:rPr>
      <w:b/>
      <w:bCs/>
    </w:rPr>
  </w:style>
  <w:style w:type="character" w:customStyle="1" w:styleId="OnderwerpvanopmerkingChar">
    <w:name w:val="Onderwerp van opmerking Char"/>
    <w:basedOn w:val="TekstopmerkingChar"/>
    <w:link w:val="Onderwerpvanopmerking"/>
    <w:uiPriority w:val="99"/>
    <w:semiHidden/>
    <w:rsid w:val="00944A1B"/>
    <w:rPr>
      <w:rFonts w:ascii="FlandersArtSerif-Regular" w:hAnsi="FlandersArtSerif-Regular"/>
      <w:b/>
      <w:bCs/>
      <w:color w:val="171717"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clima/system/files/2019-07/p4_gd2_allocation_methodologies_en.pdf" TargetMode="External"/><Relationship Id="rId18" Type="http://schemas.openxmlformats.org/officeDocument/2006/relationships/hyperlink" Target="https://ec.europa.eu/clima/system/files/2021-09/gd7_activity_level_changes_en.pdf" TargetMode="External"/><Relationship Id="rId3" Type="http://schemas.openxmlformats.org/officeDocument/2006/relationships/customXml" Target="../customXml/item3.xml"/><Relationship Id="rId21" Type="http://schemas.openxmlformats.org/officeDocument/2006/relationships/hyperlink" Target="https://ec.europa.eu/clima/system/files/2020-03/gd10_mergers_and_splits_en.pdf" TargetMode="External"/><Relationship Id="rId7" Type="http://schemas.openxmlformats.org/officeDocument/2006/relationships/settings" Target="settings.xml"/><Relationship Id="rId12" Type="http://schemas.openxmlformats.org/officeDocument/2006/relationships/hyperlink" Target="https://ec.europa.eu/clima/system/files/2019-02/p4_gd1_general_guidance_en.pdf" TargetMode="External"/><Relationship Id="rId17" Type="http://schemas.openxmlformats.org/officeDocument/2006/relationships/hyperlink" Target="https://ec.europa.eu/clima/system/files/2019-02/p4_gd6_cross-boundary_heat_flows_en.pdf" TargetMode="External"/><Relationship Id="rId2" Type="http://schemas.openxmlformats.org/officeDocument/2006/relationships/customXml" Target="../customXml/item2.xml"/><Relationship Id="rId16" Type="http://schemas.openxmlformats.org/officeDocument/2006/relationships/hyperlink" Target="https://ec.europa.eu/clima/system/files/2019-02/p4_gd5_mr_guidance_en.pdf" TargetMode="External"/><Relationship Id="rId20" Type="http://schemas.openxmlformats.org/officeDocument/2006/relationships/hyperlink" Target="https://ec.europa.eu/clima/system/files/2019-07/p4_gd9_sector_specific_guidanc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NL/TXT/PDF/?uri=CELEX:32021R0447&amp;qid=1645090600002&amp;from=nl" TargetMode="External"/><Relationship Id="rId5" Type="http://schemas.openxmlformats.org/officeDocument/2006/relationships/numbering" Target="numbering.xml"/><Relationship Id="rId15" Type="http://schemas.openxmlformats.org/officeDocument/2006/relationships/hyperlink" Target="https://ec.europa.eu/clima/system/files/2021-02/p4_gd4_verification_far_baseline_en.pdf" TargetMode="External"/><Relationship Id="rId23" Type="http://schemas.openxmlformats.org/officeDocument/2006/relationships/theme" Target="theme/theme1.xml"/><Relationship Id="rId10" Type="http://schemas.openxmlformats.org/officeDocument/2006/relationships/hyperlink" Target="https://eur-lex.europa.eu/legal-content/NL/TXT/PDF/?uri=CELEX:32019R1842&amp;from=EN" TargetMode="External"/><Relationship Id="rId19" Type="http://schemas.openxmlformats.org/officeDocument/2006/relationships/hyperlink" Target="https://ec.europa.eu/clima/system/files/2019-02/p4_gd8_waste_gases_process_emissions_en.pdf" TargetMode="External"/><Relationship Id="rId4" Type="http://schemas.openxmlformats.org/officeDocument/2006/relationships/customXml" Target="../customXml/item4.xml"/><Relationship Id="rId9" Type="http://schemas.openxmlformats.org/officeDocument/2006/relationships/hyperlink" Target="https://eur-lex.europa.eu/legal-content/NL/TXT/PDF/?uri=CELEX:32019R0331&amp;from=EN" TargetMode="External"/><Relationship Id="rId14" Type="http://schemas.openxmlformats.org/officeDocument/2006/relationships/hyperlink" Target="https://ec.europa.eu/clima/system/files/2019-03/p4_gd3_data_collection_en.pdf"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TS-communicatie-bestand" ma:contentTypeID="0x010100BB7D6F85C1FED14EB9BA2AF672C79E5B0700209E548B2B648447A2DB88E03D3AE8CC" ma:contentTypeVersion="3" ma:contentTypeDescription="" ma:contentTypeScope="" ma:versionID="8d56b36dcf9ff5113392cc2f51f5b4d9">
  <xsd:schema xmlns:xsd="http://www.w3.org/2001/XMLSchema" xmlns:xs="http://www.w3.org/2001/XMLSchema" xmlns:p="http://schemas.microsoft.com/office/2006/metadata/properties" xmlns:ns2="071eca32-85d3-4baf-8b57-b8706dd84d64" xmlns:ns3="9a9ec0f0-7796-43d0-ac1f-4c8c46ee0bd1" targetNamespace="http://schemas.microsoft.com/office/2006/metadata/properties" ma:root="true" ma:fieldsID="6006ece628d3e181ad27ddbe44f5182b" ns2:_="" ns3:_="">
    <xsd:import namespace="071eca32-85d3-4baf-8b57-b8706dd84d64"/>
    <xsd:import namespace="9a9ec0f0-7796-43d0-ac1f-4c8c46ee0bd1"/>
    <xsd:element name="properties">
      <xsd:complexType>
        <xsd:sequence>
          <xsd:element name="documentManagement">
            <xsd:complexType>
              <xsd:all>
                <xsd:element ref="ns2:Beschrijving" minOccurs="0"/>
                <xsd:element ref="ns2:Datum_x0020_communicatie" minOccurs="0"/>
                <xsd:element ref="ns2:Documentdatum" minOccurs="0"/>
                <xsd:element ref="ns2:_dlc_DocId" minOccurs="0"/>
                <xsd:element ref="ns2:_dlc_DocIdUrl" minOccurs="0"/>
                <xsd:element ref="ns2:_dlc_DocIdPersistId" minOccurs="0"/>
                <xsd:element ref="ns2:k4f250ad144446d0870b1b27d6c49c47" minOccurs="0"/>
                <xsd:element ref="ns3:TaxCatchAll" minOccurs="0"/>
                <xsd:element ref="ns3:TaxCatchAllLabel" minOccurs="0"/>
                <xsd:element ref="ns2:ge8f3523ee6d4cb2b95f904ff699c84b" minOccurs="0"/>
                <xsd:element ref="ns2:cf1a9610a87f4901991bb44604c8d2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eca32-85d3-4baf-8b57-b8706dd84d64" elementFormDefault="qualified">
    <xsd:import namespace="http://schemas.microsoft.com/office/2006/documentManagement/types"/>
    <xsd:import namespace="http://schemas.microsoft.com/office/infopath/2007/PartnerControls"/>
    <xsd:element name="Beschrijving" ma:index="1" nillable="true" ma:displayName="Beschrijving" ma:description="Optioneel vrij tekstveld met een extra woordje uitleg over je document." ma:internalName="Beschrijving" ma:readOnly="false">
      <xsd:simpleType>
        <xsd:restriction base="dms:Note">
          <xsd:maxLength value="255"/>
        </xsd:restriction>
      </xsd:simpleType>
    </xsd:element>
    <xsd:element name="Datum_x0020_communicatie" ma:index="2" nillable="true" ma:displayName="Datum communicatie" ma:format="DateOnly" ma:internalName="Datum_x0020_communicatie">
      <xsd:simpleType>
        <xsd:restriction base="dms:DateTime"/>
      </xsd:simpleType>
    </xsd:element>
    <xsd:element name="Documentdatum" ma:index="5" nillable="true" ma:displayName="Documentdatum" ma:default="[today]" ma:description="Standaard wordt hier de datum ingevuld waarop je het document hebt opgeladen. Pas die datum zo nodig aan. Deze datum zal in de toekomst niet meer wijzigen in tegenstelling tot het veld &quot;Gewijzigd op&quot;." ma:format="DateOnly" ma:internalName="Documentdatum" ma:readOnly="false">
      <xsd:simpleType>
        <xsd:restriction base="dms:DateTime"/>
      </xsd:simpleType>
    </xsd:element>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k4f250ad144446d0870b1b27d6c49c47" ma:index="11" nillable="true" ma:taxonomy="true" ma:internalName="k4f250ad144446d0870b1b27d6c49c47" ma:taxonomyFieldName="Documentsoort" ma:displayName="Documentsoort" ma:readOnly="false" ma:default="" ma:fieldId="{44f250ad-1444-46d0-870b-1b27d6c49c47}" ma:sspId="49ca8161-7180-459b-a0ef-1a71cf6ffea5" ma:termSetId="b7679fbf-2c84-4831-a1b7-f18cf4b546e0" ma:anchorId="00000000-0000-0000-0000-000000000000" ma:open="false" ma:isKeyword="false">
      <xsd:complexType>
        <xsd:sequence>
          <xsd:element ref="pc:Terms" minOccurs="0" maxOccurs="1"/>
        </xsd:sequence>
      </xsd:complexType>
    </xsd:element>
    <xsd:element name="ge8f3523ee6d4cb2b95f904ff699c84b" ma:index="18" nillable="true" ma:taxonomy="true" ma:internalName="ge8f3523ee6d4cb2b95f904ff699c84b" ma:taxonomyFieldName="Sitethema" ma:displayName="Sitethema" ma:readOnly="false" ma:default="1;#Industrieel klimaatbeleid|678895cd-ec20-4265-9cba-ee51fbc7e8e4;#2;#EU ETS|caa3bb60-80c5-4f9b-85b5-ef3831571a18;#3;#Energie- en klimaattransitie|236e6c75-c1c0-4f46-b61c-8c597e1ff9f0" ma:fieldId="{0e8f3523-ee6d-4cb2-b95f-904ff699c84b}" ma:taxonomyMulti="true" ma:sspId="49ca8161-7180-459b-a0ef-1a71cf6ffea5" ma:termSetId="c7f1d544-3886-43fa-874c-1cdd2802d06b" ma:anchorId="00000000-0000-0000-0000-000000000000" ma:open="false" ma:isKeyword="false">
      <xsd:complexType>
        <xsd:sequence>
          <xsd:element ref="pc:Terms" minOccurs="0" maxOccurs="1"/>
        </xsd:sequence>
      </xsd:complexType>
    </xsd:element>
    <xsd:element name="cf1a9610a87f4901991bb44604c8d2c3" ma:index="21" nillable="true" ma:taxonomy="true" ma:internalName="cf1a9610a87f4901991bb44604c8d2c3" ma:taxonomyFieldName="Proces" ma:displayName="Proces" ma:default="" ma:fieldId="{cf1a9610-a87f-4901-991b-b44604c8d2c3}" ma:sspId="49ca8161-7180-459b-a0ef-1a71cf6ffea5" ma:termSetId="4f14d647-cd9e-4bdb-be87-3ee2b8c9ea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9c42226-4aab-4f02-8846-d4b2ab5ecc14}" ma:internalName="TaxCatchAll" ma:readOnly="false" ma:showField="CatchAllData" ma:web="071eca32-85d3-4baf-8b57-b8706dd84d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c42226-4aab-4f02-8846-d4b2ab5ecc14}" ma:internalName="TaxCatchAllLabel" ma:readOnly="true" ma:showField="CatchAllDataLabel" ma:web="071eca32-85d3-4baf-8b57-b8706dd84d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eschrijving xmlns="071eca32-85d3-4baf-8b57-b8706dd84d64" xsi:nil="true"/>
    <ge8f3523ee6d4cb2b95f904ff699c84b xmlns="071eca32-85d3-4baf-8b57-b8706dd84d64">
      <Terms xmlns="http://schemas.microsoft.com/office/infopath/2007/PartnerControls"/>
    </ge8f3523ee6d4cb2b95f904ff699c84b>
    <k4f250ad144446d0870b1b27d6c49c47 xmlns="071eca32-85d3-4baf-8b57-b8706dd84d64">
      <Terms xmlns="http://schemas.microsoft.com/office/infopath/2007/PartnerControls">
        <TermInfo xmlns="http://schemas.microsoft.com/office/infopath/2007/PartnerControls">
          <TermName xmlns="http://schemas.microsoft.com/office/infopath/2007/PartnerControls">Publicatie - Pagina website</TermName>
          <TermId xmlns="http://schemas.microsoft.com/office/infopath/2007/PartnerControls">d4f26e27-8a25-4ebe-85e1-7062c375aad8</TermId>
        </TermInfo>
      </Terms>
    </k4f250ad144446d0870b1b27d6c49c47>
    <Documentdatum xmlns="071eca32-85d3-4baf-8b57-b8706dd84d64">2022-02-16T23:00:00+00:00</Documentdatum>
    <cf1a9610a87f4901991bb44604c8d2c3 xmlns="071eca32-85d3-4baf-8b57-b8706dd84d64">
      <Terms xmlns="http://schemas.microsoft.com/office/infopath/2007/PartnerControls">
        <TermInfo xmlns="http://schemas.microsoft.com/office/infopath/2007/PartnerControls">
          <TermName xmlns="http://schemas.microsoft.com/office/infopath/2007/PartnerControls">Toewijzing</TermName>
          <TermId xmlns="http://schemas.microsoft.com/office/infopath/2007/PartnerControls">10cd3bd8-54e5-44b7-88e7-9c01971e6a42</TermId>
        </TermInfo>
      </Terms>
    </cf1a9610a87f4901991bb44604c8d2c3>
    <TaxCatchAll xmlns="9a9ec0f0-7796-43d0-ac1f-4c8c46ee0bd1">
      <Value>240</Value>
      <Value>309</Value>
    </TaxCatchAll>
    <_dlc_DocId xmlns="071eca32-85d3-4baf-8b57-b8706dd84d64">SHF3VDE4SWFP-1849922103-78</_dlc_DocId>
    <_dlc_DocIdUrl xmlns="071eca32-85d3-4baf-8b57-b8706dd84d64">
      <Url>https://vlaamseoverheid.sharepoint.com/sites/veka-ets/_layouts/15/DocIdRedir.aspx?ID=SHF3VDE4SWFP-1849922103-78</Url>
      <Description>SHF3VDE4SWFP-1849922103-78</Description>
    </_dlc_DocIdUrl>
    <Datum_x0020_communicatie xmlns="071eca32-85d3-4baf-8b57-b8706dd84d64" xsi:nil="true"/>
  </documentManagement>
</p:properties>
</file>

<file path=customXml/itemProps1.xml><?xml version="1.0" encoding="utf-8"?>
<ds:datastoreItem xmlns:ds="http://schemas.openxmlformats.org/officeDocument/2006/customXml" ds:itemID="{9DEF3161-CCF0-4AD9-8D45-6D3CC7A3654B}">
  <ds:schemaRefs>
    <ds:schemaRef ds:uri="http://schemas.microsoft.com/sharepoint/v3/contenttype/forms"/>
  </ds:schemaRefs>
</ds:datastoreItem>
</file>

<file path=customXml/itemProps2.xml><?xml version="1.0" encoding="utf-8"?>
<ds:datastoreItem xmlns:ds="http://schemas.openxmlformats.org/officeDocument/2006/customXml" ds:itemID="{6894A32F-80EF-4FE4-85F3-ADD7C516F7D1}">
  <ds:schemaRefs>
    <ds:schemaRef ds:uri="http://schemas.microsoft.com/sharepoint/events"/>
  </ds:schemaRefs>
</ds:datastoreItem>
</file>

<file path=customXml/itemProps3.xml><?xml version="1.0" encoding="utf-8"?>
<ds:datastoreItem xmlns:ds="http://schemas.openxmlformats.org/officeDocument/2006/customXml" ds:itemID="{44ABB44B-49E8-44CB-98BE-86E38F745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eca32-85d3-4baf-8b57-b8706dd84d64"/>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62DFED-4D31-4D21-B1FA-3E4A0DB392A4}">
  <ds:schemaRefs>
    <ds:schemaRef ds:uri="http://schemas.microsoft.com/office/2006/documentManagement/types"/>
    <ds:schemaRef ds:uri="071eca32-85d3-4baf-8b57-b8706dd84d64"/>
    <ds:schemaRef ds:uri="http://purl.org/dc/elements/1.1/"/>
    <ds:schemaRef ds:uri="http://schemas.microsoft.com/office/2006/metadata/properties"/>
    <ds:schemaRef ds:uri="http://schemas.microsoft.com/office/infopath/2007/PartnerControls"/>
    <ds:schemaRef ds:uri="http://purl.org/dc/terms/"/>
    <ds:schemaRef ds:uri="9a9ec0f0-7796-43d0-ac1f-4c8c46ee0bd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540</Words>
  <Characters>2970</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Lemmens Pieter-Willem</dc:creator>
  <cp:keywords/>
  <dc:description/>
  <cp:lastModifiedBy>Defranc Thomas</cp:lastModifiedBy>
  <cp:revision>14</cp:revision>
  <dcterms:created xsi:type="dcterms:W3CDTF">2020-03-25T13:36:00Z</dcterms:created>
  <dcterms:modified xsi:type="dcterms:W3CDTF">2022-02-17T09:42:00Z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0x010100BB7D6F85C1FED14EB9BA2AF672C79E5B0700209E548B2B648447A2DB88E03D3AE8CC</vt:lpwstr>
  </property>
  <property fmtid="{D5CDD505-2E9C-101B-9397-08002B2CF9AE}" pid="3" name="Order">
    <vt:r8>100</vt:r8>
  </property>
  <property fmtid="{D5CDD505-2E9C-101B-9397-08002B2CF9AE}" pid="4" name="Status rapport">
    <vt:lpwstr/>
  </property>
  <property fmtid="{D5CDD505-2E9C-101B-9397-08002B2CF9AE}" pid="5" name="Sitethema">
    <vt:lpwstr/>
  </property>
  <property fmtid="{D5CDD505-2E9C-101B-9397-08002B2CF9AE}" pid="6" name="Documentsoort">
    <vt:lpwstr>309;#Publicatie - Pagina website|d4f26e27-8a25-4ebe-85e1-7062c375aad8</vt:lpwstr>
  </property>
  <property fmtid="{D5CDD505-2E9C-101B-9397-08002B2CF9AE}" pid="7" name="Status document">
    <vt:lpwstr/>
  </property>
  <property fmtid="{D5CDD505-2E9C-101B-9397-08002B2CF9AE}" pid="8" name="Proces">
    <vt:lpwstr>240;#Toewijzing|10cd3bd8-54e5-44b7-88e7-9c01971e6a42</vt:lpwstr>
  </property>
  <property fmtid="{D5CDD505-2E9C-101B-9397-08002B2CF9AE}" pid="9" name="Type rapport">
    <vt:lpwstr/>
  </property>
  <property fmtid="{D5CDD505-2E9C-101B-9397-08002B2CF9AE}" pid="10" name="_dlc_DocIdItemGuid">
    <vt:lpwstr>9f8d201a-044a-4182-8606-0fddd340836d</vt:lpwstr>
  </property>
  <property fmtid="{D5CDD505-2E9C-101B-9397-08002B2CF9AE}" pid="11" name="h2792a289fc34c8a964c04eb3efdfbc9">
    <vt:lpwstr/>
  </property>
  <property fmtid="{D5CDD505-2E9C-101B-9397-08002B2CF9AE}" pid="12" name="p59ef1a9c98a48cd9d43cdd8796a6a43">
    <vt:lpwstr/>
  </property>
  <property fmtid="{D5CDD505-2E9C-101B-9397-08002B2CF9AE}" pid="13" name="i708b76796d24dd9870bc5296e859ea0">
    <vt:lpwstr/>
  </property>
</Properties>
</file>