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7882"/>
        <w:gridCol w:w="1616"/>
        <w:gridCol w:w="226"/>
      </w:tblGrid>
      <w:tr w:rsidR="00DF787F" w:rsidRPr="003D114E" w14:paraId="2B5AF0B5" w14:textId="77777777" w:rsidTr="00200E98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7C18" w14:textId="317484AA" w:rsidR="00F50F91" w:rsidRDefault="009A56CB" w:rsidP="00637A03">
            <w:pPr>
              <w:pStyle w:val="Titel"/>
              <w:framePr w:wrap="around"/>
              <w:spacing w:after="12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Detail </w:t>
            </w:r>
            <w:r w:rsidR="007D1FC2">
              <w:rPr>
                <w:color w:val="auto"/>
                <w:sz w:val="36"/>
                <w:szCs w:val="36"/>
              </w:rPr>
              <w:t>analytische code</w:t>
            </w:r>
            <w:r w:rsidR="00F50F91">
              <w:rPr>
                <w:color w:val="auto"/>
                <w:sz w:val="36"/>
                <w:szCs w:val="36"/>
              </w:rPr>
              <w:t xml:space="preserve"> </w:t>
            </w:r>
          </w:p>
          <w:p w14:paraId="2B5AF0B3" w14:textId="49E627F1" w:rsidR="00DF787F" w:rsidRPr="00637A03" w:rsidRDefault="009A56CB" w:rsidP="00973E6E">
            <w:pPr>
              <w:pStyle w:val="Titel"/>
              <w:framePr w:wrap="around"/>
              <w:rPr>
                <w:color w:val="auto"/>
                <w:sz w:val="32"/>
                <w:szCs w:val="32"/>
              </w:rPr>
            </w:pPr>
            <w:r w:rsidRPr="00637A03">
              <w:rPr>
                <w:color w:val="auto"/>
                <w:sz w:val="32"/>
                <w:szCs w:val="32"/>
              </w:rPr>
              <w:t xml:space="preserve">Bijlage </w:t>
            </w:r>
            <w:r w:rsidR="00637A03" w:rsidRPr="00637A03">
              <w:rPr>
                <w:color w:val="auto"/>
                <w:sz w:val="32"/>
                <w:szCs w:val="32"/>
              </w:rPr>
              <w:t xml:space="preserve">van de </w:t>
            </w:r>
            <w:r w:rsidR="00F50F91" w:rsidRPr="00637A03">
              <w:rPr>
                <w:color w:val="auto"/>
                <w:sz w:val="32"/>
                <w:szCs w:val="32"/>
              </w:rPr>
              <w:t>i</w:t>
            </w:r>
            <w:r w:rsidR="00A10645" w:rsidRPr="00637A03">
              <w:rPr>
                <w:color w:val="auto"/>
                <w:sz w:val="32"/>
                <w:szCs w:val="32"/>
              </w:rPr>
              <w:t xml:space="preserve">ndiensttredingsfiche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4" w14:textId="0BB32CDA" w:rsidR="00DF787F" w:rsidRPr="003D114E" w:rsidRDefault="00F415A9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14/01/2022</w:t>
            </w:r>
          </w:p>
        </w:tc>
      </w:tr>
      <w:tr w:rsidR="003C34C3" w:rsidRPr="003D114E" w14:paraId="2B5AF0B8" w14:textId="77777777" w:rsidTr="00200E98">
        <w:trPr>
          <w:trHeight w:hRule="exact" w:val="3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6" w14:textId="77777777" w:rsidR="003C34C3" w:rsidRPr="003D114E" w:rsidRDefault="003C34C3" w:rsidP="005974AC">
            <w:pPr>
              <w:pStyle w:val="leeg"/>
            </w:pPr>
          </w:p>
        </w:tc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7" w14:textId="77777777" w:rsidR="003C34C3" w:rsidRPr="003D114E" w:rsidRDefault="003C34C3" w:rsidP="00200E98">
            <w:pPr>
              <w:pStyle w:val="streepjes"/>
              <w:tabs>
                <w:tab w:val="left" w:pos="153"/>
              </w:tabs>
              <w:ind w:left="113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</w:t>
            </w:r>
          </w:p>
        </w:tc>
      </w:tr>
      <w:tr w:rsidR="00C46312" w:rsidRPr="003122A8" w14:paraId="2B5AF0C1" w14:textId="77777777" w:rsidTr="00170D8E">
        <w:trPr>
          <w:gridAfter w:val="1"/>
          <w:wAfter w:w="226" w:type="dxa"/>
          <w:trHeight w:val="340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5AF0B9" w14:textId="77777777" w:rsidR="00C46312" w:rsidRPr="005974AC" w:rsidRDefault="00C46312" w:rsidP="005974AC">
            <w:pPr>
              <w:pStyle w:val="leeg"/>
              <w:rPr>
                <w:lang w:val="fr-BE"/>
              </w:rPr>
            </w:pPr>
          </w:p>
        </w:tc>
        <w:tc>
          <w:tcPr>
            <w:tcW w:w="9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A" w14:textId="77777777" w:rsidR="00C46312" w:rsidRPr="003D114E" w:rsidRDefault="00C46312" w:rsidP="00200E98">
            <w:pPr>
              <w:ind w:left="113"/>
            </w:pPr>
            <w:r w:rsidRPr="003D114E">
              <w:t>Agentschap</w:t>
            </w:r>
            <w:r>
              <w:t xml:space="preserve"> Overheidspersoneel</w:t>
            </w:r>
          </w:p>
          <w:p w14:paraId="2B5AF0BB" w14:textId="77777777" w:rsidR="00C46312" w:rsidRPr="003D114E" w:rsidRDefault="00C46312" w:rsidP="00200E98">
            <w:pPr>
              <w:ind w:left="113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2B5AF0BC" w14:textId="77777777" w:rsidR="00C46312" w:rsidRPr="003D114E" w:rsidRDefault="00C46312" w:rsidP="00200E98">
            <w:pPr>
              <w:ind w:left="113"/>
            </w:pPr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B5AF0BE" w14:textId="2C3D09EA" w:rsidR="00C46312" w:rsidRPr="005974AC" w:rsidRDefault="00C46312" w:rsidP="00A51D24">
            <w:pPr>
              <w:ind w:left="113"/>
              <w:rPr>
                <w:lang w:val="fr-BE"/>
              </w:rPr>
            </w:pPr>
            <w:r w:rsidRPr="005974AC">
              <w:rPr>
                <w:rStyle w:val="Zwaar"/>
                <w:lang w:val="fr-BE"/>
              </w:rPr>
              <w:t>T</w:t>
            </w:r>
            <w:r w:rsidRPr="005974AC">
              <w:rPr>
                <w:lang w:val="fr-BE"/>
              </w:rPr>
              <w:t xml:space="preserve"> 02 553 60 00</w:t>
            </w:r>
          </w:p>
          <w:p w14:paraId="395D8B98" w14:textId="5C1C1641" w:rsidR="00973E6E" w:rsidRPr="00905CAC" w:rsidRDefault="00973E6E" w:rsidP="00973E6E">
            <w:pPr>
              <w:ind w:left="113"/>
              <w:rPr>
                <w:rStyle w:val="Hyperlink"/>
                <w:lang w:val="fr-BE"/>
              </w:rPr>
            </w:pPr>
            <w:r>
              <w:rPr>
                <w:rStyle w:val="Hyperlink"/>
                <w:lang w:val="fr-BE"/>
              </w:rPr>
              <w:fldChar w:fldCharType="begin"/>
            </w:r>
            <w:r w:rsidR="003122A8">
              <w:rPr>
                <w:rStyle w:val="Hyperlink"/>
                <w:lang w:val="fr-BE"/>
              </w:rPr>
              <w:instrText>HYPERLINK "https://overheid.vlaanderen.be/dienstencentrum-personeelsadministratie"</w:instrText>
            </w:r>
            <w:r>
              <w:rPr>
                <w:rStyle w:val="Hyperlink"/>
                <w:lang w:val="fr-BE"/>
              </w:rPr>
              <w:fldChar w:fldCharType="separate"/>
            </w:r>
            <w:r w:rsidRPr="00F003C8">
              <w:rPr>
                <w:rStyle w:val="Hyperlink"/>
                <w:lang w:val="fr-BE"/>
              </w:rPr>
              <w:t>overheid.vlaanderen.be/dienstencentrum-personeelsadministratie</w:t>
            </w:r>
          </w:p>
          <w:p w14:paraId="2B5AF0C0" w14:textId="06E9E441" w:rsidR="00C46312" w:rsidRPr="005974AC" w:rsidRDefault="00973E6E" w:rsidP="00973E6E">
            <w:pPr>
              <w:rPr>
                <w:lang w:val="fr-BE"/>
              </w:rPr>
            </w:pPr>
            <w:r>
              <w:rPr>
                <w:rStyle w:val="Hyperlink"/>
                <w:lang w:val="fr-BE"/>
              </w:rPr>
              <w:fldChar w:fldCharType="end"/>
            </w:r>
          </w:p>
        </w:tc>
      </w:tr>
      <w:tr w:rsidR="00C46312" w:rsidRPr="003122A8" w14:paraId="2B5AF0C4" w14:textId="77777777" w:rsidTr="00170D8E">
        <w:trPr>
          <w:gridAfter w:val="1"/>
          <w:wAfter w:w="226" w:type="dxa"/>
          <w:trHeight w:val="491"/>
        </w:trPr>
        <w:tc>
          <w:tcPr>
            <w:tcW w:w="142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5AF0C2" w14:textId="77777777" w:rsidR="00C46312" w:rsidRPr="00A453AC" w:rsidRDefault="00C46312" w:rsidP="005974AC">
            <w:pPr>
              <w:pStyle w:val="nummersvragen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  <w:tc>
          <w:tcPr>
            <w:tcW w:w="9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C3" w14:textId="77777777" w:rsidR="00C46312" w:rsidRPr="00A453AC" w:rsidRDefault="00C46312" w:rsidP="005974AC">
            <w:pPr>
              <w:ind w:left="29"/>
              <w:rPr>
                <w:lang w:val="fr-BE"/>
              </w:rPr>
            </w:pPr>
          </w:p>
        </w:tc>
      </w:tr>
      <w:tr w:rsidR="00C46312" w:rsidRPr="003122A8" w14:paraId="2B5AF0C7" w14:textId="77777777" w:rsidTr="00170D8E">
        <w:trPr>
          <w:gridAfter w:val="1"/>
          <w:wAfter w:w="226" w:type="dxa"/>
          <w:trHeight w:val="244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5AF0C5" w14:textId="77777777" w:rsidR="00C46312" w:rsidRPr="00A453AC" w:rsidRDefault="00C46312" w:rsidP="005974AC">
            <w:pPr>
              <w:pStyle w:val="nummersvragen"/>
              <w:framePr w:hSpace="0" w:wrap="auto" w:vAnchor="margin" w:xAlign="left" w:yAlign="inline"/>
              <w:suppressOverlap w:val="0"/>
              <w:rPr>
                <w:lang w:val="fr-BE"/>
              </w:rPr>
            </w:pPr>
          </w:p>
        </w:tc>
        <w:tc>
          <w:tcPr>
            <w:tcW w:w="9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C6" w14:textId="77777777" w:rsidR="00C46312" w:rsidRPr="00A453AC" w:rsidRDefault="00C46312" w:rsidP="005974AC">
            <w:pPr>
              <w:ind w:left="29"/>
              <w:rPr>
                <w:lang w:val="fr-BE"/>
              </w:rPr>
            </w:pPr>
          </w:p>
        </w:tc>
      </w:tr>
    </w:tbl>
    <w:p w14:paraId="2B5AF0C8" w14:textId="77777777" w:rsidR="005974AC" w:rsidRPr="00A04A27" w:rsidRDefault="005974AC" w:rsidP="005974AC">
      <w:pPr>
        <w:pStyle w:val="Aanwijzing"/>
        <w:spacing w:before="60"/>
        <w:rPr>
          <w:b/>
        </w:rPr>
      </w:pPr>
      <w:r w:rsidRPr="00A04A27">
        <w:rPr>
          <w:b/>
        </w:rPr>
        <w:t>Waarvoor dient dit formulier?</w:t>
      </w:r>
    </w:p>
    <w:p w14:paraId="2B5AF0C9" w14:textId="1C292E3E" w:rsidR="005974AC" w:rsidRDefault="005C70A3" w:rsidP="009A2110">
      <w:pPr>
        <w:pStyle w:val="Aanwijzing"/>
        <w:jc w:val="both"/>
        <w:rPr>
          <w:rFonts w:asciiTheme="minorHAnsi" w:hAnsiTheme="minorHAnsi" w:cstheme="minorHAnsi"/>
          <w:i w:val="0"/>
        </w:rPr>
      </w:pPr>
      <w:r>
        <w:t xml:space="preserve">Deze bijlage hoort bij de indiensttredingsfiche. Met deze bijlage </w:t>
      </w:r>
      <w:r w:rsidR="00E73E3C">
        <w:t>geef je</w:t>
      </w:r>
      <w:r>
        <w:t xml:space="preserve"> de bijkome</w:t>
      </w:r>
      <w:r w:rsidR="00B77223">
        <w:t>nde details voor de a</w:t>
      </w:r>
      <w:r w:rsidR="007D1FC2">
        <w:t>nalytische code</w:t>
      </w:r>
      <w:r w:rsidR="00B461DB">
        <w:t xml:space="preserve"> mee</w:t>
      </w:r>
      <w:r>
        <w:t>. Dit is alleen van toepassing voor de VDAB, VMM</w:t>
      </w:r>
      <w:r w:rsidR="003F427C">
        <w:t>, VLM en OGR.</w:t>
      </w:r>
    </w:p>
    <w:p w14:paraId="3FD6AF07" w14:textId="77777777" w:rsidR="005E74F3" w:rsidRPr="005E74F3" w:rsidRDefault="005E74F3" w:rsidP="005974AC">
      <w:pPr>
        <w:pStyle w:val="Aanwijzing"/>
        <w:rPr>
          <w:sz w:val="8"/>
          <w:szCs w:val="8"/>
        </w:rPr>
      </w:pPr>
    </w:p>
    <w:p w14:paraId="30082B86" w14:textId="180E6536" w:rsidR="00B26A2C" w:rsidRPr="00062D5E" w:rsidRDefault="00E73E3C" w:rsidP="00B26A2C">
      <w:pPr>
        <w:pStyle w:val="Aanwijzing"/>
        <w:spacing w:before="60"/>
        <w:rPr>
          <w:b/>
          <w:color w:val="auto"/>
        </w:rPr>
      </w:pPr>
      <w:r>
        <w:rPr>
          <w:b/>
          <w:color w:val="auto"/>
        </w:rPr>
        <w:t>Hoe vul</w:t>
      </w:r>
      <w:r w:rsidR="00B26A2C" w:rsidRPr="00062D5E">
        <w:rPr>
          <w:b/>
          <w:color w:val="auto"/>
        </w:rPr>
        <w:t xml:space="preserve"> </w:t>
      </w:r>
      <w:r>
        <w:rPr>
          <w:b/>
          <w:color w:val="auto"/>
        </w:rPr>
        <w:t>je</w:t>
      </w:r>
      <w:r w:rsidR="00B26A2C" w:rsidRPr="00062D5E">
        <w:rPr>
          <w:b/>
          <w:color w:val="auto"/>
        </w:rPr>
        <w:t xml:space="preserve"> dit formulier in?</w:t>
      </w:r>
    </w:p>
    <w:p w14:paraId="4F114BF9" w14:textId="50D5BA8E" w:rsidR="00B26A2C" w:rsidRDefault="002B317C" w:rsidP="009A2110">
      <w:pPr>
        <w:pStyle w:val="Aanwijzing"/>
        <w:spacing w:before="6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Dit formulier heeft geen beveiliging, zodat </w:t>
      </w:r>
      <w:r w:rsidR="00E73E3C">
        <w:rPr>
          <w:rFonts w:cstheme="minorHAnsi"/>
          <w:color w:val="auto"/>
        </w:rPr>
        <w:t>je</w:t>
      </w:r>
      <w:r>
        <w:rPr>
          <w:rFonts w:cstheme="minorHAnsi"/>
          <w:color w:val="auto"/>
        </w:rPr>
        <w:t xml:space="preserve"> tabellen k</w:t>
      </w:r>
      <w:r w:rsidR="00E73E3C">
        <w:rPr>
          <w:rFonts w:cstheme="minorHAnsi"/>
          <w:color w:val="auto"/>
        </w:rPr>
        <w:t>an</w:t>
      </w:r>
      <w:r>
        <w:rPr>
          <w:rFonts w:cstheme="minorHAnsi"/>
          <w:color w:val="auto"/>
        </w:rPr>
        <w:t xml:space="preserve"> </w:t>
      </w:r>
      <w:r w:rsidR="00BF6ED6">
        <w:rPr>
          <w:rFonts w:cstheme="minorHAnsi"/>
          <w:color w:val="auto"/>
        </w:rPr>
        <w:t>dupliceren</w:t>
      </w:r>
      <w:r>
        <w:rPr>
          <w:rFonts w:cstheme="minorHAnsi"/>
          <w:color w:val="auto"/>
        </w:rPr>
        <w:t xml:space="preserve">, </w:t>
      </w:r>
      <w:r w:rsidR="00B31F6A">
        <w:rPr>
          <w:rFonts w:cstheme="minorHAnsi"/>
          <w:color w:val="auto"/>
        </w:rPr>
        <w:t>als</w:t>
      </w:r>
      <w:r>
        <w:rPr>
          <w:rFonts w:cstheme="minorHAnsi"/>
          <w:color w:val="auto"/>
        </w:rPr>
        <w:t xml:space="preserve"> het personeelslid </w:t>
      </w:r>
      <w:r w:rsidR="00C14EF7">
        <w:rPr>
          <w:rFonts w:cstheme="minorHAnsi"/>
          <w:color w:val="auto"/>
        </w:rPr>
        <w:t>verschillende functies uitvoert</w:t>
      </w:r>
      <w:r>
        <w:rPr>
          <w:rFonts w:cstheme="minorHAnsi"/>
          <w:color w:val="auto"/>
        </w:rPr>
        <w:t xml:space="preserve">. </w:t>
      </w:r>
      <w:r w:rsidR="00E03D0C">
        <w:rPr>
          <w:rFonts w:cstheme="minorHAnsi"/>
          <w:color w:val="auto"/>
        </w:rPr>
        <w:t>Het g</w:t>
      </w:r>
      <w:r w:rsidR="00BF6ED6">
        <w:rPr>
          <w:rFonts w:cstheme="minorHAnsi"/>
          <w:color w:val="auto"/>
        </w:rPr>
        <w:t xml:space="preserve">edeelte dat </w:t>
      </w:r>
      <w:r w:rsidR="00E73E3C">
        <w:rPr>
          <w:rFonts w:cstheme="minorHAnsi"/>
          <w:color w:val="auto"/>
        </w:rPr>
        <w:t>je niet nodig hebt</w:t>
      </w:r>
      <w:r w:rsidR="00BF6ED6">
        <w:rPr>
          <w:rFonts w:cstheme="minorHAnsi"/>
          <w:color w:val="auto"/>
        </w:rPr>
        <w:t xml:space="preserve"> (afhankelijk van entiteit)</w:t>
      </w:r>
      <w:r w:rsidR="00E03D0C">
        <w:rPr>
          <w:rFonts w:cstheme="minorHAnsi"/>
          <w:color w:val="auto"/>
        </w:rPr>
        <w:t xml:space="preserve"> k</w:t>
      </w:r>
      <w:r w:rsidR="00E73E3C">
        <w:rPr>
          <w:rFonts w:cstheme="minorHAnsi"/>
          <w:color w:val="auto"/>
        </w:rPr>
        <w:t>an</w:t>
      </w:r>
      <w:r w:rsidR="00E03D0C">
        <w:rPr>
          <w:rFonts w:cstheme="minorHAnsi"/>
          <w:color w:val="auto"/>
        </w:rPr>
        <w:t xml:space="preserve"> </w:t>
      </w:r>
      <w:r w:rsidR="00E73E3C">
        <w:rPr>
          <w:rFonts w:cstheme="minorHAnsi"/>
          <w:color w:val="auto"/>
        </w:rPr>
        <w:t>je</w:t>
      </w:r>
      <w:r w:rsidR="00E03D0C">
        <w:rPr>
          <w:rFonts w:cstheme="minorHAnsi"/>
          <w:color w:val="auto"/>
        </w:rPr>
        <w:t xml:space="preserve"> verwijderen of gewoon leeg laten. </w:t>
      </w:r>
    </w:p>
    <w:p w14:paraId="5F1E1C4B" w14:textId="77777777" w:rsidR="005E74F3" w:rsidRPr="005E74F3" w:rsidRDefault="005E74F3" w:rsidP="00B26A2C">
      <w:pPr>
        <w:pStyle w:val="Aanwijzing"/>
        <w:spacing w:before="60"/>
        <w:rPr>
          <w:rFonts w:cstheme="minorHAnsi"/>
          <w:color w:val="auto"/>
          <w:sz w:val="8"/>
          <w:szCs w:val="8"/>
        </w:rPr>
      </w:pPr>
    </w:p>
    <w:p w14:paraId="2B5AF0CA" w14:textId="2339780E" w:rsidR="005974AC" w:rsidRPr="00A04A27" w:rsidRDefault="00E73E3C" w:rsidP="00B26A2C">
      <w:pPr>
        <w:pStyle w:val="Aanwijzing"/>
        <w:spacing w:before="60"/>
        <w:rPr>
          <w:b/>
        </w:rPr>
      </w:pPr>
      <w:r>
        <w:rPr>
          <w:b/>
        </w:rPr>
        <w:t>Aan wie bezorg je</w:t>
      </w:r>
      <w:r w:rsidR="005974AC" w:rsidRPr="00A04A27">
        <w:rPr>
          <w:b/>
        </w:rPr>
        <w:t xml:space="preserve"> dit formulier?</w:t>
      </w:r>
    </w:p>
    <w:p w14:paraId="2B5AF0CB" w14:textId="29F7292C" w:rsidR="005974AC" w:rsidRDefault="005974AC" w:rsidP="009A2110">
      <w:pPr>
        <w:jc w:val="both"/>
        <w:rPr>
          <w:rFonts w:cstheme="minorHAnsi"/>
          <w:i/>
        </w:rPr>
      </w:pPr>
      <w:r w:rsidRPr="00536798">
        <w:rPr>
          <w:rFonts w:cstheme="minorHAnsi"/>
          <w:i/>
        </w:rPr>
        <w:t xml:space="preserve">Bezorg deze fiche </w:t>
      </w:r>
      <w:r w:rsidR="00E03D0C" w:rsidRPr="00B31F6A">
        <w:rPr>
          <w:rFonts w:cstheme="minorHAnsi"/>
          <w:b/>
          <w:i/>
        </w:rPr>
        <w:t>samen met de indiensttredingsfiche</w:t>
      </w:r>
      <w:r w:rsidR="00E03D0C">
        <w:rPr>
          <w:rFonts w:cstheme="minorHAnsi"/>
          <w:i/>
        </w:rPr>
        <w:t xml:space="preserve"> </w:t>
      </w:r>
      <w:r w:rsidRPr="00E03D0C">
        <w:rPr>
          <w:rFonts w:cstheme="minorHAnsi"/>
          <w:i/>
        </w:rPr>
        <w:t>per</w:t>
      </w:r>
      <w:r w:rsidRPr="00536798">
        <w:rPr>
          <w:rFonts w:cstheme="minorHAnsi"/>
          <w:i/>
        </w:rPr>
        <w:t xml:space="preserve"> </w:t>
      </w:r>
      <w:r w:rsidR="00B31F6A">
        <w:rPr>
          <w:rFonts w:cstheme="minorHAnsi"/>
          <w:i/>
        </w:rPr>
        <w:t>melding</w:t>
      </w:r>
      <w:r w:rsidRPr="00536798">
        <w:rPr>
          <w:rFonts w:cstheme="minorHAnsi"/>
          <w:i/>
        </w:rPr>
        <w:t xml:space="preserve"> via </w:t>
      </w:r>
      <w:r w:rsidR="004D0C0A">
        <w:rPr>
          <w:rFonts w:cstheme="minorHAnsi"/>
          <w:i/>
        </w:rPr>
        <w:t xml:space="preserve">het online contactformulier </w:t>
      </w:r>
      <w:r w:rsidRPr="00536798">
        <w:rPr>
          <w:rFonts w:cstheme="minorHAnsi"/>
          <w:i/>
        </w:rPr>
        <w:t>in Vlimpers aan het Dienstencentrum personeelsadministratie</w:t>
      </w:r>
      <w:r w:rsidR="00276F3C">
        <w:rPr>
          <w:rFonts w:cstheme="minorHAnsi"/>
          <w:i/>
        </w:rPr>
        <w:t xml:space="preserve"> (DCPA)</w:t>
      </w:r>
      <w:r w:rsidRPr="00536798">
        <w:rPr>
          <w:rFonts w:cstheme="minorHAnsi"/>
          <w:i/>
        </w:rPr>
        <w:t>.</w:t>
      </w:r>
      <w:r w:rsidRPr="008B23C9">
        <w:rPr>
          <w:rFonts w:cstheme="minorHAnsi"/>
          <w:i/>
        </w:rPr>
        <w:t xml:space="preserve"> </w:t>
      </w:r>
    </w:p>
    <w:p w14:paraId="09F3540E" w14:textId="12D5E07C" w:rsidR="00A93EB3" w:rsidRDefault="00A93EB3" w:rsidP="009A2110">
      <w:pPr>
        <w:jc w:val="both"/>
        <w:rPr>
          <w:rFonts w:cstheme="minorHAnsi"/>
          <w:i/>
          <w:color w:val="auto"/>
        </w:rPr>
      </w:pPr>
      <w:r>
        <w:rPr>
          <w:rFonts w:cstheme="minorHAnsi"/>
          <w:i/>
          <w:color w:val="auto"/>
        </w:rPr>
        <w:t>Gebruik de volgende naamgeving: ‘</w:t>
      </w:r>
      <w:r w:rsidR="00F415A9">
        <w:rPr>
          <w:rFonts w:cstheme="minorHAnsi"/>
          <w:i/>
          <w:color w:val="auto"/>
        </w:rPr>
        <w:t>206</w:t>
      </w:r>
      <w:r>
        <w:rPr>
          <w:rFonts w:cstheme="minorHAnsi"/>
          <w:i/>
          <w:color w:val="auto"/>
        </w:rPr>
        <w:t xml:space="preserve"> Naam en voornaam personeelslid detail </w:t>
      </w:r>
      <w:r w:rsidR="00CF5DB7">
        <w:rPr>
          <w:rFonts w:cstheme="minorHAnsi"/>
          <w:i/>
          <w:color w:val="auto"/>
        </w:rPr>
        <w:t>analytische code</w:t>
      </w:r>
    </w:p>
    <w:p w14:paraId="63316492" w14:textId="50568FE0" w:rsidR="00947B15" w:rsidRDefault="00947B15"/>
    <w:p w14:paraId="22C18FA4" w14:textId="22C4600B" w:rsidR="00B00642" w:rsidRDefault="00B00642">
      <w:pPr>
        <w:rPr>
          <w:b/>
          <w:color w:val="auto"/>
          <w:sz w:val="28"/>
          <w:szCs w:val="28"/>
          <w:u w:val="single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B00642" w:rsidRPr="003D114E" w14:paraId="1A58E5DA" w14:textId="77777777" w:rsidTr="007C149F">
        <w:trPr>
          <w:trHeight w:hRule="exact" w:val="39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C2ECC1B" w14:textId="1FCF35A4" w:rsidR="00B00642" w:rsidRPr="003D114E" w:rsidRDefault="00B77223" w:rsidP="00DB56BE">
            <w:pPr>
              <w:pStyle w:val="Kop2"/>
              <w:spacing w:before="0"/>
              <w:ind w:left="92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CF5DB7">
              <w:rPr>
                <w:rFonts w:cs="Calibri"/>
              </w:rPr>
              <w:t>nalytische code</w:t>
            </w:r>
            <w:r w:rsidR="00B00642">
              <w:rPr>
                <w:rFonts w:cs="Calibri"/>
              </w:rPr>
              <w:t xml:space="preserve"> – bijkomende velden VDAB</w:t>
            </w:r>
            <w:r w:rsidR="00B32076">
              <w:rPr>
                <w:rFonts w:cs="Calibri"/>
              </w:rPr>
              <w:t xml:space="preserve"> </w:t>
            </w:r>
          </w:p>
        </w:tc>
      </w:tr>
    </w:tbl>
    <w:p w14:paraId="5F769EF4" w14:textId="77777777" w:rsidR="00B00642" w:rsidRDefault="00B00642" w:rsidP="00B00642"/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E03D0C" w:rsidRPr="003D114E" w14:paraId="145B68A1" w14:textId="77777777" w:rsidTr="00E03D0C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9CACE5C" w14:textId="0001F639" w:rsidR="00E03D0C" w:rsidRPr="00E03D0C" w:rsidRDefault="00E03D0C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E03D0C">
              <w:rPr>
                <w:b/>
                <w:sz w:val="24"/>
                <w:szCs w:val="24"/>
              </w:rPr>
              <w:t>Deel 1</w:t>
            </w:r>
          </w:p>
        </w:tc>
      </w:tr>
      <w:tr w:rsidR="00B00642" w:rsidRPr="003D114E" w14:paraId="6F505352" w14:textId="77777777" w:rsidTr="00E03D0C">
        <w:trPr>
          <w:trHeight w:val="340"/>
        </w:trPr>
        <w:tc>
          <w:tcPr>
            <w:tcW w:w="283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64BCF0C6" w14:textId="18F75DAC" w:rsidR="00B00642" w:rsidRPr="003D114E" w:rsidRDefault="00B00642" w:rsidP="007C149F">
            <w:pPr>
              <w:jc w:val="right"/>
            </w:pPr>
            <w:r>
              <w:t>Percentage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3F6DB89E" w14:textId="286B8912" w:rsidR="00B00642" w:rsidRPr="003D114E" w:rsidRDefault="00B00642" w:rsidP="007C149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00642" w:rsidRPr="003D114E" w14:paraId="1C0ACF80" w14:textId="77777777" w:rsidTr="00E03D0C">
        <w:trPr>
          <w:trHeight w:val="340"/>
        </w:trPr>
        <w:tc>
          <w:tcPr>
            <w:tcW w:w="2835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14:paraId="77996D64" w14:textId="0FED2D81" w:rsidR="00B00642" w:rsidRPr="003D114E" w:rsidRDefault="00B00642" w:rsidP="00B00642">
            <w:pPr>
              <w:jc w:val="right"/>
            </w:pPr>
            <w:r>
              <w:t>Lkc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</w:p>
        </w:tc>
        <w:tc>
          <w:tcPr>
            <w:tcW w:w="7371" w:type="dxa"/>
            <w:tcBorders>
              <w:top w:val="dotted" w:sz="4" w:space="0" w:color="808080" w:themeColor="background1" w:themeShade="80"/>
            </w:tcBorders>
            <w:shd w:val="clear" w:color="auto" w:fill="auto"/>
          </w:tcPr>
          <w:p w14:paraId="5406983A" w14:textId="4076386D" w:rsidR="00B00642" w:rsidRPr="003D114E" w:rsidRDefault="00B00642" w:rsidP="007C149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00642" w:rsidRPr="003D114E" w14:paraId="06C8B438" w14:textId="77777777" w:rsidTr="00E03D0C">
        <w:trPr>
          <w:trHeight w:val="340"/>
        </w:trPr>
        <w:tc>
          <w:tcPr>
            <w:tcW w:w="2835" w:type="dxa"/>
            <w:shd w:val="clear" w:color="auto" w:fill="auto"/>
          </w:tcPr>
          <w:p w14:paraId="65C72096" w14:textId="13466DC0" w:rsidR="00B00642" w:rsidRPr="003D114E" w:rsidRDefault="00B00642" w:rsidP="007C149F">
            <w:pPr>
              <w:jc w:val="right"/>
              <w:rPr>
                <w:rStyle w:val="Zwaar"/>
                <w:b w:val="0"/>
              </w:rPr>
            </w:pPr>
            <w:r>
              <w:t>Eenheid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371" w:type="dxa"/>
          </w:tcPr>
          <w:p w14:paraId="233A1873" w14:textId="125F92FB" w:rsidR="00B00642" w:rsidRPr="003D114E" w:rsidRDefault="00B00642" w:rsidP="007C149F">
            <w:pPr>
              <w:pStyle w:val="leeg"/>
              <w:jc w:val="left"/>
            </w:pPr>
          </w:p>
        </w:tc>
      </w:tr>
      <w:tr w:rsidR="00B00642" w:rsidRPr="003D114E" w14:paraId="5BE87AF2" w14:textId="77777777" w:rsidTr="00E03D0C">
        <w:trPr>
          <w:trHeight w:val="340"/>
        </w:trPr>
        <w:tc>
          <w:tcPr>
            <w:tcW w:w="2835" w:type="dxa"/>
            <w:shd w:val="clear" w:color="auto" w:fill="auto"/>
          </w:tcPr>
          <w:p w14:paraId="5CB683E9" w14:textId="732FFE94" w:rsidR="00B00642" w:rsidRPr="003D114E" w:rsidRDefault="00B00642" w:rsidP="007C149F">
            <w:pPr>
              <w:jc w:val="right"/>
            </w:pPr>
            <w:r>
              <w:t>Directie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  <w:r>
              <w:t xml:space="preserve">  </w:t>
            </w:r>
          </w:p>
        </w:tc>
        <w:tc>
          <w:tcPr>
            <w:tcW w:w="7371" w:type="dxa"/>
          </w:tcPr>
          <w:p w14:paraId="60EF6AFE" w14:textId="77965171" w:rsidR="00B00642" w:rsidRDefault="00B00642" w:rsidP="007C149F">
            <w:pPr>
              <w:pStyle w:val="leeg"/>
              <w:jc w:val="left"/>
            </w:pPr>
          </w:p>
        </w:tc>
      </w:tr>
      <w:tr w:rsidR="00B00642" w:rsidRPr="003D114E" w14:paraId="3B1B0851" w14:textId="77777777" w:rsidTr="00E03D0C">
        <w:trPr>
          <w:trHeight w:val="340"/>
        </w:trPr>
        <w:tc>
          <w:tcPr>
            <w:tcW w:w="2835" w:type="dxa"/>
            <w:shd w:val="clear" w:color="auto" w:fill="auto"/>
          </w:tcPr>
          <w:p w14:paraId="00C18C9B" w14:textId="279AA81C" w:rsidR="00B00642" w:rsidRPr="003D114E" w:rsidRDefault="00B00642" w:rsidP="007C149F">
            <w:pPr>
              <w:jc w:val="right"/>
            </w:pPr>
            <w:r>
              <w:t>Dienst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1C3BBEFF" w14:textId="5CBF46F9" w:rsidR="00B00642" w:rsidRPr="003D114E" w:rsidRDefault="00B00642" w:rsidP="007C149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00642" w:rsidRPr="003D114E" w14:paraId="5F777B95" w14:textId="77777777" w:rsidTr="00E03D0C">
        <w:trPr>
          <w:trHeight w:val="340"/>
        </w:trPr>
        <w:tc>
          <w:tcPr>
            <w:tcW w:w="2835" w:type="dxa"/>
            <w:shd w:val="clear" w:color="auto" w:fill="auto"/>
          </w:tcPr>
          <w:p w14:paraId="56B8FFF9" w14:textId="486D63CE" w:rsidR="00B00642" w:rsidRDefault="00B00642" w:rsidP="007C149F">
            <w:pPr>
              <w:jc w:val="right"/>
            </w:pPr>
            <w:r>
              <w:t>Gebouw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</w:p>
        </w:tc>
        <w:tc>
          <w:tcPr>
            <w:tcW w:w="7371" w:type="dxa"/>
            <w:shd w:val="clear" w:color="auto" w:fill="auto"/>
          </w:tcPr>
          <w:p w14:paraId="1240EAAC" w14:textId="3112A017" w:rsidR="00B00642" w:rsidRDefault="00B00642" w:rsidP="007C149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00642" w:rsidRPr="003D114E" w14:paraId="40ED7ED0" w14:textId="77777777" w:rsidTr="00E03D0C">
        <w:trPr>
          <w:trHeight w:val="340"/>
        </w:trPr>
        <w:tc>
          <w:tcPr>
            <w:tcW w:w="2835" w:type="dxa"/>
            <w:shd w:val="clear" w:color="auto" w:fill="auto"/>
          </w:tcPr>
          <w:p w14:paraId="54085B80" w14:textId="34E4CBDB" w:rsidR="00B00642" w:rsidRDefault="00B00642" w:rsidP="007C149F">
            <w:pPr>
              <w:jc w:val="right"/>
            </w:pPr>
            <w:r>
              <w:t>Externe opvolging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</w:p>
        </w:tc>
        <w:tc>
          <w:tcPr>
            <w:tcW w:w="7371" w:type="dxa"/>
            <w:shd w:val="clear" w:color="auto" w:fill="auto"/>
          </w:tcPr>
          <w:p w14:paraId="5FAB1264" w14:textId="32945FD5" w:rsidR="00B00642" w:rsidRDefault="00B00642" w:rsidP="007C149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62A55232" w14:textId="49997309" w:rsidR="00B00642" w:rsidRDefault="00B00642">
      <w:pPr>
        <w:rPr>
          <w:b/>
          <w:color w:val="auto"/>
          <w:sz w:val="28"/>
          <w:szCs w:val="28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6378"/>
      </w:tblGrid>
      <w:tr w:rsidR="00E03D0C" w14:paraId="705840E6" w14:textId="77777777" w:rsidTr="00E03D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E09246" w14:textId="740155B8" w:rsidR="00E03D0C" w:rsidRPr="00E03D0C" w:rsidRDefault="00E03D0C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br w:type="page"/>
            </w:r>
            <w:r w:rsidRPr="00E03D0C">
              <w:rPr>
                <w:b/>
                <w:sz w:val="24"/>
                <w:szCs w:val="24"/>
              </w:rPr>
              <w:t>Deel 2</w:t>
            </w:r>
          </w:p>
        </w:tc>
      </w:tr>
      <w:tr w:rsidR="005B56FA" w:rsidRPr="003D114E" w14:paraId="6B027217" w14:textId="77777777" w:rsidTr="00E03D0C">
        <w:trPr>
          <w:trHeight w:val="340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BE9D9C" w14:textId="05564B00" w:rsidR="005B56FA" w:rsidRPr="003D114E" w:rsidRDefault="005B56FA" w:rsidP="007C149F">
            <w:pPr>
              <w:jc w:val="right"/>
            </w:pPr>
            <w:r>
              <w:t>Hoofdfunctie</w:t>
            </w:r>
            <w:r w:rsidR="00DB56BE">
              <w:t xml:space="preserve"> </w:t>
            </w:r>
            <w:r w:rsidR="00DB56BE" w:rsidRPr="0033423E">
              <w:rPr>
                <w:color w:val="auto"/>
              </w:rPr>
              <w:sym w:font="Webdings" w:char="F069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334498BA" w14:textId="3CC5F1F4" w:rsidR="005B56FA" w:rsidRPr="003D114E" w:rsidRDefault="005B56FA" w:rsidP="005B56FA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BE283C">
              <w:rPr>
                <w:bCs/>
                <w:sz w:val="18"/>
                <w:szCs w:val="18"/>
              </w:rPr>
            </w:r>
            <w:r w:rsidR="00BE283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t>Ja</w:t>
            </w: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B12C6F" w14:textId="5A45A777" w:rsidR="005B56FA" w:rsidRPr="003D114E" w:rsidRDefault="005B56FA" w:rsidP="005B56FA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BE283C">
              <w:rPr>
                <w:bCs/>
                <w:sz w:val="18"/>
                <w:szCs w:val="18"/>
              </w:rPr>
            </w:r>
            <w:r w:rsidR="00BE283C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t>Nee</w:t>
            </w:r>
          </w:p>
        </w:tc>
      </w:tr>
      <w:tr w:rsidR="005121AA" w:rsidRPr="003D114E" w14:paraId="5295E3DE" w14:textId="77777777" w:rsidTr="00E03D0C">
        <w:trPr>
          <w:trHeight w:val="340"/>
        </w:trPr>
        <w:tc>
          <w:tcPr>
            <w:tcW w:w="2835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DFDF67" w14:textId="75FC9DBD" w:rsidR="005121AA" w:rsidRPr="003D114E" w:rsidRDefault="00A01191" w:rsidP="00A01191">
            <w:pPr>
              <w:jc w:val="right"/>
            </w:pPr>
            <w:r>
              <w:t>Functiecode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</w:p>
        </w:tc>
        <w:tc>
          <w:tcPr>
            <w:tcW w:w="7371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8A66C8" w14:textId="63A0E9EA" w:rsidR="005121AA" w:rsidRPr="003D114E" w:rsidRDefault="005121AA" w:rsidP="007C149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121AA" w:rsidRPr="003D114E" w14:paraId="1B94EF35" w14:textId="77777777" w:rsidTr="00E03D0C">
        <w:trPr>
          <w:trHeight w:val="340"/>
        </w:trPr>
        <w:tc>
          <w:tcPr>
            <w:tcW w:w="2835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5393FD" w14:textId="10F6207E" w:rsidR="005121AA" w:rsidRPr="003D114E" w:rsidRDefault="00A01191" w:rsidP="007C149F">
            <w:pPr>
              <w:jc w:val="right"/>
              <w:rPr>
                <w:rStyle w:val="Zwaar"/>
                <w:b w:val="0"/>
              </w:rPr>
            </w:pPr>
            <w:r>
              <w:t>Activiteit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  <w:r w:rsidR="005121AA">
              <w:rPr>
                <w:color w:val="0070C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130AB" w14:textId="2F3AA56D" w:rsidR="005121AA" w:rsidRPr="003D114E" w:rsidRDefault="005121AA" w:rsidP="007C149F">
            <w:pPr>
              <w:pStyle w:val="leeg"/>
              <w:jc w:val="left"/>
            </w:pPr>
          </w:p>
        </w:tc>
      </w:tr>
      <w:tr w:rsidR="005121AA" w14:paraId="7B7DEB98" w14:textId="77777777" w:rsidTr="00E03D0C">
        <w:trPr>
          <w:trHeight w:val="340"/>
        </w:trPr>
        <w:tc>
          <w:tcPr>
            <w:tcW w:w="2835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A98AFD" w14:textId="4D492E94" w:rsidR="005121AA" w:rsidRPr="003D114E" w:rsidRDefault="00A01191" w:rsidP="007C149F">
            <w:pPr>
              <w:jc w:val="right"/>
            </w:pPr>
            <w:r>
              <w:t>Afdeling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  <w:r w:rsidR="005121AA">
              <w:t xml:space="preserve">  </w:t>
            </w:r>
          </w:p>
        </w:tc>
        <w:tc>
          <w:tcPr>
            <w:tcW w:w="7371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5D15E" w14:textId="77E92441" w:rsidR="005121AA" w:rsidRDefault="005121AA" w:rsidP="007C149F">
            <w:pPr>
              <w:pStyle w:val="leeg"/>
              <w:jc w:val="left"/>
            </w:pPr>
          </w:p>
        </w:tc>
      </w:tr>
      <w:tr w:rsidR="005121AA" w:rsidRPr="003D114E" w14:paraId="747FFFBB" w14:textId="77777777" w:rsidTr="00E03D0C">
        <w:trPr>
          <w:trHeight w:val="340"/>
        </w:trPr>
        <w:tc>
          <w:tcPr>
            <w:tcW w:w="2835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42E84" w14:textId="0B8CD56F" w:rsidR="005121AA" w:rsidRPr="003D114E" w:rsidRDefault="00A01191" w:rsidP="007C149F">
            <w:pPr>
              <w:jc w:val="right"/>
            </w:pPr>
            <w:r>
              <w:t>Project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  <w:r w:rsidR="005121AA">
              <w:rPr>
                <w:color w:val="0070C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394105" w14:textId="4620D3C4" w:rsidR="005121AA" w:rsidRPr="003D114E" w:rsidRDefault="005121AA" w:rsidP="007C149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EDEFA09" w14:textId="4F1027C0" w:rsidR="00B00642" w:rsidRDefault="00B00642">
      <w:pPr>
        <w:rPr>
          <w:b/>
          <w:color w:val="auto"/>
          <w:sz w:val="28"/>
          <w:szCs w:val="28"/>
          <w:u w:val="single"/>
        </w:rPr>
      </w:pPr>
    </w:p>
    <w:p w14:paraId="42E9C0C5" w14:textId="77777777" w:rsidR="000D1294" w:rsidRDefault="000D1294">
      <w:r>
        <w:rPr>
          <w:b/>
          <w:bCs/>
        </w:rP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E03D0C" w:rsidRPr="003D114E" w14:paraId="1826D106" w14:textId="77777777" w:rsidTr="00DA4DDE">
        <w:trPr>
          <w:trHeight w:hRule="exact" w:val="39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6CB1663" w14:textId="019F08F4" w:rsidR="00E03D0C" w:rsidRPr="003D114E" w:rsidRDefault="00B77223" w:rsidP="003A0FFC">
            <w:pPr>
              <w:pStyle w:val="Kop2"/>
              <w:spacing w:before="0"/>
              <w:ind w:left="9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</w:t>
            </w:r>
            <w:r w:rsidR="00CF5DB7">
              <w:rPr>
                <w:rFonts w:cs="Calibri"/>
              </w:rPr>
              <w:t>nalytische code</w:t>
            </w:r>
            <w:r w:rsidR="00E03D0C">
              <w:rPr>
                <w:rFonts w:cs="Calibri"/>
              </w:rPr>
              <w:t xml:space="preserve"> – bijkomende velden VMM/</w:t>
            </w:r>
            <w:r w:rsidR="003A0FFC">
              <w:rPr>
                <w:rFonts w:cs="Calibri"/>
              </w:rPr>
              <w:t>VLM</w:t>
            </w:r>
            <w:r w:rsidR="00E03D0C">
              <w:rPr>
                <w:rFonts w:cs="Calibri"/>
              </w:rPr>
              <w:t xml:space="preserve"> </w:t>
            </w:r>
            <w:r w:rsidR="00E03D0C" w:rsidRPr="0033423E">
              <w:rPr>
                <w:rFonts w:cs="Calibri"/>
              </w:rPr>
              <w:sym w:font="Webdings" w:char="F069"/>
            </w:r>
          </w:p>
        </w:tc>
      </w:tr>
    </w:tbl>
    <w:p w14:paraId="242D8CBA" w14:textId="77777777" w:rsidR="00E03D0C" w:rsidRDefault="00E03D0C" w:rsidP="00E03D0C"/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E03D0C" w:rsidRPr="003D114E" w14:paraId="03E17D50" w14:textId="77777777" w:rsidTr="00DA4DDE">
        <w:trPr>
          <w:trHeight w:val="340"/>
        </w:trPr>
        <w:tc>
          <w:tcPr>
            <w:tcW w:w="2835" w:type="dxa"/>
            <w:shd w:val="clear" w:color="auto" w:fill="auto"/>
          </w:tcPr>
          <w:p w14:paraId="027C823B" w14:textId="64D13E9D" w:rsidR="00E03D0C" w:rsidRPr="003D114E" w:rsidRDefault="00E03D0C" w:rsidP="00DA4DDE">
            <w:pPr>
              <w:jc w:val="right"/>
            </w:pPr>
            <w:r>
              <w:t>Percentage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</w:p>
        </w:tc>
        <w:tc>
          <w:tcPr>
            <w:tcW w:w="7371" w:type="dxa"/>
            <w:shd w:val="clear" w:color="auto" w:fill="auto"/>
          </w:tcPr>
          <w:p w14:paraId="7D9CCFEC" w14:textId="77777777" w:rsidR="00E03D0C" w:rsidRPr="003D114E" w:rsidRDefault="00E03D0C" w:rsidP="00DA4DD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03D0C" w:rsidRPr="003D114E" w14:paraId="36F777BF" w14:textId="77777777" w:rsidTr="00DA4DDE">
        <w:trPr>
          <w:trHeight w:val="340"/>
        </w:trPr>
        <w:tc>
          <w:tcPr>
            <w:tcW w:w="2835" w:type="dxa"/>
            <w:shd w:val="clear" w:color="auto" w:fill="auto"/>
          </w:tcPr>
          <w:p w14:paraId="7C9111BE" w14:textId="724C722C" w:rsidR="00E03D0C" w:rsidRPr="003D114E" w:rsidRDefault="00E03D0C" w:rsidP="00DA4DDE">
            <w:pPr>
              <w:jc w:val="right"/>
            </w:pPr>
            <w:r>
              <w:t>Opmerking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FFFFFF" w:themeColor="background1"/>
              </w:rPr>
              <w:sym w:font="Webdings" w:char="F069"/>
            </w:r>
          </w:p>
        </w:tc>
        <w:tc>
          <w:tcPr>
            <w:tcW w:w="7371" w:type="dxa"/>
            <w:shd w:val="clear" w:color="auto" w:fill="auto"/>
          </w:tcPr>
          <w:p w14:paraId="6462A241" w14:textId="77777777" w:rsidR="00E03D0C" w:rsidRPr="003D114E" w:rsidRDefault="00E03D0C" w:rsidP="00DA4DD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03D0C" w:rsidRPr="003D114E" w14:paraId="414B63E6" w14:textId="77777777" w:rsidTr="00DA4DDE">
        <w:trPr>
          <w:trHeight w:val="340"/>
        </w:trPr>
        <w:tc>
          <w:tcPr>
            <w:tcW w:w="2835" w:type="dxa"/>
            <w:shd w:val="clear" w:color="auto" w:fill="auto"/>
          </w:tcPr>
          <w:p w14:paraId="4EB9B5F3" w14:textId="0507D3A0" w:rsidR="00E03D0C" w:rsidRPr="003D114E" w:rsidRDefault="00E03D0C" w:rsidP="00DA4DDE">
            <w:pPr>
              <w:jc w:val="right"/>
              <w:rPr>
                <w:rStyle w:val="Zwaar"/>
                <w:b w:val="0"/>
              </w:rPr>
            </w:pPr>
            <w:r>
              <w:t>Analytische code 1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auto"/>
              </w:rPr>
              <w:sym w:font="Webdings" w:char="F069"/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371" w:type="dxa"/>
          </w:tcPr>
          <w:p w14:paraId="458603C5" w14:textId="77777777" w:rsidR="00E03D0C" w:rsidRPr="003D114E" w:rsidRDefault="00E03D0C" w:rsidP="00DA4DDE">
            <w:pPr>
              <w:pStyle w:val="leeg"/>
              <w:jc w:val="left"/>
            </w:pPr>
          </w:p>
        </w:tc>
      </w:tr>
      <w:tr w:rsidR="00E03D0C" w:rsidRPr="003D114E" w14:paraId="5A3E698C" w14:textId="77777777" w:rsidTr="00DA4DDE">
        <w:trPr>
          <w:trHeight w:val="340"/>
        </w:trPr>
        <w:tc>
          <w:tcPr>
            <w:tcW w:w="2835" w:type="dxa"/>
            <w:shd w:val="clear" w:color="auto" w:fill="auto"/>
          </w:tcPr>
          <w:p w14:paraId="04444567" w14:textId="792C184E" w:rsidR="00E03D0C" w:rsidRPr="003D114E" w:rsidRDefault="00E03D0C" w:rsidP="00DA4DDE">
            <w:pPr>
              <w:jc w:val="right"/>
            </w:pPr>
            <w:r>
              <w:t>Analytische code 2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auto"/>
              </w:rPr>
              <w:sym w:font="Webdings" w:char="F069"/>
            </w:r>
            <w:r>
              <w:t xml:space="preserve">  </w:t>
            </w:r>
          </w:p>
        </w:tc>
        <w:tc>
          <w:tcPr>
            <w:tcW w:w="7371" w:type="dxa"/>
          </w:tcPr>
          <w:p w14:paraId="4A272189" w14:textId="77777777" w:rsidR="00E03D0C" w:rsidRDefault="00E03D0C" w:rsidP="00DA4DDE">
            <w:pPr>
              <w:pStyle w:val="leeg"/>
              <w:jc w:val="left"/>
            </w:pPr>
          </w:p>
        </w:tc>
      </w:tr>
      <w:tr w:rsidR="00E03D0C" w:rsidRPr="003D114E" w14:paraId="7F68B23F" w14:textId="77777777" w:rsidTr="00DA4DDE">
        <w:trPr>
          <w:trHeight w:val="340"/>
        </w:trPr>
        <w:tc>
          <w:tcPr>
            <w:tcW w:w="2835" w:type="dxa"/>
            <w:shd w:val="clear" w:color="auto" w:fill="auto"/>
          </w:tcPr>
          <w:p w14:paraId="27640577" w14:textId="7D1390C5" w:rsidR="00E03D0C" w:rsidRPr="003D114E" w:rsidRDefault="00E03D0C" w:rsidP="00DA4DDE">
            <w:pPr>
              <w:jc w:val="right"/>
            </w:pPr>
            <w:r>
              <w:t>Analytische code 3</w:t>
            </w:r>
            <w:r w:rsidR="00DB56BE" w:rsidRPr="00DB56BE">
              <w:rPr>
                <w:color w:val="FFFFFF" w:themeColor="background1"/>
              </w:rPr>
              <w:t xml:space="preserve"> </w:t>
            </w:r>
            <w:r w:rsidR="00DB56BE" w:rsidRPr="00DB56BE">
              <w:rPr>
                <w:color w:val="auto"/>
              </w:rPr>
              <w:sym w:font="Webdings" w:char="F069"/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43326565" w14:textId="77777777" w:rsidR="00E03D0C" w:rsidRPr="003D114E" w:rsidRDefault="00E03D0C" w:rsidP="00DA4DD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6E8B23EE" w14:textId="77777777" w:rsidR="00E03D0C" w:rsidRDefault="00E03D0C" w:rsidP="00E03D0C">
      <w:pPr>
        <w:rPr>
          <w:b/>
          <w:color w:val="auto"/>
          <w:sz w:val="28"/>
          <w:szCs w:val="28"/>
          <w:u w:val="single"/>
        </w:rPr>
      </w:pPr>
    </w:p>
    <w:tbl>
      <w:tblPr>
        <w:tblStyle w:val="Tabelraster"/>
        <w:tblW w:w="10346" w:type="dxa"/>
        <w:tblLayout w:type="fixed"/>
        <w:tblLook w:val="06A0" w:firstRow="1" w:lastRow="0" w:firstColumn="1" w:lastColumn="0" w:noHBand="1" w:noVBand="1"/>
      </w:tblPr>
      <w:tblGrid>
        <w:gridCol w:w="10346"/>
      </w:tblGrid>
      <w:tr w:rsidR="00CE7D9F" w14:paraId="5C9DC837" w14:textId="77777777" w:rsidTr="004448FD">
        <w:trPr>
          <w:trHeight w:val="397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1203BAA" w14:textId="4E8BE85D" w:rsidR="00CE7D9F" w:rsidRDefault="00CF5DB7" w:rsidP="004448FD">
            <w:pPr>
              <w:pStyle w:val="Kop2"/>
              <w:spacing w:before="0"/>
              <w:ind w:left="80"/>
              <w:rPr>
                <w:rFonts w:cs="Calibri"/>
              </w:rPr>
            </w:pPr>
            <w:r>
              <w:t>Analytische code</w:t>
            </w:r>
            <w:r w:rsidR="00CE7D9F">
              <w:t xml:space="preserve"> – bijkomende velden OGR </w:t>
            </w:r>
            <w:r w:rsidR="00CE7D9F" w:rsidRPr="511EC2A4">
              <w:rPr>
                <w:rFonts w:ascii="Webdings" w:eastAsia="Webdings" w:hAnsi="Webdings" w:cs="Webdings"/>
              </w:rPr>
              <w:t></w:t>
            </w:r>
          </w:p>
        </w:tc>
      </w:tr>
    </w:tbl>
    <w:p w14:paraId="2C16CF8E" w14:textId="77777777" w:rsidR="00CE7D9F" w:rsidRDefault="00CE7D9F" w:rsidP="00CE7D9F">
      <w:pPr>
        <w:rPr>
          <w:b/>
          <w:color w:val="auto"/>
          <w:sz w:val="28"/>
          <w:szCs w:val="28"/>
          <w:u w:val="single"/>
        </w:rPr>
      </w:pPr>
    </w:p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CE7D9F" w:rsidRPr="003D114E" w14:paraId="1F2AD54A" w14:textId="77777777" w:rsidTr="004448FD">
        <w:trPr>
          <w:trHeight w:val="340"/>
        </w:trPr>
        <w:tc>
          <w:tcPr>
            <w:tcW w:w="2835" w:type="dxa"/>
            <w:shd w:val="clear" w:color="auto" w:fill="auto"/>
          </w:tcPr>
          <w:p w14:paraId="022551CE" w14:textId="77777777" w:rsidR="00CE7D9F" w:rsidRPr="003D114E" w:rsidRDefault="00CE7D9F" w:rsidP="004448FD">
            <w:pPr>
              <w:jc w:val="right"/>
            </w:pPr>
            <w:r>
              <w:t xml:space="preserve">Team (rekeningcode)  </w:t>
            </w:r>
          </w:p>
        </w:tc>
        <w:tc>
          <w:tcPr>
            <w:tcW w:w="7371" w:type="dxa"/>
            <w:shd w:val="clear" w:color="auto" w:fill="auto"/>
          </w:tcPr>
          <w:p w14:paraId="6CC00FCB" w14:textId="77777777" w:rsidR="00CE7D9F" w:rsidRPr="003D114E" w:rsidRDefault="00CE7D9F" w:rsidP="004448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E7D9F" w:rsidRPr="003D114E" w14:paraId="19BD6A84" w14:textId="77777777" w:rsidTr="004448FD">
        <w:trPr>
          <w:trHeight w:val="340"/>
        </w:trPr>
        <w:tc>
          <w:tcPr>
            <w:tcW w:w="2835" w:type="dxa"/>
            <w:shd w:val="clear" w:color="auto" w:fill="auto"/>
          </w:tcPr>
          <w:p w14:paraId="494529B6" w14:textId="77777777" w:rsidR="00CE7D9F" w:rsidRDefault="00CE7D9F" w:rsidP="004448FD">
            <w:pPr>
              <w:jc w:val="right"/>
            </w:pPr>
            <w:r>
              <w:t>Percentage</w:t>
            </w:r>
            <w:r w:rsidRPr="00DB56BE">
              <w:rPr>
                <w:color w:val="FFFFFF" w:themeColor="background1"/>
              </w:rPr>
              <w:t xml:space="preserve"> </w:t>
            </w:r>
            <w:r w:rsidRPr="00DB56BE">
              <w:rPr>
                <w:rFonts w:ascii="Webdings" w:eastAsia="Webdings" w:hAnsi="Webdings" w:cs="Webdings"/>
                <w:color w:val="FFFFFF" w:themeColor="background1"/>
              </w:rPr>
              <w:t></w:t>
            </w:r>
          </w:p>
        </w:tc>
        <w:tc>
          <w:tcPr>
            <w:tcW w:w="7371" w:type="dxa"/>
            <w:shd w:val="clear" w:color="auto" w:fill="auto"/>
          </w:tcPr>
          <w:p w14:paraId="7D5DFCEF" w14:textId="77777777" w:rsidR="00CE7D9F" w:rsidRPr="003D114E" w:rsidRDefault="00CE7D9F" w:rsidP="004448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E7D9F" w:rsidRPr="003D114E" w14:paraId="08415321" w14:textId="77777777" w:rsidTr="004448FD">
        <w:trPr>
          <w:trHeight w:val="340"/>
        </w:trPr>
        <w:tc>
          <w:tcPr>
            <w:tcW w:w="2835" w:type="dxa"/>
            <w:shd w:val="clear" w:color="auto" w:fill="auto"/>
          </w:tcPr>
          <w:p w14:paraId="12AC1004" w14:textId="77777777" w:rsidR="00CE7D9F" w:rsidRPr="003D114E" w:rsidRDefault="00CE7D9F" w:rsidP="004448FD">
            <w:pPr>
              <w:jc w:val="right"/>
            </w:pPr>
            <w:r>
              <w:t>Opmerking</w:t>
            </w:r>
            <w:r w:rsidRPr="00DB56BE">
              <w:rPr>
                <w:color w:val="FFFFFF" w:themeColor="background1"/>
              </w:rPr>
              <w:t xml:space="preserve"> </w:t>
            </w:r>
            <w:r w:rsidRPr="00DB56BE">
              <w:rPr>
                <w:rFonts w:ascii="Webdings" w:eastAsia="Webdings" w:hAnsi="Webdings" w:cs="Webdings"/>
                <w:color w:val="FFFFFF" w:themeColor="background1"/>
              </w:rPr>
              <w:t></w:t>
            </w:r>
          </w:p>
        </w:tc>
        <w:tc>
          <w:tcPr>
            <w:tcW w:w="7371" w:type="dxa"/>
            <w:shd w:val="clear" w:color="auto" w:fill="auto"/>
          </w:tcPr>
          <w:p w14:paraId="6DEF168F" w14:textId="77777777" w:rsidR="00CE7D9F" w:rsidRPr="003D114E" w:rsidRDefault="00CE7D9F" w:rsidP="004448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E7D9F" w:rsidRPr="003D114E" w14:paraId="34CD9688" w14:textId="77777777" w:rsidTr="004448FD">
        <w:trPr>
          <w:trHeight w:val="340"/>
        </w:trPr>
        <w:tc>
          <w:tcPr>
            <w:tcW w:w="2835" w:type="dxa"/>
            <w:shd w:val="clear" w:color="auto" w:fill="auto"/>
          </w:tcPr>
          <w:p w14:paraId="4D1ED11C" w14:textId="77777777" w:rsidR="00CE7D9F" w:rsidRPr="003D114E" w:rsidRDefault="00CE7D9F" w:rsidP="004448FD">
            <w:pPr>
              <w:jc w:val="right"/>
              <w:rPr>
                <w:rStyle w:val="Zwaar"/>
                <w:b w:val="0"/>
              </w:rPr>
            </w:pPr>
            <w:r>
              <w:t>Analytische code 1</w:t>
            </w:r>
            <w:r w:rsidRPr="00DB56BE">
              <w:rPr>
                <w:color w:val="FFFFFF" w:themeColor="background1"/>
              </w:rPr>
              <w:t xml:space="preserve"> </w:t>
            </w:r>
            <w:r w:rsidRPr="00DB56BE">
              <w:rPr>
                <w:rFonts w:ascii="Webdings" w:eastAsia="Webdings" w:hAnsi="Webdings" w:cs="Webdings"/>
                <w:color w:val="auto"/>
              </w:rPr>
              <w:t>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371" w:type="dxa"/>
          </w:tcPr>
          <w:p w14:paraId="3248FAE3" w14:textId="77777777" w:rsidR="00CE7D9F" w:rsidRPr="003D114E" w:rsidRDefault="00CE7D9F" w:rsidP="004448FD">
            <w:pPr>
              <w:pStyle w:val="leeg"/>
              <w:jc w:val="left"/>
            </w:pPr>
          </w:p>
        </w:tc>
      </w:tr>
      <w:tr w:rsidR="00CE7D9F" w:rsidRPr="003D114E" w14:paraId="19ACD760" w14:textId="77777777" w:rsidTr="004448FD">
        <w:trPr>
          <w:trHeight w:val="340"/>
        </w:trPr>
        <w:tc>
          <w:tcPr>
            <w:tcW w:w="2835" w:type="dxa"/>
            <w:shd w:val="clear" w:color="auto" w:fill="auto"/>
          </w:tcPr>
          <w:p w14:paraId="4E149E7F" w14:textId="77777777" w:rsidR="00CE7D9F" w:rsidRPr="003D114E" w:rsidRDefault="00CE7D9F" w:rsidP="004448FD">
            <w:pPr>
              <w:jc w:val="right"/>
            </w:pPr>
            <w:r>
              <w:t>Analytische code 2</w:t>
            </w:r>
            <w:r w:rsidRPr="00DB56BE">
              <w:rPr>
                <w:color w:val="FFFFFF" w:themeColor="background1"/>
              </w:rPr>
              <w:t xml:space="preserve"> </w:t>
            </w:r>
            <w:r w:rsidRPr="00DB56BE">
              <w:rPr>
                <w:rFonts w:ascii="Webdings" w:eastAsia="Webdings" w:hAnsi="Webdings" w:cs="Webdings"/>
                <w:color w:val="auto"/>
              </w:rPr>
              <w:t></w:t>
            </w:r>
            <w:r>
              <w:t xml:space="preserve">  </w:t>
            </w:r>
          </w:p>
        </w:tc>
        <w:tc>
          <w:tcPr>
            <w:tcW w:w="7371" w:type="dxa"/>
          </w:tcPr>
          <w:p w14:paraId="081145BB" w14:textId="77777777" w:rsidR="00CE7D9F" w:rsidRDefault="00CE7D9F" w:rsidP="004448FD">
            <w:pPr>
              <w:pStyle w:val="leeg"/>
              <w:jc w:val="left"/>
            </w:pPr>
          </w:p>
        </w:tc>
      </w:tr>
      <w:tr w:rsidR="00CE7D9F" w:rsidRPr="003D114E" w14:paraId="4FCC6ABB" w14:textId="77777777" w:rsidTr="004448FD">
        <w:trPr>
          <w:trHeight w:val="340"/>
        </w:trPr>
        <w:tc>
          <w:tcPr>
            <w:tcW w:w="2835" w:type="dxa"/>
            <w:shd w:val="clear" w:color="auto" w:fill="auto"/>
          </w:tcPr>
          <w:p w14:paraId="16CF3972" w14:textId="77777777" w:rsidR="00CE7D9F" w:rsidRPr="003D114E" w:rsidRDefault="00CE7D9F" w:rsidP="004448FD">
            <w:pPr>
              <w:jc w:val="right"/>
            </w:pPr>
            <w:r>
              <w:t>Analytische code 3</w:t>
            </w:r>
            <w:r w:rsidRPr="00DB56BE">
              <w:rPr>
                <w:color w:val="FFFFFF" w:themeColor="background1"/>
              </w:rPr>
              <w:t xml:space="preserve"> </w:t>
            </w:r>
            <w:r w:rsidRPr="00DB56BE">
              <w:rPr>
                <w:rFonts w:ascii="Webdings" w:eastAsia="Webdings" w:hAnsi="Webdings" w:cs="Webdings"/>
                <w:color w:val="auto"/>
              </w:rPr>
              <w:t>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26DB8D67" w14:textId="77777777" w:rsidR="00CE7D9F" w:rsidRPr="003D114E" w:rsidRDefault="00CE7D9F" w:rsidP="004448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E7D9F" w:rsidRPr="003D114E" w14:paraId="13BAF74C" w14:textId="77777777" w:rsidTr="004448FD">
        <w:trPr>
          <w:trHeight w:val="340"/>
        </w:trPr>
        <w:tc>
          <w:tcPr>
            <w:tcW w:w="2835" w:type="dxa"/>
            <w:shd w:val="clear" w:color="auto" w:fill="auto"/>
          </w:tcPr>
          <w:p w14:paraId="70275841" w14:textId="77777777" w:rsidR="00CE7D9F" w:rsidRDefault="00CE7D9F" w:rsidP="004448FD">
            <w:pPr>
              <w:jc w:val="right"/>
            </w:pPr>
            <w:r>
              <w:t xml:space="preserve">Analytische code 4 </w:t>
            </w:r>
            <w:r w:rsidRPr="00DB56BE">
              <w:rPr>
                <w:rFonts w:ascii="Webdings" w:eastAsia="Webdings" w:hAnsi="Webdings" w:cs="Webdings"/>
                <w:color w:val="auto"/>
              </w:rPr>
              <w:t></w:t>
            </w:r>
            <w:r>
              <w:t xml:space="preserve">    </w:t>
            </w:r>
          </w:p>
        </w:tc>
        <w:tc>
          <w:tcPr>
            <w:tcW w:w="7371" w:type="dxa"/>
            <w:shd w:val="clear" w:color="auto" w:fill="auto"/>
          </w:tcPr>
          <w:p w14:paraId="3071AB07" w14:textId="77777777" w:rsidR="00CE7D9F" w:rsidRPr="003D114E" w:rsidRDefault="00CE7D9F" w:rsidP="004448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0AAA36D4" w14:textId="4821B9A9" w:rsidR="00F86EC8" w:rsidRDefault="00F86EC8">
      <w:pPr>
        <w:rPr>
          <w:b/>
          <w:color w:val="auto"/>
          <w:sz w:val="28"/>
          <w:szCs w:val="28"/>
          <w:u w:val="single"/>
        </w:rPr>
      </w:pPr>
    </w:p>
    <w:bookmarkStart w:id="0" w:name="BijkomendeUitleg"/>
    <w:p w14:paraId="2B5AF1A6" w14:textId="5B7184FD" w:rsidR="00651F10" w:rsidRPr="00D77FFB" w:rsidRDefault="00BE283C" w:rsidP="004D0C0A">
      <w:pPr>
        <w:rPr>
          <w:b/>
          <w:color w:val="auto"/>
          <w:sz w:val="28"/>
          <w:szCs w:val="28"/>
          <w:u w:val="single"/>
        </w:rPr>
      </w:pPr>
      <w:sdt>
        <w:sdtPr>
          <w:rPr>
            <w:b/>
            <w:color w:val="auto"/>
            <w:sz w:val="28"/>
            <w:szCs w:val="28"/>
            <w:u w:val="single"/>
          </w:rPr>
          <w:id w:val="1510948974"/>
          <w:placeholder>
            <w:docPart w:val="DefaultPlaceholder_-1854013440"/>
          </w:placeholder>
        </w:sdtPr>
        <w:sdtEndPr/>
        <w:sdtContent>
          <w:r w:rsidR="00A11549" w:rsidRPr="00D77FFB">
            <w:rPr>
              <w:b/>
              <w:color w:val="auto"/>
              <w:sz w:val="28"/>
              <w:szCs w:val="28"/>
              <w:u w:val="single"/>
            </w:rPr>
            <w:t>Bijkomende uitleg</w:t>
          </w:r>
        </w:sdtContent>
      </w:sdt>
      <w:r w:rsidR="00B47D5C" w:rsidRPr="00D77FFB">
        <w:rPr>
          <w:b/>
          <w:color w:val="auto"/>
          <w:sz w:val="28"/>
          <w:szCs w:val="28"/>
          <w:u w:val="single"/>
        </w:rPr>
        <w:t xml:space="preserve"> </w:t>
      </w:r>
    </w:p>
    <w:bookmarkEnd w:id="0"/>
    <w:p w14:paraId="4ACFB100" w14:textId="5E094450" w:rsidR="00B47D5C" w:rsidRDefault="00B47D5C" w:rsidP="004D0C0A"/>
    <w:p w14:paraId="43B52C9B" w14:textId="7F4EF75B" w:rsidR="00CD0E84" w:rsidRPr="00011471" w:rsidRDefault="00CD0E84" w:rsidP="00CD0E84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Algemeen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813"/>
      </w:tblGrid>
      <w:tr w:rsidR="00CD0E84" w14:paraId="29979C85" w14:textId="77777777" w:rsidTr="00DA4DDE">
        <w:tc>
          <w:tcPr>
            <w:tcW w:w="2552" w:type="dxa"/>
          </w:tcPr>
          <w:p w14:paraId="187D080F" w14:textId="108AC110" w:rsidR="00CD0E84" w:rsidRDefault="00BF6ED6" w:rsidP="00CD0E84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Dupliceren</w:t>
            </w:r>
            <w:r w:rsidR="00CD0E84">
              <w:rPr>
                <w:color w:val="auto"/>
              </w:rPr>
              <w:t xml:space="preserve"> van tabellen</w:t>
            </w:r>
          </w:p>
        </w:tc>
        <w:tc>
          <w:tcPr>
            <w:tcW w:w="7813" w:type="dxa"/>
          </w:tcPr>
          <w:p w14:paraId="0FAAE172" w14:textId="3670C0C2" w:rsidR="00CD0E84" w:rsidRPr="0038025C" w:rsidRDefault="006B07F6" w:rsidP="00E73E3C">
            <w:pPr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Tabellen kunnen gemakkelijk gedupliceerd worden, omdat dit document geen beveiliging heeft. Dit kan gewoon door de hele tabel te selecteren, te kopiëren en op een </w:t>
            </w:r>
            <w:r w:rsidR="00227742">
              <w:rPr>
                <w:color w:val="auto"/>
              </w:rPr>
              <w:t>andere</w:t>
            </w:r>
            <w:r>
              <w:rPr>
                <w:color w:val="auto"/>
              </w:rPr>
              <w:t xml:space="preserve"> plaats te plakken.</w:t>
            </w:r>
          </w:p>
        </w:tc>
      </w:tr>
    </w:tbl>
    <w:p w14:paraId="7AB9C848" w14:textId="4ED3C372" w:rsidR="006677C3" w:rsidRDefault="006677C3" w:rsidP="00011471"/>
    <w:p w14:paraId="2FDAA19C" w14:textId="6C10EBBE" w:rsidR="000B22C5" w:rsidRPr="00011471" w:rsidRDefault="0038025C" w:rsidP="000B22C5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VDAB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813"/>
      </w:tblGrid>
      <w:tr w:rsidR="000B22C5" w14:paraId="55F77A71" w14:textId="77777777" w:rsidTr="00830263">
        <w:tc>
          <w:tcPr>
            <w:tcW w:w="2552" w:type="dxa"/>
          </w:tcPr>
          <w:p w14:paraId="7176BC9A" w14:textId="27B280E3" w:rsidR="000B22C5" w:rsidRDefault="0038025C" w:rsidP="00830263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Hoofdfunctie</w:t>
            </w:r>
          </w:p>
        </w:tc>
        <w:tc>
          <w:tcPr>
            <w:tcW w:w="7813" w:type="dxa"/>
          </w:tcPr>
          <w:p w14:paraId="732E6577" w14:textId="4F973B37" w:rsidR="000B22C5" w:rsidRPr="0038025C" w:rsidRDefault="0038025C" w:rsidP="00E73E3C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Om “Ja” of “Nee”</w:t>
            </w:r>
            <w:r w:rsidR="00E73E3C">
              <w:rPr>
                <w:color w:val="auto"/>
              </w:rPr>
              <w:t xml:space="preserve"> aan te duiden, kan</w:t>
            </w:r>
            <w:r w:rsidR="00C66C64">
              <w:rPr>
                <w:color w:val="auto"/>
              </w:rPr>
              <w:t xml:space="preserve"> </w:t>
            </w:r>
            <w:r w:rsidR="00E73E3C">
              <w:rPr>
                <w:color w:val="auto"/>
              </w:rPr>
              <w:t>je</w:t>
            </w:r>
            <w:r w:rsidR="00C66C64">
              <w:rPr>
                <w:color w:val="auto"/>
              </w:rPr>
              <w:t xml:space="preserve"> ofwel het </w:t>
            </w:r>
            <w:r w:rsidR="00637023">
              <w:rPr>
                <w:color w:val="auto"/>
              </w:rPr>
              <w:t>selectie</w:t>
            </w:r>
            <w:r w:rsidR="00C66C64">
              <w:rPr>
                <w:color w:val="auto"/>
              </w:rPr>
              <w:t xml:space="preserve">vakje door een “X” vervangen ofwel op het te kiezen </w:t>
            </w:r>
            <w:r w:rsidR="00637023">
              <w:rPr>
                <w:color w:val="auto"/>
              </w:rPr>
              <w:t>selectie</w:t>
            </w:r>
            <w:r w:rsidR="00C66C64">
              <w:rPr>
                <w:color w:val="auto"/>
              </w:rPr>
              <w:t xml:space="preserve">vakje dubbelklikken en de standaardwaarde op “Ingeschakeld” zetten. </w:t>
            </w:r>
          </w:p>
        </w:tc>
      </w:tr>
    </w:tbl>
    <w:p w14:paraId="2109E9AF" w14:textId="46AEAEDF" w:rsidR="00CD0E84" w:rsidRDefault="00CD0E84" w:rsidP="00011471"/>
    <w:p w14:paraId="268EE616" w14:textId="17695CF9" w:rsidR="00A50A78" w:rsidRPr="00011471" w:rsidRDefault="002778CF" w:rsidP="002778CF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A50A78">
        <w:rPr>
          <w:b/>
          <w:szCs w:val="24"/>
        </w:rPr>
        <w:t>VMM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813"/>
      </w:tblGrid>
      <w:tr w:rsidR="00A50A78" w14:paraId="1E5736AD" w14:textId="77777777" w:rsidTr="00DA4DDE">
        <w:tc>
          <w:tcPr>
            <w:tcW w:w="2552" w:type="dxa"/>
          </w:tcPr>
          <w:p w14:paraId="531D9DB3" w14:textId="77777777" w:rsidR="00A50A78" w:rsidRDefault="00A50A78" w:rsidP="00DA4DDE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Analytische code 1</w:t>
            </w:r>
          </w:p>
        </w:tc>
        <w:tc>
          <w:tcPr>
            <w:tcW w:w="7813" w:type="dxa"/>
          </w:tcPr>
          <w:p w14:paraId="3237B63E" w14:textId="04769AF3" w:rsidR="00A50A78" w:rsidRPr="0038025C" w:rsidRDefault="00A50A78" w:rsidP="00DA4DDE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Maximaal 4 karakters</w:t>
            </w:r>
          </w:p>
        </w:tc>
      </w:tr>
      <w:tr w:rsidR="00A50A78" w14:paraId="25E04FC9" w14:textId="77777777" w:rsidTr="00DA4DDE">
        <w:tc>
          <w:tcPr>
            <w:tcW w:w="2552" w:type="dxa"/>
          </w:tcPr>
          <w:p w14:paraId="12D94FA3" w14:textId="0BA27969" w:rsidR="00A50A78" w:rsidRDefault="00A50A78" w:rsidP="00DA4DDE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Analytische code 2/3</w:t>
            </w:r>
          </w:p>
        </w:tc>
        <w:tc>
          <w:tcPr>
            <w:tcW w:w="7813" w:type="dxa"/>
          </w:tcPr>
          <w:p w14:paraId="35D0C9F3" w14:textId="3455813E" w:rsidR="00A50A78" w:rsidRPr="0038025C" w:rsidRDefault="00A50A78" w:rsidP="00DA4DDE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Wordt niet ingevuld</w:t>
            </w:r>
          </w:p>
        </w:tc>
      </w:tr>
    </w:tbl>
    <w:p w14:paraId="32F636CD" w14:textId="0383F44D" w:rsidR="00A50A78" w:rsidRDefault="00A50A78" w:rsidP="00011471"/>
    <w:p w14:paraId="0A834E9A" w14:textId="77777777" w:rsidR="008827BC" w:rsidRPr="00011471" w:rsidRDefault="008827BC" w:rsidP="008827BC">
      <w:pPr>
        <w:rPr>
          <w:b/>
          <w:szCs w:val="24"/>
        </w:rPr>
      </w:pPr>
      <w:r>
        <w:rPr>
          <w:b/>
          <w:szCs w:val="24"/>
        </w:rPr>
        <w:t>OGR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813"/>
      </w:tblGrid>
      <w:tr w:rsidR="008827BC" w14:paraId="2C8DE3CB" w14:textId="77777777" w:rsidTr="004448FD">
        <w:tc>
          <w:tcPr>
            <w:tcW w:w="2552" w:type="dxa"/>
          </w:tcPr>
          <w:p w14:paraId="6A6B1374" w14:textId="77777777" w:rsidR="008827BC" w:rsidRDefault="008827BC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Analytische code 1</w:t>
            </w:r>
          </w:p>
          <w:p w14:paraId="28D63B1C" w14:textId="77777777" w:rsidR="008827BC" w:rsidRDefault="008827BC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Analytische code 2</w:t>
            </w:r>
          </w:p>
        </w:tc>
        <w:tc>
          <w:tcPr>
            <w:tcW w:w="7813" w:type="dxa"/>
          </w:tcPr>
          <w:p w14:paraId="6C0B210E" w14:textId="279E6BE9" w:rsidR="00643170" w:rsidRPr="00643170" w:rsidRDefault="00830BD3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Moet s</w:t>
            </w:r>
            <w:r w:rsidR="00643170" w:rsidRPr="00643170">
              <w:rPr>
                <w:color w:val="auto"/>
              </w:rPr>
              <w:t>teeds in</w:t>
            </w:r>
            <w:r>
              <w:rPr>
                <w:color w:val="auto"/>
              </w:rPr>
              <w:t>gevuld worden (</w:t>
            </w:r>
            <w:r w:rsidR="00643170" w:rsidRPr="00643170">
              <w:rPr>
                <w:color w:val="auto"/>
              </w:rPr>
              <w:t>kan gelijk zijn aan analytische code 2</w:t>
            </w:r>
            <w:r w:rsidR="001B50CC">
              <w:rPr>
                <w:color w:val="auto"/>
              </w:rPr>
              <w:t xml:space="preserve">, </w:t>
            </w:r>
            <w:r w:rsidR="00643170" w:rsidRPr="00643170">
              <w:rPr>
                <w:color w:val="auto"/>
              </w:rPr>
              <w:t>maar dit is niet noodzakelijk</w:t>
            </w:r>
            <w:r>
              <w:rPr>
                <w:color w:val="auto"/>
              </w:rPr>
              <w:t>)</w:t>
            </w:r>
          </w:p>
          <w:p w14:paraId="329F83BE" w14:textId="1E318013" w:rsidR="008827BC" w:rsidRPr="0038025C" w:rsidRDefault="008827BC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Functiebenaming voluit schrijven</w:t>
            </w:r>
          </w:p>
        </w:tc>
      </w:tr>
      <w:tr w:rsidR="008827BC" w14:paraId="7D59770C" w14:textId="77777777" w:rsidTr="004448FD">
        <w:tc>
          <w:tcPr>
            <w:tcW w:w="2552" w:type="dxa"/>
          </w:tcPr>
          <w:p w14:paraId="5A68BF6E" w14:textId="77777777" w:rsidR="008827BC" w:rsidRDefault="008827BC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Analytische code 3</w:t>
            </w:r>
          </w:p>
          <w:p w14:paraId="7F84D33F" w14:textId="77777777" w:rsidR="008827BC" w:rsidRDefault="008827BC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Analytische code 4</w:t>
            </w:r>
          </w:p>
        </w:tc>
        <w:tc>
          <w:tcPr>
            <w:tcW w:w="7813" w:type="dxa"/>
          </w:tcPr>
          <w:p w14:paraId="25A9147F" w14:textId="77777777" w:rsidR="008827BC" w:rsidRDefault="008827BC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Wordt niet ingevuld</w:t>
            </w:r>
          </w:p>
          <w:p w14:paraId="6284024F" w14:textId="77777777" w:rsidR="008827BC" w:rsidRPr="0038025C" w:rsidRDefault="008827BC" w:rsidP="004448FD">
            <w:pPr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Rollen toevoegen per team</w:t>
            </w:r>
          </w:p>
        </w:tc>
      </w:tr>
    </w:tbl>
    <w:p w14:paraId="783FEEA2" w14:textId="77777777" w:rsidR="00A50A78" w:rsidRDefault="00A50A78" w:rsidP="0099714F"/>
    <w:sectPr w:rsidR="00A50A78" w:rsidSect="00627AB9">
      <w:footerReference w:type="default" r:id="rId13"/>
      <w:footerReference w:type="first" r:id="rId14"/>
      <w:pgSz w:w="11906" w:h="16838" w:code="9"/>
      <w:pgMar w:top="680" w:right="680" w:bottom="164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504EF" w14:textId="77777777" w:rsidR="00BE283C" w:rsidRDefault="00BE283C" w:rsidP="008E174D">
      <w:r>
        <w:separator/>
      </w:r>
    </w:p>
  </w:endnote>
  <w:endnote w:type="continuationSeparator" w:id="0">
    <w:p w14:paraId="42398999" w14:textId="77777777" w:rsidR="00BE283C" w:rsidRDefault="00BE283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1B0" w14:textId="63483524" w:rsidR="00551A9E" w:rsidRDefault="0099714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642B91E6" wp14:editId="76890D00">
          <wp:simplePos x="0" y="0"/>
          <wp:positionH relativeFrom="page">
            <wp:posOffset>540385</wp:posOffset>
          </wp:positionH>
          <wp:positionV relativeFrom="page">
            <wp:posOffset>10048240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1A9E">
      <w:rPr>
        <w:sz w:val="18"/>
        <w:szCs w:val="18"/>
      </w:rPr>
      <w:t xml:space="preserve">Titel </w:t>
    </w:r>
    <w:r w:rsidR="00551A9E" w:rsidRPr="003E02FB">
      <w:rPr>
        <w:sz w:val="18"/>
        <w:szCs w:val="18"/>
      </w:rPr>
      <w:t xml:space="preserve">- pagina </w:t>
    </w:r>
    <w:r w:rsidR="00551A9E" w:rsidRPr="003E02FB">
      <w:rPr>
        <w:sz w:val="18"/>
        <w:szCs w:val="18"/>
      </w:rPr>
      <w:fldChar w:fldCharType="begin"/>
    </w:r>
    <w:r w:rsidR="00551A9E" w:rsidRPr="003E02FB">
      <w:rPr>
        <w:sz w:val="18"/>
        <w:szCs w:val="18"/>
      </w:rPr>
      <w:instrText xml:space="preserve"> PAGE </w:instrText>
    </w:r>
    <w:r w:rsidR="00551A9E" w:rsidRPr="003E02FB">
      <w:rPr>
        <w:sz w:val="18"/>
        <w:szCs w:val="18"/>
      </w:rPr>
      <w:fldChar w:fldCharType="separate"/>
    </w:r>
    <w:r w:rsidR="00A51D24">
      <w:rPr>
        <w:noProof/>
        <w:sz w:val="18"/>
        <w:szCs w:val="18"/>
      </w:rPr>
      <w:t>2</w:t>
    </w:r>
    <w:r w:rsidR="00551A9E" w:rsidRPr="003E02FB">
      <w:rPr>
        <w:sz w:val="18"/>
        <w:szCs w:val="18"/>
      </w:rPr>
      <w:fldChar w:fldCharType="end"/>
    </w:r>
    <w:r w:rsidR="00551A9E" w:rsidRPr="003E02FB">
      <w:rPr>
        <w:sz w:val="18"/>
        <w:szCs w:val="18"/>
      </w:rPr>
      <w:t xml:space="preserve"> van </w:t>
    </w:r>
    <w:r w:rsidR="00551A9E" w:rsidRPr="003E02FB">
      <w:rPr>
        <w:rStyle w:val="Paginanummer"/>
        <w:sz w:val="18"/>
        <w:szCs w:val="18"/>
      </w:rPr>
      <w:fldChar w:fldCharType="begin"/>
    </w:r>
    <w:r w:rsidR="00551A9E" w:rsidRPr="003E02FB">
      <w:rPr>
        <w:rStyle w:val="Paginanummer"/>
        <w:sz w:val="18"/>
        <w:szCs w:val="18"/>
      </w:rPr>
      <w:instrText xml:space="preserve"> NUMPAGES </w:instrText>
    </w:r>
    <w:r w:rsidR="00551A9E" w:rsidRPr="003E02FB">
      <w:rPr>
        <w:rStyle w:val="Paginanummer"/>
        <w:sz w:val="18"/>
        <w:szCs w:val="18"/>
      </w:rPr>
      <w:fldChar w:fldCharType="separate"/>
    </w:r>
    <w:r w:rsidR="00A51D24">
      <w:rPr>
        <w:rStyle w:val="Paginanummer"/>
        <w:noProof/>
        <w:sz w:val="18"/>
        <w:szCs w:val="18"/>
      </w:rPr>
      <w:t>2</w:t>
    </w:r>
    <w:r w:rsidR="00551A9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1B1" w14:textId="77777777" w:rsidR="00551A9E" w:rsidRPr="00594054" w:rsidRDefault="00551A9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B5AF1B2" wp14:editId="2B5AF1B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8BD9" w14:textId="77777777" w:rsidR="00BE283C" w:rsidRDefault="00BE283C" w:rsidP="008E174D">
      <w:r>
        <w:separator/>
      </w:r>
    </w:p>
  </w:footnote>
  <w:footnote w:type="continuationSeparator" w:id="0">
    <w:p w14:paraId="22325102" w14:textId="77777777" w:rsidR="00BE283C" w:rsidRDefault="00BE283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34223E"/>
    <w:multiLevelType w:val="hybridMultilevel"/>
    <w:tmpl w:val="C7B6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DEB"/>
    <w:multiLevelType w:val="hybridMultilevel"/>
    <w:tmpl w:val="BF56CB80"/>
    <w:lvl w:ilvl="0" w:tplc="5DFA9D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31DC0"/>
    <w:multiLevelType w:val="hybridMultilevel"/>
    <w:tmpl w:val="016E2890"/>
    <w:lvl w:ilvl="0" w:tplc="F5127702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NQKo5f99wGJiBKO+oCi/TWRkg6701ipApub1tp+9DdGZMl5lfZsuDu3rJwIxW4c8VEf1iuC4lCseRQsbNq/nA==" w:salt="RID7oHIEzpuRRfgzN2qSi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FEE"/>
    <w:rsid w:val="000028FF"/>
    <w:rsid w:val="0000345C"/>
    <w:rsid w:val="00004302"/>
    <w:rsid w:val="00007912"/>
    <w:rsid w:val="00010EDF"/>
    <w:rsid w:val="00011049"/>
    <w:rsid w:val="00011471"/>
    <w:rsid w:val="00012D0D"/>
    <w:rsid w:val="00014FAA"/>
    <w:rsid w:val="000223DE"/>
    <w:rsid w:val="00023083"/>
    <w:rsid w:val="000266A0"/>
    <w:rsid w:val="000306CE"/>
    <w:rsid w:val="00030AC4"/>
    <w:rsid w:val="00030F47"/>
    <w:rsid w:val="00031DB8"/>
    <w:rsid w:val="0003422B"/>
    <w:rsid w:val="00035834"/>
    <w:rsid w:val="00037730"/>
    <w:rsid w:val="000379C4"/>
    <w:rsid w:val="00037AB7"/>
    <w:rsid w:val="0004101C"/>
    <w:rsid w:val="0004475E"/>
    <w:rsid w:val="00045D72"/>
    <w:rsid w:val="000466E9"/>
    <w:rsid w:val="00046C25"/>
    <w:rsid w:val="00046F63"/>
    <w:rsid w:val="000473BC"/>
    <w:rsid w:val="00047E54"/>
    <w:rsid w:val="00054FCE"/>
    <w:rsid w:val="0005708D"/>
    <w:rsid w:val="00057DEA"/>
    <w:rsid w:val="000625D0"/>
    <w:rsid w:val="00062D04"/>
    <w:rsid w:val="00062D5E"/>
    <w:rsid w:val="0006375B"/>
    <w:rsid w:val="00065AAB"/>
    <w:rsid w:val="00066CCF"/>
    <w:rsid w:val="000729C1"/>
    <w:rsid w:val="00073BEF"/>
    <w:rsid w:val="00074A29"/>
    <w:rsid w:val="000753A0"/>
    <w:rsid w:val="00077C6F"/>
    <w:rsid w:val="0008203F"/>
    <w:rsid w:val="000847D1"/>
    <w:rsid w:val="00084E5E"/>
    <w:rsid w:val="00085C47"/>
    <w:rsid w:val="00091655"/>
    <w:rsid w:val="00091A4B"/>
    <w:rsid w:val="00091ACB"/>
    <w:rsid w:val="00091BDC"/>
    <w:rsid w:val="00093A6F"/>
    <w:rsid w:val="00096BFF"/>
    <w:rsid w:val="00096F25"/>
    <w:rsid w:val="000972C2"/>
    <w:rsid w:val="00097D39"/>
    <w:rsid w:val="000A0CB7"/>
    <w:rsid w:val="000A18E2"/>
    <w:rsid w:val="000A31F2"/>
    <w:rsid w:val="000A5120"/>
    <w:rsid w:val="000A770E"/>
    <w:rsid w:val="000B0BA1"/>
    <w:rsid w:val="000B22C5"/>
    <w:rsid w:val="000B2D73"/>
    <w:rsid w:val="000B5E35"/>
    <w:rsid w:val="000B710B"/>
    <w:rsid w:val="000B7253"/>
    <w:rsid w:val="000C273A"/>
    <w:rsid w:val="000C4DFA"/>
    <w:rsid w:val="000C59A5"/>
    <w:rsid w:val="000C7FBC"/>
    <w:rsid w:val="000D04CB"/>
    <w:rsid w:val="000D0FE2"/>
    <w:rsid w:val="000D1294"/>
    <w:rsid w:val="000D12E3"/>
    <w:rsid w:val="000D2006"/>
    <w:rsid w:val="000D3444"/>
    <w:rsid w:val="000D36FA"/>
    <w:rsid w:val="000D4912"/>
    <w:rsid w:val="000D57DF"/>
    <w:rsid w:val="000D613E"/>
    <w:rsid w:val="000E23B0"/>
    <w:rsid w:val="000E3E42"/>
    <w:rsid w:val="000E5DB4"/>
    <w:rsid w:val="000E7B6C"/>
    <w:rsid w:val="000F39BB"/>
    <w:rsid w:val="000F5541"/>
    <w:rsid w:val="000F671B"/>
    <w:rsid w:val="000F70D9"/>
    <w:rsid w:val="00100B1D"/>
    <w:rsid w:val="00100F83"/>
    <w:rsid w:val="001013BA"/>
    <w:rsid w:val="00101A4F"/>
    <w:rsid w:val="00101B23"/>
    <w:rsid w:val="00102681"/>
    <w:rsid w:val="0010497A"/>
    <w:rsid w:val="00104E77"/>
    <w:rsid w:val="0010611B"/>
    <w:rsid w:val="001070C5"/>
    <w:rsid w:val="001114A9"/>
    <w:rsid w:val="001120FE"/>
    <w:rsid w:val="001149F2"/>
    <w:rsid w:val="00115BF2"/>
    <w:rsid w:val="00116828"/>
    <w:rsid w:val="00117050"/>
    <w:rsid w:val="00121B1D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E44"/>
    <w:rsid w:val="001559FB"/>
    <w:rsid w:val="00161B93"/>
    <w:rsid w:val="00162B26"/>
    <w:rsid w:val="00162CC2"/>
    <w:rsid w:val="0016431A"/>
    <w:rsid w:val="001656CB"/>
    <w:rsid w:val="00167ACC"/>
    <w:rsid w:val="00170D8E"/>
    <w:rsid w:val="00172572"/>
    <w:rsid w:val="00176865"/>
    <w:rsid w:val="001776E9"/>
    <w:rsid w:val="001816D5"/>
    <w:rsid w:val="00183261"/>
    <w:rsid w:val="00183949"/>
    <w:rsid w:val="00183A68"/>
    <w:rsid w:val="00183EFC"/>
    <w:rsid w:val="00186FFC"/>
    <w:rsid w:val="00190CBE"/>
    <w:rsid w:val="001917FA"/>
    <w:rsid w:val="00192B4B"/>
    <w:rsid w:val="001A01E2"/>
    <w:rsid w:val="001A061B"/>
    <w:rsid w:val="001A23D3"/>
    <w:rsid w:val="001A306A"/>
    <w:rsid w:val="001A3CC2"/>
    <w:rsid w:val="001A7075"/>
    <w:rsid w:val="001A7AFA"/>
    <w:rsid w:val="001B232D"/>
    <w:rsid w:val="001B50CC"/>
    <w:rsid w:val="001B7DFA"/>
    <w:rsid w:val="001C13E9"/>
    <w:rsid w:val="001C3A33"/>
    <w:rsid w:val="001C526F"/>
    <w:rsid w:val="001C5D85"/>
    <w:rsid w:val="001C6238"/>
    <w:rsid w:val="001D056A"/>
    <w:rsid w:val="001D0712"/>
    <w:rsid w:val="001D0965"/>
    <w:rsid w:val="001D0DB7"/>
    <w:rsid w:val="001D1DF3"/>
    <w:rsid w:val="001D4C9A"/>
    <w:rsid w:val="001D51C2"/>
    <w:rsid w:val="001E17D4"/>
    <w:rsid w:val="001E1E0B"/>
    <w:rsid w:val="001E29BC"/>
    <w:rsid w:val="001E38C0"/>
    <w:rsid w:val="001E4208"/>
    <w:rsid w:val="001E589A"/>
    <w:rsid w:val="001F3741"/>
    <w:rsid w:val="001F3B9A"/>
    <w:rsid w:val="001F5FFE"/>
    <w:rsid w:val="001F7119"/>
    <w:rsid w:val="00200E98"/>
    <w:rsid w:val="0020363A"/>
    <w:rsid w:val="002054CB"/>
    <w:rsid w:val="002065FD"/>
    <w:rsid w:val="00210873"/>
    <w:rsid w:val="00210E38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742"/>
    <w:rsid w:val="00232277"/>
    <w:rsid w:val="002352C0"/>
    <w:rsid w:val="00240902"/>
    <w:rsid w:val="00241C46"/>
    <w:rsid w:val="0025128E"/>
    <w:rsid w:val="00254C6C"/>
    <w:rsid w:val="002565D7"/>
    <w:rsid w:val="00256E73"/>
    <w:rsid w:val="002607C5"/>
    <w:rsid w:val="00261971"/>
    <w:rsid w:val="002625B5"/>
    <w:rsid w:val="00265214"/>
    <w:rsid w:val="00266E15"/>
    <w:rsid w:val="00267588"/>
    <w:rsid w:val="00272A26"/>
    <w:rsid w:val="00273378"/>
    <w:rsid w:val="00274024"/>
    <w:rsid w:val="00276F3C"/>
    <w:rsid w:val="002778CF"/>
    <w:rsid w:val="00277A33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05A"/>
    <w:rsid w:val="00296A85"/>
    <w:rsid w:val="002A5A44"/>
    <w:rsid w:val="002B317C"/>
    <w:rsid w:val="002B37A7"/>
    <w:rsid w:val="002B46CD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19A8"/>
    <w:rsid w:val="002E3C53"/>
    <w:rsid w:val="002E60C1"/>
    <w:rsid w:val="002E799B"/>
    <w:rsid w:val="002F26E9"/>
    <w:rsid w:val="002F2BFA"/>
    <w:rsid w:val="002F314B"/>
    <w:rsid w:val="002F3344"/>
    <w:rsid w:val="002F6BA1"/>
    <w:rsid w:val="002F6DB9"/>
    <w:rsid w:val="003051E2"/>
    <w:rsid w:val="003059BD"/>
    <w:rsid w:val="00305E2E"/>
    <w:rsid w:val="003074F1"/>
    <w:rsid w:val="00310C16"/>
    <w:rsid w:val="003110E4"/>
    <w:rsid w:val="003122A8"/>
    <w:rsid w:val="0031551C"/>
    <w:rsid w:val="00316ADB"/>
    <w:rsid w:val="00316F91"/>
    <w:rsid w:val="00317484"/>
    <w:rsid w:val="0032079B"/>
    <w:rsid w:val="00320890"/>
    <w:rsid w:val="00324984"/>
    <w:rsid w:val="00325E0D"/>
    <w:rsid w:val="003269A8"/>
    <w:rsid w:val="003315DB"/>
    <w:rsid w:val="0033423E"/>
    <w:rsid w:val="003347F1"/>
    <w:rsid w:val="00336B40"/>
    <w:rsid w:val="00337777"/>
    <w:rsid w:val="0034126A"/>
    <w:rsid w:val="003413E5"/>
    <w:rsid w:val="003427F6"/>
    <w:rsid w:val="00344002"/>
    <w:rsid w:val="00344078"/>
    <w:rsid w:val="003451CD"/>
    <w:rsid w:val="00346D9E"/>
    <w:rsid w:val="0035125C"/>
    <w:rsid w:val="00351BE7"/>
    <w:rsid w:val="003522D6"/>
    <w:rsid w:val="00352AB4"/>
    <w:rsid w:val="00355C6C"/>
    <w:rsid w:val="003571D2"/>
    <w:rsid w:val="003605B2"/>
    <w:rsid w:val="00360649"/>
    <w:rsid w:val="003619B2"/>
    <w:rsid w:val="00363AF0"/>
    <w:rsid w:val="003640E8"/>
    <w:rsid w:val="00365085"/>
    <w:rsid w:val="003660F1"/>
    <w:rsid w:val="00367BDF"/>
    <w:rsid w:val="00370240"/>
    <w:rsid w:val="00372A1E"/>
    <w:rsid w:val="00376738"/>
    <w:rsid w:val="0038025C"/>
    <w:rsid w:val="00380E8D"/>
    <w:rsid w:val="003816C8"/>
    <w:rsid w:val="00382491"/>
    <w:rsid w:val="00382E11"/>
    <w:rsid w:val="00382F9C"/>
    <w:rsid w:val="00384E9D"/>
    <w:rsid w:val="00386E54"/>
    <w:rsid w:val="00390326"/>
    <w:rsid w:val="003908AC"/>
    <w:rsid w:val="00393244"/>
    <w:rsid w:val="003A0FFC"/>
    <w:rsid w:val="003A11D3"/>
    <w:rsid w:val="003A2D06"/>
    <w:rsid w:val="003A4498"/>
    <w:rsid w:val="003A4E6F"/>
    <w:rsid w:val="003A6216"/>
    <w:rsid w:val="003B0490"/>
    <w:rsid w:val="003B1F13"/>
    <w:rsid w:val="003B2710"/>
    <w:rsid w:val="003B4B87"/>
    <w:rsid w:val="003B7214"/>
    <w:rsid w:val="003C34C3"/>
    <w:rsid w:val="003C55AE"/>
    <w:rsid w:val="003C65FD"/>
    <w:rsid w:val="003C75CA"/>
    <w:rsid w:val="003C768D"/>
    <w:rsid w:val="003D0685"/>
    <w:rsid w:val="003D114E"/>
    <w:rsid w:val="003D269D"/>
    <w:rsid w:val="003D6237"/>
    <w:rsid w:val="003E02FB"/>
    <w:rsid w:val="003E05E3"/>
    <w:rsid w:val="003E3EAF"/>
    <w:rsid w:val="003E5458"/>
    <w:rsid w:val="003F427C"/>
    <w:rsid w:val="003F59BF"/>
    <w:rsid w:val="00401832"/>
    <w:rsid w:val="0040190E"/>
    <w:rsid w:val="0040495E"/>
    <w:rsid w:val="00404F6F"/>
    <w:rsid w:val="0040569F"/>
    <w:rsid w:val="00406A5D"/>
    <w:rsid w:val="00407FE0"/>
    <w:rsid w:val="0041093B"/>
    <w:rsid w:val="00412E01"/>
    <w:rsid w:val="00417E3A"/>
    <w:rsid w:val="00422E30"/>
    <w:rsid w:val="004248C7"/>
    <w:rsid w:val="004258F8"/>
    <w:rsid w:val="00425A77"/>
    <w:rsid w:val="00425BAC"/>
    <w:rsid w:val="00430EF9"/>
    <w:rsid w:val="004362FB"/>
    <w:rsid w:val="00440A62"/>
    <w:rsid w:val="00442174"/>
    <w:rsid w:val="00445080"/>
    <w:rsid w:val="0044546C"/>
    <w:rsid w:val="00450445"/>
    <w:rsid w:val="0045144E"/>
    <w:rsid w:val="004519AB"/>
    <w:rsid w:val="00451CC3"/>
    <w:rsid w:val="004537B7"/>
    <w:rsid w:val="00456DCE"/>
    <w:rsid w:val="00457AB1"/>
    <w:rsid w:val="00463023"/>
    <w:rsid w:val="00463700"/>
    <w:rsid w:val="00467E66"/>
    <w:rsid w:val="00471768"/>
    <w:rsid w:val="004857A8"/>
    <w:rsid w:val="00486FC2"/>
    <w:rsid w:val="00492951"/>
    <w:rsid w:val="004A185A"/>
    <w:rsid w:val="004A28E3"/>
    <w:rsid w:val="004A3A88"/>
    <w:rsid w:val="004A48D9"/>
    <w:rsid w:val="004B02B7"/>
    <w:rsid w:val="004B1BBB"/>
    <w:rsid w:val="004B2B40"/>
    <w:rsid w:val="004B314B"/>
    <w:rsid w:val="004B3CFD"/>
    <w:rsid w:val="004B482E"/>
    <w:rsid w:val="004B4991"/>
    <w:rsid w:val="004B6731"/>
    <w:rsid w:val="004B7E76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CA"/>
    <w:rsid w:val="004D0C0A"/>
    <w:rsid w:val="004D213B"/>
    <w:rsid w:val="004D2DC8"/>
    <w:rsid w:val="004D4843"/>
    <w:rsid w:val="004D4F34"/>
    <w:rsid w:val="004D5397"/>
    <w:rsid w:val="004D5B75"/>
    <w:rsid w:val="004D65B0"/>
    <w:rsid w:val="004D6733"/>
    <w:rsid w:val="004D6B51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705"/>
    <w:rsid w:val="00501AD2"/>
    <w:rsid w:val="00504D1E"/>
    <w:rsid w:val="00506277"/>
    <w:rsid w:val="005121AA"/>
    <w:rsid w:val="0051224B"/>
    <w:rsid w:val="0051379D"/>
    <w:rsid w:val="00514DA8"/>
    <w:rsid w:val="00516BDC"/>
    <w:rsid w:val="005177A0"/>
    <w:rsid w:val="005247C1"/>
    <w:rsid w:val="0052702A"/>
    <w:rsid w:val="00527F3D"/>
    <w:rsid w:val="00530A3F"/>
    <w:rsid w:val="00531DDE"/>
    <w:rsid w:val="005335CC"/>
    <w:rsid w:val="00537C0D"/>
    <w:rsid w:val="00540F2D"/>
    <w:rsid w:val="00541098"/>
    <w:rsid w:val="0054188D"/>
    <w:rsid w:val="005423FF"/>
    <w:rsid w:val="005438BD"/>
    <w:rsid w:val="00544953"/>
    <w:rsid w:val="005471D8"/>
    <w:rsid w:val="0054771B"/>
    <w:rsid w:val="00547EFD"/>
    <w:rsid w:val="005509D4"/>
    <w:rsid w:val="00551A9E"/>
    <w:rsid w:val="00553D86"/>
    <w:rsid w:val="005542C0"/>
    <w:rsid w:val="00555186"/>
    <w:rsid w:val="00557A41"/>
    <w:rsid w:val="005622C1"/>
    <w:rsid w:val="005637C4"/>
    <w:rsid w:val="00563FEE"/>
    <w:rsid w:val="005644A7"/>
    <w:rsid w:val="005657B2"/>
    <w:rsid w:val="0057124A"/>
    <w:rsid w:val="00571625"/>
    <w:rsid w:val="00573388"/>
    <w:rsid w:val="00575FEA"/>
    <w:rsid w:val="0058088D"/>
    <w:rsid w:val="00580BAD"/>
    <w:rsid w:val="0058178B"/>
    <w:rsid w:val="005819BA"/>
    <w:rsid w:val="00583E49"/>
    <w:rsid w:val="00583F20"/>
    <w:rsid w:val="00587CBC"/>
    <w:rsid w:val="00587ED4"/>
    <w:rsid w:val="00591AED"/>
    <w:rsid w:val="00591E6E"/>
    <w:rsid w:val="00592013"/>
    <w:rsid w:val="00593585"/>
    <w:rsid w:val="00593C50"/>
    <w:rsid w:val="00594054"/>
    <w:rsid w:val="00595055"/>
    <w:rsid w:val="00595A87"/>
    <w:rsid w:val="005974AC"/>
    <w:rsid w:val="005A0CE3"/>
    <w:rsid w:val="005A1166"/>
    <w:rsid w:val="005A17B7"/>
    <w:rsid w:val="005A4E43"/>
    <w:rsid w:val="005A6DBB"/>
    <w:rsid w:val="005B01ED"/>
    <w:rsid w:val="005B3668"/>
    <w:rsid w:val="005B3EA8"/>
    <w:rsid w:val="005B44ED"/>
    <w:rsid w:val="005B56FA"/>
    <w:rsid w:val="005B58B3"/>
    <w:rsid w:val="005B69B7"/>
    <w:rsid w:val="005B6B85"/>
    <w:rsid w:val="005C0477"/>
    <w:rsid w:val="005C1EF6"/>
    <w:rsid w:val="005C3256"/>
    <w:rsid w:val="005C353F"/>
    <w:rsid w:val="005C356F"/>
    <w:rsid w:val="005C3A90"/>
    <w:rsid w:val="005C5369"/>
    <w:rsid w:val="005C70A3"/>
    <w:rsid w:val="005D054E"/>
    <w:rsid w:val="005D09E4"/>
    <w:rsid w:val="005D0E68"/>
    <w:rsid w:val="005D0FE7"/>
    <w:rsid w:val="005D118F"/>
    <w:rsid w:val="005D1773"/>
    <w:rsid w:val="005D7ABC"/>
    <w:rsid w:val="005E1C6A"/>
    <w:rsid w:val="005E33AD"/>
    <w:rsid w:val="005E3F7E"/>
    <w:rsid w:val="005E51B5"/>
    <w:rsid w:val="005E57A1"/>
    <w:rsid w:val="005E6535"/>
    <w:rsid w:val="005E74F3"/>
    <w:rsid w:val="005F185A"/>
    <w:rsid w:val="005F1F38"/>
    <w:rsid w:val="005F6894"/>
    <w:rsid w:val="005F706A"/>
    <w:rsid w:val="00601069"/>
    <w:rsid w:val="006068B3"/>
    <w:rsid w:val="00610E7C"/>
    <w:rsid w:val="0061253A"/>
    <w:rsid w:val="00612D11"/>
    <w:rsid w:val="006137BA"/>
    <w:rsid w:val="006141C4"/>
    <w:rsid w:val="00614A17"/>
    <w:rsid w:val="0061675A"/>
    <w:rsid w:val="0062056D"/>
    <w:rsid w:val="006217C2"/>
    <w:rsid w:val="00621C38"/>
    <w:rsid w:val="0062372E"/>
    <w:rsid w:val="00623E9C"/>
    <w:rsid w:val="00625341"/>
    <w:rsid w:val="00626150"/>
    <w:rsid w:val="00626578"/>
    <w:rsid w:val="00627AB9"/>
    <w:rsid w:val="006321A1"/>
    <w:rsid w:val="00632506"/>
    <w:rsid w:val="00633D4F"/>
    <w:rsid w:val="00635F3D"/>
    <w:rsid w:val="00637023"/>
    <w:rsid w:val="00637728"/>
    <w:rsid w:val="00637A03"/>
    <w:rsid w:val="006404B0"/>
    <w:rsid w:val="006408C7"/>
    <w:rsid w:val="00641E14"/>
    <w:rsid w:val="0064204A"/>
    <w:rsid w:val="00643170"/>
    <w:rsid w:val="00644BAB"/>
    <w:rsid w:val="00645B25"/>
    <w:rsid w:val="0064611D"/>
    <w:rsid w:val="00647E59"/>
    <w:rsid w:val="00650FA0"/>
    <w:rsid w:val="006516D6"/>
    <w:rsid w:val="00651F10"/>
    <w:rsid w:val="00652D22"/>
    <w:rsid w:val="006541DC"/>
    <w:rsid w:val="0065475D"/>
    <w:rsid w:val="00654C9D"/>
    <w:rsid w:val="0065758B"/>
    <w:rsid w:val="006606B1"/>
    <w:rsid w:val="00660D5F"/>
    <w:rsid w:val="0066130E"/>
    <w:rsid w:val="0066240D"/>
    <w:rsid w:val="006655AD"/>
    <w:rsid w:val="00665E66"/>
    <w:rsid w:val="00667431"/>
    <w:rsid w:val="006677C3"/>
    <w:rsid w:val="00670BFC"/>
    <w:rsid w:val="00670CEF"/>
    <w:rsid w:val="00671529"/>
    <w:rsid w:val="00671C3E"/>
    <w:rsid w:val="006758D8"/>
    <w:rsid w:val="00676016"/>
    <w:rsid w:val="0068062A"/>
    <w:rsid w:val="0068227D"/>
    <w:rsid w:val="00682A22"/>
    <w:rsid w:val="00683C60"/>
    <w:rsid w:val="00683E90"/>
    <w:rsid w:val="00687811"/>
    <w:rsid w:val="00691506"/>
    <w:rsid w:val="006935AC"/>
    <w:rsid w:val="00697892"/>
    <w:rsid w:val="006979C1"/>
    <w:rsid w:val="006A29E0"/>
    <w:rsid w:val="006B07F6"/>
    <w:rsid w:val="006B3EB7"/>
    <w:rsid w:val="006B51E1"/>
    <w:rsid w:val="006B7AA5"/>
    <w:rsid w:val="006C4337"/>
    <w:rsid w:val="006C51E9"/>
    <w:rsid w:val="006C59C7"/>
    <w:rsid w:val="006D01FB"/>
    <w:rsid w:val="006D055E"/>
    <w:rsid w:val="006D0E83"/>
    <w:rsid w:val="006E28D6"/>
    <w:rsid w:val="006E29BE"/>
    <w:rsid w:val="006F127E"/>
    <w:rsid w:val="006F4308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0EF6"/>
    <w:rsid w:val="00722D99"/>
    <w:rsid w:val="00724657"/>
    <w:rsid w:val="00724788"/>
    <w:rsid w:val="007247AC"/>
    <w:rsid w:val="007255A9"/>
    <w:rsid w:val="007301CC"/>
    <w:rsid w:val="0073380E"/>
    <w:rsid w:val="0073503E"/>
    <w:rsid w:val="007447BF"/>
    <w:rsid w:val="007506D0"/>
    <w:rsid w:val="00752881"/>
    <w:rsid w:val="00752CAB"/>
    <w:rsid w:val="00753016"/>
    <w:rsid w:val="007557D2"/>
    <w:rsid w:val="0076000B"/>
    <w:rsid w:val="0076022D"/>
    <w:rsid w:val="0076073D"/>
    <w:rsid w:val="00763AC5"/>
    <w:rsid w:val="0076771C"/>
    <w:rsid w:val="00770A49"/>
    <w:rsid w:val="00771E52"/>
    <w:rsid w:val="00772838"/>
    <w:rsid w:val="00773F18"/>
    <w:rsid w:val="0077682E"/>
    <w:rsid w:val="00780619"/>
    <w:rsid w:val="00781F63"/>
    <w:rsid w:val="00783641"/>
    <w:rsid w:val="00786BC8"/>
    <w:rsid w:val="00793ACB"/>
    <w:rsid w:val="007950E5"/>
    <w:rsid w:val="00796DE9"/>
    <w:rsid w:val="007A30C3"/>
    <w:rsid w:val="007A3EB4"/>
    <w:rsid w:val="007A5032"/>
    <w:rsid w:val="007B2151"/>
    <w:rsid w:val="007B3243"/>
    <w:rsid w:val="007B525C"/>
    <w:rsid w:val="007B5A0C"/>
    <w:rsid w:val="007B6674"/>
    <w:rsid w:val="007C149F"/>
    <w:rsid w:val="007C6E47"/>
    <w:rsid w:val="007D070B"/>
    <w:rsid w:val="007D1FC2"/>
    <w:rsid w:val="007D2869"/>
    <w:rsid w:val="007D3046"/>
    <w:rsid w:val="007D36EA"/>
    <w:rsid w:val="007D58A4"/>
    <w:rsid w:val="007D6B5D"/>
    <w:rsid w:val="007F0574"/>
    <w:rsid w:val="007F2514"/>
    <w:rsid w:val="007F4219"/>
    <w:rsid w:val="007F61F5"/>
    <w:rsid w:val="0080136B"/>
    <w:rsid w:val="008033D2"/>
    <w:rsid w:val="00803A16"/>
    <w:rsid w:val="0080580F"/>
    <w:rsid w:val="0081160A"/>
    <w:rsid w:val="00814665"/>
    <w:rsid w:val="00815F9E"/>
    <w:rsid w:val="0081703B"/>
    <w:rsid w:val="0082494D"/>
    <w:rsid w:val="00824976"/>
    <w:rsid w:val="00825D0C"/>
    <w:rsid w:val="0082645C"/>
    <w:rsid w:val="00826920"/>
    <w:rsid w:val="00827E84"/>
    <w:rsid w:val="00827ED0"/>
    <w:rsid w:val="00830263"/>
    <w:rsid w:val="00830BD3"/>
    <w:rsid w:val="0083155D"/>
    <w:rsid w:val="0083427C"/>
    <w:rsid w:val="008349F6"/>
    <w:rsid w:val="0083545D"/>
    <w:rsid w:val="0083666B"/>
    <w:rsid w:val="00836F01"/>
    <w:rsid w:val="0084129A"/>
    <w:rsid w:val="008421A1"/>
    <w:rsid w:val="00843616"/>
    <w:rsid w:val="008438C8"/>
    <w:rsid w:val="00844584"/>
    <w:rsid w:val="00844B16"/>
    <w:rsid w:val="008452B5"/>
    <w:rsid w:val="00845AB1"/>
    <w:rsid w:val="00846F24"/>
    <w:rsid w:val="00846FB4"/>
    <w:rsid w:val="0084752A"/>
    <w:rsid w:val="00847D90"/>
    <w:rsid w:val="00853F02"/>
    <w:rsid w:val="00857D05"/>
    <w:rsid w:val="00861B20"/>
    <w:rsid w:val="00862E3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69E"/>
    <w:rsid w:val="008827BC"/>
    <w:rsid w:val="00884C0F"/>
    <w:rsid w:val="00884C52"/>
    <w:rsid w:val="00887E46"/>
    <w:rsid w:val="00894BAF"/>
    <w:rsid w:val="008954B5"/>
    <w:rsid w:val="00895F58"/>
    <w:rsid w:val="00896280"/>
    <w:rsid w:val="00897B68"/>
    <w:rsid w:val="008A123A"/>
    <w:rsid w:val="008A29B0"/>
    <w:rsid w:val="008A4D10"/>
    <w:rsid w:val="008A599E"/>
    <w:rsid w:val="008A6362"/>
    <w:rsid w:val="008A643A"/>
    <w:rsid w:val="008B153E"/>
    <w:rsid w:val="008B1882"/>
    <w:rsid w:val="008B23C9"/>
    <w:rsid w:val="008B658B"/>
    <w:rsid w:val="008C3A03"/>
    <w:rsid w:val="008C4B7F"/>
    <w:rsid w:val="008C6D1B"/>
    <w:rsid w:val="008D0405"/>
    <w:rsid w:val="008D0889"/>
    <w:rsid w:val="008D1B5F"/>
    <w:rsid w:val="008D347C"/>
    <w:rsid w:val="008D36C7"/>
    <w:rsid w:val="008E040D"/>
    <w:rsid w:val="008E174D"/>
    <w:rsid w:val="008E359F"/>
    <w:rsid w:val="008E79AF"/>
    <w:rsid w:val="008E7B73"/>
    <w:rsid w:val="008F03FA"/>
    <w:rsid w:val="008F056C"/>
    <w:rsid w:val="008F0D5D"/>
    <w:rsid w:val="008F2845"/>
    <w:rsid w:val="0090014D"/>
    <w:rsid w:val="009007A7"/>
    <w:rsid w:val="00901191"/>
    <w:rsid w:val="00905CAC"/>
    <w:rsid w:val="00905F4B"/>
    <w:rsid w:val="009067B3"/>
    <w:rsid w:val="009077C4"/>
    <w:rsid w:val="00907C18"/>
    <w:rsid w:val="009110D4"/>
    <w:rsid w:val="0091707D"/>
    <w:rsid w:val="009223BD"/>
    <w:rsid w:val="00925C39"/>
    <w:rsid w:val="00927340"/>
    <w:rsid w:val="0093279E"/>
    <w:rsid w:val="00936C8C"/>
    <w:rsid w:val="00944CB5"/>
    <w:rsid w:val="00946AFF"/>
    <w:rsid w:val="00947B15"/>
    <w:rsid w:val="0095105D"/>
    <w:rsid w:val="00954C9C"/>
    <w:rsid w:val="0095579F"/>
    <w:rsid w:val="00956315"/>
    <w:rsid w:val="00962337"/>
    <w:rsid w:val="0096344A"/>
    <w:rsid w:val="0096409D"/>
    <w:rsid w:val="00964F13"/>
    <w:rsid w:val="009668F8"/>
    <w:rsid w:val="00966BA9"/>
    <w:rsid w:val="00966D26"/>
    <w:rsid w:val="0096739F"/>
    <w:rsid w:val="009673BC"/>
    <w:rsid w:val="0097015A"/>
    <w:rsid w:val="00971196"/>
    <w:rsid w:val="00973E6E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14F"/>
    <w:rsid w:val="00997227"/>
    <w:rsid w:val="009A2110"/>
    <w:rsid w:val="009A45A4"/>
    <w:rsid w:val="009A498E"/>
    <w:rsid w:val="009A4C22"/>
    <w:rsid w:val="009A56CB"/>
    <w:rsid w:val="009B0442"/>
    <w:rsid w:val="009B1293"/>
    <w:rsid w:val="009B3856"/>
    <w:rsid w:val="009B4964"/>
    <w:rsid w:val="009B7127"/>
    <w:rsid w:val="009C2D7B"/>
    <w:rsid w:val="009C7226"/>
    <w:rsid w:val="009D0399"/>
    <w:rsid w:val="009D1911"/>
    <w:rsid w:val="009D1C61"/>
    <w:rsid w:val="009E39A9"/>
    <w:rsid w:val="009E630E"/>
    <w:rsid w:val="009F3915"/>
    <w:rsid w:val="009F41DA"/>
    <w:rsid w:val="009F4EBF"/>
    <w:rsid w:val="009F7700"/>
    <w:rsid w:val="00A01191"/>
    <w:rsid w:val="00A01375"/>
    <w:rsid w:val="00A0358E"/>
    <w:rsid w:val="00A03D0D"/>
    <w:rsid w:val="00A10645"/>
    <w:rsid w:val="00A11549"/>
    <w:rsid w:val="00A13EA1"/>
    <w:rsid w:val="00A1478B"/>
    <w:rsid w:val="00A17D34"/>
    <w:rsid w:val="00A2260F"/>
    <w:rsid w:val="00A2529B"/>
    <w:rsid w:val="00A25443"/>
    <w:rsid w:val="00A26786"/>
    <w:rsid w:val="00A27591"/>
    <w:rsid w:val="00A30CED"/>
    <w:rsid w:val="00A32541"/>
    <w:rsid w:val="00A33265"/>
    <w:rsid w:val="00A33A99"/>
    <w:rsid w:val="00A35214"/>
    <w:rsid w:val="00A35578"/>
    <w:rsid w:val="00A44360"/>
    <w:rsid w:val="00A453AC"/>
    <w:rsid w:val="00A504D1"/>
    <w:rsid w:val="00A50A78"/>
    <w:rsid w:val="00A51D24"/>
    <w:rsid w:val="00A53380"/>
    <w:rsid w:val="00A54894"/>
    <w:rsid w:val="00A557E3"/>
    <w:rsid w:val="00A55A32"/>
    <w:rsid w:val="00A55BDC"/>
    <w:rsid w:val="00A56710"/>
    <w:rsid w:val="00A56961"/>
    <w:rsid w:val="00A56AF9"/>
    <w:rsid w:val="00A56C42"/>
    <w:rsid w:val="00A57232"/>
    <w:rsid w:val="00A57F91"/>
    <w:rsid w:val="00A60184"/>
    <w:rsid w:val="00A64787"/>
    <w:rsid w:val="00A65696"/>
    <w:rsid w:val="00A67655"/>
    <w:rsid w:val="00A67DF6"/>
    <w:rsid w:val="00A7461C"/>
    <w:rsid w:val="00A76ED5"/>
    <w:rsid w:val="00A76FCD"/>
    <w:rsid w:val="00A77C51"/>
    <w:rsid w:val="00A80D0B"/>
    <w:rsid w:val="00A837C9"/>
    <w:rsid w:val="00A84B0F"/>
    <w:rsid w:val="00A84E6F"/>
    <w:rsid w:val="00A85917"/>
    <w:rsid w:val="00A878F0"/>
    <w:rsid w:val="00A91815"/>
    <w:rsid w:val="00A933E2"/>
    <w:rsid w:val="00A93BDD"/>
    <w:rsid w:val="00A93EB3"/>
    <w:rsid w:val="00A96A12"/>
    <w:rsid w:val="00A96C92"/>
    <w:rsid w:val="00AA1646"/>
    <w:rsid w:val="00AA3F8F"/>
    <w:rsid w:val="00AA6DB2"/>
    <w:rsid w:val="00AA7633"/>
    <w:rsid w:val="00AB27A6"/>
    <w:rsid w:val="00AB3DF7"/>
    <w:rsid w:val="00AB431A"/>
    <w:rsid w:val="00AB49DC"/>
    <w:rsid w:val="00AB4B20"/>
    <w:rsid w:val="00AC08C3"/>
    <w:rsid w:val="00AC1598"/>
    <w:rsid w:val="00AC24C9"/>
    <w:rsid w:val="00AC4CF6"/>
    <w:rsid w:val="00AC7EB3"/>
    <w:rsid w:val="00AD0911"/>
    <w:rsid w:val="00AD1A37"/>
    <w:rsid w:val="00AD2310"/>
    <w:rsid w:val="00AD37AE"/>
    <w:rsid w:val="00AD38B3"/>
    <w:rsid w:val="00AD3A4C"/>
    <w:rsid w:val="00AD430E"/>
    <w:rsid w:val="00AD5C4F"/>
    <w:rsid w:val="00AD71AC"/>
    <w:rsid w:val="00AE10F9"/>
    <w:rsid w:val="00AE2545"/>
    <w:rsid w:val="00AE2ADB"/>
    <w:rsid w:val="00AE33C1"/>
    <w:rsid w:val="00AE454D"/>
    <w:rsid w:val="00AF0FAE"/>
    <w:rsid w:val="00AF113E"/>
    <w:rsid w:val="00AF3FB3"/>
    <w:rsid w:val="00AF566F"/>
    <w:rsid w:val="00AF7209"/>
    <w:rsid w:val="00B00642"/>
    <w:rsid w:val="00B032FD"/>
    <w:rsid w:val="00B0482B"/>
    <w:rsid w:val="00B05DA9"/>
    <w:rsid w:val="00B05ED4"/>
    <w:rsid w:val="00B061D9"/>
    <w:rsid w:val="00B0704A"/>
    <w:rsid w:val="00B07CE5"/>
    <w:rsid w:val="00B07E7D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2E1"/>
    <w:rsid w:val="00B21829"/>
    <w:rsid w:val="00B21AAA"/>
    <w:rsid w:val="00B25DBF"/>
    <w:rsid w:val="00B26770"/>
    <w:rsid w:val="00B267C4"/>
    <w:rsid w:val="00B26A2C"/>
    <w:rsid w:val="00B26B10"/>
    <w:rsid w:val="00B31E4B"/>
    <w:rsid w:val="00B31F6A"/>
    <w:rsid w:val="00B32076"/>
    <w:rsid w:val="00B33867"/>
    <w:rsid w:val="00B36633"/>
    <w:rsid w:val="00B37B26"/>
    <w:rsid w:val="00B40853"/>
    <w:rsid w:val="00B43D36"/>
    <w:rsid w:val="00B461DB"/>
    <w:rsid w:val="00B47D57"/>
    <w:rsid w:val="00B47D5C"/>
    <w:rsid w:val="00B52BAE"/>
    <w:rsid w:val="00B54073"/>
    <w:rsid w:val="00B561A8"/>
    <w:rsid w:val="00B566CB"/>
    <w:rsid w:val="00B62F61"/>
    <w:rsid w:val="00B6329A"/>
    <w:rsid w:val="00B63B5D"/>
    <w:rsid w:val="00B647ED"/>
    <w:rsid w:val="00B64DA0"/>
    <w:rsid w:val="00B6523F"/>
    <w:rsid w:val="00B6557B"/>
    <w:rsid w:val="00B67A29"/>
    <w:rsid w:val="00B70DF2"/>
    <w:rsid w:val="00B7176E"/>
    <w:rsid w:val="00B73F1B"/>
    <w:rsid w:val="00B7558A"/>
    <w:rsid w:val="00B77223"/>
    <w:rsid w:val="00B801FD"/>
    <w:rsid w:val="00B8050A"/>
    <w:rsid w:val="00B80F07"/>
    <w:rsid w:val="00B82013"/>
    <w:rsid w:val="00B84C11"/>
    <w:rsid w:val="00B90884"/>
    <w:rsid w:val="00B93D8C"/>
    <w:rsid w:val="00B93E9B"/>
    <w:rsid w:val="00B953C6"/>
    <w:rsid w:val="00BA3309"/>
    <w:rsid w:val="00BA62BD"/>
    <w:rsid w:val="00BA76BD"/>
    <w:rsid w:val="00BB018D"/>
    <w:rsid w:val="00BB2228"/>
    <w:rsid w:val="00BB34C3"/>
    <w:rsid w:val="00BB4EA9"/>
    <w:rsid w:val="00BB6E77"/>
    <w:rsid w:val="00BB70E6"/>
    <w:rsid w:val="00BC1719"/>
    <w:rsid w:val="00BC1ED7"/>
    <w:rsid w:val="00BC2841"/>
    <w:rsid w:val="00BC2C0F"/>
    <w:rsid w:val="00BC362B"/>
    <w:rsid w:val="00BC3666"/>
    <w:rsid w:val="00BC5CBE"/>
    <w:rsid w:val="00BD1F3B"/>
    <w:rsid w:val="00BD227B"/>
    <w:rsid w:val="00BD3E53"/>
    <w:rsid w:val="00BD4230"/>
    <w:rsid w:val="00BD7DF3"/>
    <w:rsid w:val="00BE173D"/>
    <w:rsid w:val="00BE1C16"/>
    <w:rsid w:val="00BE1C1F"/>
    <w:rsid w:val="00BE23A7"/>
    <w:rsid w:val="00BE2504"/>
    <w:rsid w:val="00BE283C"/>
    <w:rsid w:val="00BE2E6D"/>
    <w:rsid w:val="00BE5FC5"/>
    <w:rsid w:val="00BF0568"/>
    <w:rsid w:val="00BF3DC1"/>
    <w:rsid w:val="00BF6ED6"/>
    <w:rsid w:val="00C026C7"/>
    <w:rsid w:val="00C02A70"/>
    <w:rsid w:val="00C069CF"/>
    <w:rsid w:val="00C06CD3"/>
    <w:rsid w:val="00C1138A"/>
    <w:rsid w:val="00C11E16"/>
    <w:rsid w:val="00C13077"/>
    <w:rsid w:val="00C14EF7"/>
    <w:rsid w:val="00C16037"/>
    <w:rsid w:val="00C20D2A"/>
    <w:rsid w:val="00C231E4"/>
    <w:rsid w:val="00C26CB9"/>
    <w:rsid w:val="00C31E93"/>
    <w:rsid w:val="00C33CA7"/>
    <w:rsid w:val="00C35359"/>
    <w:rsid w:val="00C37454"/>
    <w:rsid w:val="00C41CBF"/>
    <w:rsid w:val="00C42015"/>
    <w:rsid w:val="00C447B6"/>
    <w:rsid w:val="00C459A6"/>
    <w:rsid w:val="00C46312"/>
    <w:rsid w:val="00C46F5E"/>
    <w:rsid w:val="00C54913"/>
    <w:rsid w:val="00C61D70"/>
    <w:rsid w:val="00C628B4"/>
    <w:rsid w:val="00C6434C"/>
    <w:rsid w:val="00C65095"/>
    <w:rsid w:val="00C66C64"/>
    <w:rsid w:val="00C67233"/>
    <w:rsid w:val="00C67279"/>
    <w:rsid w:val="00C676DD"/>
    <w:rsid w:val="00C72900"/>
    <w:rsid w:val="00C752B4"/>
    <w:rsid w:val="00C75DE1"/>
    <w:rsid w:val="00C76EE5"/>
    <w:rsid w:val="00C80303"/>
    <w:rsid w:val="00C80D47"/>
    <w:rsid w:val="00C811A4"/>
    <w:rsid w:val="00C8151A"/>
    <w:rsid w:val="00C8213A"/>
    <w:rsid w:val="00C823AC"/>
    <w:rsid w:val="00C82D81"/>
    <w:rsid w:val="00C83440"/>
    <w:rsid w:val="00C846EC"/>
    <w:rsid w:val="00C86148"/>
    <w:rsid w:val="00C86AE4"/>
    <w:rsid w:val="00C86AF4"/>
    <w:rsid w:val="00C8770E"/>
    <w:rsid w:val="00C91532"/>
    <w:rsid w:val="00C94546"/>
    <w:rsid w:val="00C962B2"/>
    <w:rsid w:val="00CA07C4"/>
    <w:rsid w:val="00CA31F0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BD8"/>
    <w:rsid w:val="00CC1D46"/>
    <w:rsid w:val="00CC2F61"/>
    <w:rsid w:val="00CC39D7"/>
    <w:rsid w:val="00CC55BB"/>
    <w:rsid w:val="00CC7865"/>
    <w:rsid w:val="00CD05F9"/>
    <w:rsid w:val="00CD0E84"/>
    <w:rsid w:val="00CD28F3"/>
    <w:rsid w:val="00CD444D"/>
    <w:rsid w:val="00CD4FB4"/>
    <w:rsid w:val="00CD50DA"/>
    <w:rsid w:val="00CD596E"/>
    <w:rsid w:val="00CD5FE5"/>
    <w:rsid w:val="00CD6BE4"/>
    <w:rsid w:val="00CE3888"/>
    <w:rsid w:val="00CE59A4"/>
    <w:rsid w:val="00CE64FC"/>
    <w:rsid w:val="00CE7B0D"/>
    <w:rsid w:val="00CE7D9F"/>
    <w:rsid w:val="00CF20DC"/>
    <w:rsid w:val="00CF3D31"/>
    <w:rsid w:val="00CF5DB7"/>
    <w:rsid w:val="00CF7950"/>
    <w:rsid w:val="00CF7CDA"/>
    <w:rsid w:val="00D01555"/>
    <w:rsid w:val="00D02AE7"/>
    <w:rsid w:val="00D032FB"/>
    <w:rsid w:val="00D03B5B"/>
    <w:rsid w:val="00D044A5"/>
    <w:rsid w:val="00D1031F"/>
    <w:rsid w:val="00D10F0E"/>
    <w:rsid w:val="00D11A95"/>
    <w:rsid w:val="00D11ABB"/>
    <w:rsid w:val="00D11E99"/>
    <w:rsid w:val="00D13963"/>
    <w:rsid w:val="00D13D4C"/>
    <w:rsid w:val="00D14535"/>
    <w:rsid w:val="00D148C7"/>
    <w:rsid w:val="00D14A92"/>
    <w:rsid w:val="00D1659F"/>
    <w:rsid w:val="00D207C9"/>
    <w:rsid w:val="00D21977"/>
    <w:rsid w:val="00D24D21"/>
    <w:rsid w:val="00D25903"/>
    <w:rsid w:val="00D306D6"/>
    <w:rsid w:val="00D30E5B"/>
    <w:rsid w:val="00D31550"/>
    <w:rsid w:val="00D31CC6"/>
    <w:rsid w:val="00D3255C"/>
    <w:rsid w:val="00D332E8"/>
    <w:rsid w:val="00D337BC"/>
    <w:rsid w:val="00D33BB7"/>
    <w:rsid w:val="00D411A2"/>
    <w:rsid w:val="00D430C5"/>
    <w:rsid w:val="00D46675"/>
    <w:rsid w:val="00D4762E"/>
    <w:rsid w:val="00D51779"/>
    <w:rsid w:val="00D52131"/>
    <w:rsid w:val="00D52549"/>
    <w:rsid w:val="00D53054"/>
    <w:rsid w:val="00D54261"/>
    <w:rsid w:val="00D54B25"/>
    <w:rsid w:val="00D54D62"/>
    <w:rsid w:val="00D556E6"/>
    <w:rsid w:val="00D5586A"/>
    <w:rsid w:val="00D61AA3"/>
    <w:rsid w:val="00D64332"/>
    <w:rsid w:val="00D66855"/>
    <w:rsid w:val="00D66C23"/>
    <w:rsid w:val="00D7003D"/>
    <w:rsid w:val="00D70697"/>
    <w:rsid w:val="00D710A1"/>
    <w:rsid w:val="00D710AD"/>
    <w:rsid w:val="00D72109"/>
    <w:rsid w:val="00D724AC"/>
    <w:rsid w:val="00D7339F"/>
    <w:rsid w:val="00D74A85"/>
    <w:rsid w:val="00D77A67"/>
    <w:rsid w:val="00D77EB5"/>
    <w:rsid w:val="00D77FFB"/>
    <w:rsid w:val="00D830A9"/>
    <w:rsid w:val="00D8547D"/>
    <w:rsid w:val="00D90396"/>
    <w:rsid w:val="00D934E9"/>
    <w:rsid w:val="00D93A92"/>
    <w:rsid w:val="00D9622B"/>
    <w:rsid w:val="00DA0E06"/>
    <w:rsid w:val="00DA64B5"/>
    <w:rsid w:val="00DA65C6"/>
    <w:rsid w:val="00DB08C3"/>
    <w:rsid w:val="00DB0BA9"/>
    <w:rsid w:val="00DB10A4"/>
    <w:rsid w:val="00DB54F6"/>
    <w:rsid w:val="00DB56BE"/>
    <w:rsid w:val="00DB73E6"/>
    <w:rsid w:val="00DC31AA"/>
    <w:rsid w:val="00DC46F5"/>
    <w:rsid w:val="00DC76E2"/>
    <w:rsid w:val="00DD1714"/>
    <w:rsid w:val="00DD4C6A"/>
    <w:rsid w:val="00DD7C60"/>
    <w:rsid w:val="00DE043A"/>
    <w:rsid w:val="00DE4019"/>
    <w:rsid w:val="00DE6075"/>
    <w:rsid w:val="00DF3DF9"/>
    <w:rsid w:val="00DF6CA2"/>
    <w:rsid w:val="00DF746F"/>
    <w:rsid w:val="00DF787F"/>
    <w:rsid w:val="00E0113D"/>
    <w:rsid w:val="00E0135A"/>
    <w:rsid w:val="00E02624"/>
    <w:rsid w:val="00E03B51"/>
    <w:rsid w:val="00E03D0C"/>
    <w:rsid w:val="00E05D0A"/>
    <w:rsid w:val="00E0679C"/>
    <w:rsid w:val="00E1224C"/>
    <w:rsid w:val="00E130F6"/>
    <w:rsid w:val="00E13F9F"/>
    <w:rsid w:val="00E14637"/>
    <w:rsid w:val="00E1791C"/>
    <w:rsid w:val="00E2029A"/>
    <w:rsid w:val="00E218A0"/>
    <w:rsid w:val="00E224B0"/>
    <w:rsid w:val="00E227FA"/>
    <w:rsid w:val="00E231F1"/>
    <w:rsid w:val="00E24863"/>
    <w:rsid w:val="00E26383"/>
    <w:rsid w:val="00E26E1C"/>
    <w:rsid w:val="00E27018"/>
    <w:rsid w:val="00E3156F"/>
    <w:rsid w:val="00E3390A"/>
    <w:rsid w:val="00E35B30"/>
    <w:rsid w:val="00E407F5"/>
    <w:rsid w:val="00E40EC5"/>
    <w:rsid w:val="00E40F84"/>
    <w:rsid w:val="00E437A0"/>
    <w:rsid w:val="00E45C1D"/>
    <w:rsid w:val="00E462BF"/>
    <w:rsid w:val="00E4642D"/>
    <w:rsid w:val="00E46CC7"/>
    <w:rsid w:val="00E5147D"/>
    <w:rsid w:val="00E531D9"/>
    <w:rsid w:val="00E53AAA"/>
    <w:rsid w:val="00E54754"/>
    <w:rsid w:val="00E54DCE"/>
    <w:rsid w:val="00E551A9"/>
    <w:rsid w:val="00E55B94"/>
    <w:rsid w:val="00E608A3"/>
    <w:rsid w:val="00E63F89"/>
    <w:rsid w:val="00E7072E"/>
    <w:rsid w:val="00E72C72"/>
    <w:rsid w:val="00E73E3C"/>
    <w:rsid w:val="00E74A42"/>
    <w:rsid w:val="00E7798E"/>
    <w:rsid w:val="00E83C5B"/>
    <w:rsid w:val="00E83F5D"/>
    <w:rsid w:val="00E90137"/>
    <w:rsid w:val="00E9665E"/>
    <w:rsid w:val="00EA3144"/>
    <w:rsid w:val="00EA343D"/>
    <w:rsid w:val="00EA6387"/>
    <w:rsid w:val="00EA78AB"/>
    <w:rsid w:val="00EB1024"/>
    <w:rsid w:val="00EB2F50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04C"/>
    <w:rsid w:val="00EE1B58"/>
    <w:rsid w:val="00EE2168"/>
    <w:rsid w:val="00EE2AF7"/>
    <w:rsid w:val="00EE4619"/>
    <w:rsid w:val="00EE7471"/>
    <w:rsid w:val="00EE7C5C"/>
    <w:rsid w:val="00EE7EB9"/>
    <w:rsid w:val="00EF1409"/>
    <w:rsid w:val="00EF2B23"/>
    <w:rsid w:val="00EF3BED"/>
    <w:rsid w:val="00EF41BA"/>
    <w:rsid w:val="00EF6CD2"/>
    <w:rsid w:val="00F03AB3"/>
    <w:rsid w:val="00F0600B"/>
    <w:rsid w:val="00F0623A"/>
    <w:rsid w:val="00F10720"/>
    <w:rsid w:val="00F10F53"/>
    <w:rsid w:val="00F115A3"/>
    <w:rsid w:val="00F1337A"/>
    <w:rsid w:val="00F13EB1"/>
    <w:rsid w:val="00F152DF"/>
    <w:rsid w:val="00F16699"/>
    <w:rsid w:val="00F17496"/>
    <w:rsid w:val="00F17E4D"/>
    <w:rsid w:val="00F21940"/>
    <w:rsid w:val="00F241B4"/>
    <w:rsid w:val="00F26FD3"/>
    <w:rsid w:val="00F276F8"/>
    <w:rsid w:val="00F327C3"/>
    <w:rsid w:val="00F32C2B"/>
    <w:rsid w:val="00F3489C"/>
    <w:rsid w:val="00F370F3"/>
    <w:rsid w:val="00F415A9"/>
    <w:rsid w:val="00F43BE2"/>
    <w:rsid w:val="00F44250"/>
    <w:rsid w:val="00F44637"/>
    <w:rsid w:val="00F47486"/>
    <w:rsid w:val="00F50F91"/>
    <w:rsid w:val="00F51652"/>
    <w:rsid w:val="00F55E85"/>
    <w:rsid w:val="00F56B26"/>
    <w:rsid w:val="00F62502"/>
    <w:rsid w:val="00F625CA"/>
    <w:rsid w:val="00F63364"/>
    <w:rsid w:val="00F635CA"/>
    <w:rsid w:val="00F63ED1"/>
    <w:rsid w:val="00F70FFA"/>
    <w:rsid w:val="00F7358F"/>
    <w:rsid w:val="00F75B1A"/>
    <w:rsid w:val="00F771C3"/>
    <w:rsid w:val="00F83417"/>
    <w:rsid w:val="00F83570"/>
    <w:rsid w:val="00F835FC"/>
    <w:rsid w:val="00F8364D"/>
    <w:rsid w:val="00F839EF"/>
    <w:rsid w:val="00F854CF"/>
    <w:rsid w:val="00F85B95"/>
    <w:rsid w:val="00F86EC8"/>
    <w:rsid w:val="00F928BB"/>
    <w:rsid w:val="00F93152"/>
    <w:rsid w:val="00F96608"/>
    <w:rsid w:val="00FA63A6"/>
    <w:rsid w:val="00FB0C8D"/>
    <w:rsid w:val="00FB2BD8"/>
    <w:rsid w:val="00FB3149"/>
    <w:rsid w:val="00FB7357"/>
    <w:rsid w:val="00FC0538"/>
    <w:rsid w:val="00FC1160"/>
    <w:rsid w:val="00FC1832"/>
    <w:rsid w:val="00FC377C"/>
    <w:rsid w:val="00FC788D"/>
    <w:rsid w:val="00FC7D3D"/>
    <w:rsid w:val="00FD0047"/>
    <w:rsid w:val="00FD0689"/>
    <w:rsid w:val="00FD2040"/>
    <w:rsid w:val="00FD4A60"/>
    <w:rsid w:val="00FD4E62"/>
    <w:rsid w:val="00FD61EA"/>
    <w:rsid w:val="00FD75BE"/>
    <w:rsid w:val="00FE0A2E"/>
    <w:rsid w:val="00FE0B84"/>
    <w:rsid w:val="00FE1971"/>
    <w:rsid w:val="00FE1989"/>
    <w:rsid w:val="00FE28AB"/>
    <w:rsid w:val="00FE350D"/>
    <w:rsid w:val="00FE3C56"/>
    <w:rsid w:val="00FE3D3B"/>
    <w:rsid w:val="00FE4F7D"/>
    <w:rsid w:val="00FE5724"/>
    <w:rsid w:val="00FE5930"/>
    <w:rsid w:val="00FE5AF4"/>
    <w:rsid w:val="00FE6439"/>
    <w:rsid w:val="00FE64CC"/>
    <w:rsid w:val="00FE69C7"/>
    <w:rsid w:val="00FE6BDE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AF0B2"/>
  <w15:docId w15:val="{420A9407-99D5-4E5B-8D58-7111BAF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ieleverwijzing">
    <w:name w:val="Subtle Reference"/>
    <w:basedOn w:val="Standaardalinea-lettertype"/>
    <w:uiPriority w:val="31"/>
    <w:rsid w:val="00FD0689"/>
    <w:rPr>
      <w:caps/>
      <w:smallCaps w:val="0"/>
      <w:color w:val="auto"/>
      <w:sz w:val="16"/>
      <w:u w:val="non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1F90E-B0E3-4D0F-A9BA-1B0E240C98A4}"/>
      </w:docPartPr>
      <w:docPartBody>
        <w:p w:rsidR="002D7611" w:rsidRDefault="00152D56">
          <w:r w:rsidRPr="006E602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17"/>
    <w:rsid w:val="00096D20"/>
    <w:rsid w:val="000C1E58"/>
    <w:rsid w:val="000E4F17"/>
    <w:rsid w:val="00152D56"/>
    <w:rsid w:val="00294D77"/>
    <w:rsid w:val="002D7611"/>
    <w:rsid w:val="00442742"/>
    <w:rsid w:val="005E4A24"/>
    <w:rsid w:val="00607667"/>
    <w:rsid w:val="006852AF"/>
    <w:rsid w:val="00794191"/>
    <w:rsid w:val="007B0480"/>
    <w:rsid w:val="007C78DF"/>
    <w:rsid w:val="008313D9"/>
    <w:rsid w:val="00897F17"/>
    <w:rsid w:val="008E5CC6"/>
    <w:rsid w:val="0090692F"/>
    <w:rsid w:val="00915012"/>
    <w:rsid w:val="00940F6E"/>
    <w:rsid w:val="00AC2F27"/>
    <w:rsid w:val="00B65D97"/>
    <w:rsid w:val="00BA37A6"/>
    <w:rsid w:val="00BB7DD3"/>
    <w:rsid w:val="00C353C5"/>
    <w:rsid w:val="00F32E27"/>
    <w:rsid w:val="00F774C6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2D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5" ma:contentTypeDescription="Een nieuw document maken." ma:contentTypeScope="" ma:versionID="3d20369c88108f709a5dc20e847b4351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a178fdffb2a6b1ec2fa1bd23c5cf9fa7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Proceseigenaar xmlns="7df18802-3da7-468c-8026-4a10a95bf0bd">
      <UserInfo>
        <DisplayName>Vanwittenbergh Lisa</DisplayName>
        <AccountId>791</AccountId>
        <AccountType/>
      </UserInfo>
    </Proceseigenaar>
    <_dlc_DocId xmlns="7df18802-3da7-468c-8026-4a10a95bf0bd">DOCID-260704268-4839</_dlc_DocId>
    <_dlc_DocIdUrl xmlns="7df18802-3da7-468c-8026-4a10a95bf0bd">
      <Url>https://vlaamseoverheid.sharepoint.com/sites/ago/proc/_layouts/DocIdRedir.aspx?ID=DOCID-260704268-4839</Url>
      <Description>DOCID-260704268-4839</Description>
    </_dlc_DocIdUrl>
    <Procesnaam xmlns="8970ed2e-8af3-4e88-a5be-8816c47d1ddb">Handel indiensttreding af</Procesnaam>
    <N_Documenttype xmlns="d52ecbb6-9ff9-4162-ae67-9d3034b5866a">Sjabloon formulier</N_Documenttype>
    <Status xmlns="d52ecbb6-9ff9-4162-ae67-9d3034b5866a" xsi:nil="true"/>
    <N_Variant xmlns="d52ecbb6-9ff9-4162-ae67-9d3034b5866a">Stat-contr-job-GDL</N_Varia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123F5-43F7-44DF-A367-966E37F615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F78C6-F073-4C0E-B5D4-17F60EA7A2E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D845046-8DAD-434C-9D03-1154913BA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4280A-26D0-45DB-9522-746D6CCD9A27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7df18802-3da7-468c-8026-4a10a95bf0bd"/>
    <ds:schemaRef ds:uri="http://schemas.microsoft.com/sharepoint/v3"/>
    <ds:schemaRef ds:uri="8970ed2e-8af3-4e88-a5be-8816c47d1ddb"/>
    <ds:schemaRef ds:uri="d52ecbb6-9ff9-4162-ae67-9d3034b5866a"/>
  </ds:schemaRefs>
</ds:datastoreItem>
</file>

<file path=customXml/itemProps5.xml><?xml version="1.0" encoding="utf-8"?>
<ds:datastoreItem xmlns:ds="http://schemas.openxmlformats.org/officeDocument/2006/customXml" ds:itemID="{51126E33-929E-4E5C-A700-BD736BB654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441DE4-AEA4-41DF-AFA5-53C7C2FD0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subject/>
  <dc:creator>Vanwittenbergh Lisa</dc:creator>
  <cp:keywords/>
  <dc:description/>
  <cp:lastModifiedBy>Vanwittenbergh Lisa</cp:lastModifiedBy>
  <cp:revision>5</cp:revision>
  <cp:lastPrinted>2017-12-01T09:35:00Z</cp:lastPrinted>
  <dcterms:created xsi:type="dcterms:W3CDTF">2022-01-14T08:04:00Z</dcterms:created>
  <dcterms:modified xsi:type="dcterms:W3CDTF">2022-01-14T08:50:00Z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TaxKeyword">
    <vt:lpwstr/>
  </property>
  <property fmtid="{D5CDD505-2E9C-101B-9397-08002B2CF9AE}" pid="4" name="Leermodule DB">
    <vt:lpwstr>1</vt:lpwstr>
  </property>
  <property fmtid="{D5CDD505-2E9C-101B-9397-08002B2CF9AE}" pid="5" name="Procesgroep1">
    <vt:lpwstr>20</vt:lpwstr>
  </property>
  <property fmtid="{D5CDD505-2E9C-101B-9397-08002B2CF9AE}" pid="6" name="Procesdomein">
    <vt:lpwstr>19</vt:lpwstr>
  </property>
  <property fmtid="{D5CDD505-2E9C-101B-9397-08002B2CF9AE}" pid="7" name="AuthorIds_UIVersion_1">
    <vt:lpwstr>280</vt:lpwstr>
  </property>
  <property fmtid="{D5CDD505-2E9C-101B-9397-08002B2CF9AE}" pid="8" name="AuthorIds_UIVersion_2">
    <vt:lpwstr>280</vt:lpwstr>
  </property>
  <property fmtid="{D5CDD505-2E9C-101B-9397-08002B2CF9AE}" pid="9" name="N_Variant">
    <vt:lpwstr>Stat-contr-job-GDL</vt:lpwstr>
  </property>
  <property fmtid="{D5CDD505-2E9C-101B-9397-08002B2CF9AE}" pid="10" name="N_Documenttype">
    <vt:lpwstr>Sjabloon formulier</vt:lpwstr>
  </property>
  <property fmtid="{D5CDD505-2E9C-101B-9397-08002B2CF9AE}" pid="11" name="Dataclass">
    <vt:lpwstr>2 - Intern</vt:lpwstr>
  </property>
  <property fmtid="{D5CDD505-2E9C-101B-9397-08002B2CF9AE}" pid="12" name="N_Opslagplaats">
    <vt:lpwstr>SP Processen AgObreed</vt:lpwstr>
  </property>
  <property fmtid="{D5CDD505-2E9C-101B-9397-08002B2CF9AE}" pid="13" name="_dlc_DocIdItemGuid">
    <vt:lpwstr>132b68b5-31a5-474f-9d0c-b7f2bd8d9b6c</vt:lpwstr>
  </property>
  <property fmtid="{D5CDD505-2E9C-101B-9397-08002B2CF9AE}" pid="14" name="_docset_NoMedatataSyncRequired">
    <vt:lpwstr>False</vt:lpwstr>
  </property>
  <property fmtid="{D5CDD505-2E9C-101B-9397-08002B2CF9AE}" pid="15" name="Status">
    <vt:lpwstr/>
  </property>
</Properties>
</file>