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741" w:rsidRPr="00DD3A7A" w:rsidRDefault="00523741" w:rsidP="0040127B">
      <w:pPr>
        <w:jc w:val="center"/>
        <w:rPr>
          <w:rFonts w:ascii="FlandersArtSans-Bold" w:hAnsi="FlandersArtSans-Bold" w:cs="Calibri"/>
          <w:b/>
          <w:sz w:val="32"/>
          <w:szCs w:val="32"/>
          <w:u w:val="single"/>
        </w:rPr>
      </w:pPr>
      <w:r w:rsidRPr="00DD3A7A">
        <w:rPr>
          <w:rFonts w:ascii="FlandersArtSans-Bold" w:hAnsi="FlandersArtSans-Bold" w:cs="Calibri"/>
          <w:b/>
          <w:sz w:val="32"/>
          <w:szCs w:val="32"/>
          <w:u w:val="single"/>
        </w:rPr>
        <w:t>VERKLARING OP EER</w:t>
      </w:r>
      <w:r w:rsidR="00857342" w:rsidRPr="00DD3A7A">
        <w:rPr>
          <w:rFonts w:ascii="FlandersArtSans-Bold" w:hAnsi="FlandersArtSans-Bold" w:cs="Calibri"/>
          <w:b/>
          <w:sz w:val="32"/>
          <w:szCs w:val="32"/>
          <w:u w:val="single"/>
        </w:rPr>
        <w:t xml:space="preserve"> </w:t>
      </w:r>
      <w:r w:rsidR="005C1B94">
        <w:rPr>
          <w:rFonts w:ascii="FlandersArtSans-Bold" w:hAnsi="FlandersArtSans-Bold" w:cs="Calibri"/>
          <w:b/>
          <w:sz w:val="32"/>
          <w:szCs w:val="32"/>
          <w:u w:val="single"/>
        </w:rPr>
        <w:t>–</w:t>
      </w:r>
      <w:r w:rsidR="00857342" w:rsidRPr="00DD3A7A">
        <w:rPr>
          <w:rFonts w:ascii="FlandersArtSans-Bold" w:hAnsi="FlandersArtSans-Bold" w:cs="Calibri"/>
          <w:b/>
          <w:sz w:val="32"/>
          <w:szCs w:val="32"/>
          <w:u w:val="single"/>
        </w:rPr>
        <w:t xml:space="preserve"> </w:t>
      </w:r>
      <w:r w:rsidR="005C1B94">
        <w:rPr>
          <w:rFonts w:ascii="FlandersArtSans-Bold" w:hAnsi="FlandersArtSans-Bold" w:cs="Calibri"/>
          <w:b/>
          <w:sz w:val="32"/>
          <w:szCs w:val="32"/>
          <w:u w:val="single"/>
        </w:rPr>
        <w:t>Verhoging KMO-Portefeuille</w:t>
      </w:r>
    </w:p>
    <w:p w:rsidR="00523741" w:rsidRDefault="00523741" w:rsidP="0040127B">
      <w:pPr>
        <w:spacing w:after="160" w:line="259" w:lineRule="auto"/>
        <w:jc w:val="both"/>
        <w:rPr>
          <w:rFonts w:ascii="Calibri" w:hAnsi="Calibri" w:cs="Calibri"/>
        </w:rPr>
      </w:pPr>
    </w:p>
    <w:p w:rsidR="00EF78D2" w:rsidRDefault="00C95999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 aanvraag voor de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5C1B94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verhoging KMO-Portefeuille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moet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voldoen aan een aantal voorwaarden. </w:t>
      </w:r>
    </w:p>
    <w:p w:rsidR="00F266D6" w:rsidRDefault="00592193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begunstigde verklaart </w:t>
      </w:r>
      <w:r w:rsidR="0061296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hierbij</w:t>
      </w:r>
      <w:r w:rsidR="00A9067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:</w:t>
      </w:r>
    </w:p>
    <w:p w:rsidR="00A750CD" w:rsidRDefault="00A750CD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5D39F9" w:rsidRPr="005D39F9" w:rsidRDefault="005D39F9" w:rsidP="005D39F9">
      <w:pPr>
        <w:pStyle w:val="Lijstalinea"/>
        <w:numPr>
          <w:ilvl w:val="0"/>
          <w:numId w:val="7"/>
        </w:num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5D39F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de middelen van de </w:t>
      </w:r>
      <w:r w:rsidR="00641006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</w:t>
      </w: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erhoging KMO-P</w:t>
      </w:r>
      <w:r w:rsidRPr="005D39F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niet aangewend </w:t>
      </w:r>
      <w:r w:rsidR="0081662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werden</w:t>
      </w:r>
      <w:r w:rsidRPr="005D39F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om te voldoen aan </w:t>
      </w:r>
      <w:r w:rsidRPr="003B4C0C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wettelijke verplichtingen</w:t>
      </w:r>
      <w:r w:rsidRPr="005D39F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.  </w:t>
      </w:r>
    </w:p>
    <w:p w:rsidR="005D39F9" w:rsidRDefault="005D39F9" w:rsidP="005D39F9">
      <w:pPr>
        <w:pStyle w:val="Lijstalinea"/>
        <w:ind w:left="108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A0314F" w:rsidRDefault="00A20A76" w:rsidP="00B709B6">
      <w:pPr>
        <w:pStyle w:val="Lijstalinea"/>
        <w:numPr>
          <w:ilvl w:val="0"/>
          <w:numId w:val="7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In aanmerking te komen als KMO voor steun bij de KMO-Portefeuille en op </w:t>
      </w:r>
      <w:r w:rsidRPr="00372286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jaarbasis</w:t>
      </w:r>
      <w:r w:rsidR="00A0314F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(*)</w:t>
      </w:r>
      <w:r w:rsidR="00E4777D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</w:t>
      </w:r>
      <w:r w:rsidRPr="00372286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het plafond van</w:t>
      </w:r>
      <w:r w:rsidR="00C01D0D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7.5</w:t>
      </w:r>
      <w:r w:rsidRPr="00372286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00 EUR</w:t>
      </w: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bereikt te hebben. </w:t>
      </w:r>
      <w:r w:rsidR="00945227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Hiertoe wordt een bewijs van het bereikt plafond toegevoegd</w:t>
      </w:r>
      <w:r w:rsidR="007D5954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op basis van een print-screen vanuit de online tool van de KMO-Portefeuille. </w:t>
      </w:r>
    </w:p>
    <w:p w:rsidR="000B66D6" w:rsidRPr="00A0314F" w:rsidRDefault="00A0314F" w:rsidP="00A0314F">
      <w:pPr>
        <w:pStyle w:val="Lijstalinea"/>
        <w:ind w:left="1080"/>
        <w:jc w:val="both"/>
        <w:rPr>
          <w:rFonts w:ascii="FlandersArtSerif-Regular" w:eastAsia="Calibri" w:hAnsi="FlandersArtSerif-Regular" w:cs="Arial"/>
          <w:sz w:val="18"/>
          <w:szCs w:val="18"/>
          <w:lang w:val="nl-BE" w:eastAsia="en-US"/>
        </w:rPr>
      </w:pPr>
      <w:r w:rsidRPr="00A0314F">
        <w:rPr>
          <w:rFonts w:ascii="FlandersArtSerif-Regular" w:eastAsia="Calibri" w:hAnsi="FlandersArtSerif-Regular" w:cs="Arial"/>
          <w:sz w:val="18"/>
          <w:szCs w:val="18"/>
          <w:lang w:val="nl-BE" w:eastAsia="en-US"/>
        </w:rPr>
        <w:t xml:space="preserve">(*) </w:t>
      </w:r>
      <w:r w:rsidR="00113392" w:rsidRPr="00A0314F">
        <w:rPr>
          <w:rFonts w:ascii="FlandersArtSerif-Regular" w:eastAsia="Calibri" w:hAnsi="FlandersArtSerif-Regular" w:cs="Arial"/>
          <w:sz w:val="18"/>
          <w:szCs w:val="18"/>
          <w:lang w:val="nl-BE" w:eastAsia="en-US"/>
        </w:rPr>
        <w:t xml:space="preserve">De aanvraag voor de verhoging is enkel mogelijk tijdens het specifieke jaar dat het plafond bij de KMO-Portefeuille bereikt werd. </w:t>
      </w:r>
    </w:p>
    <w:p w:rsidR="00120FB9" w:rsidRDefault="00120FB9" w:rsidP="00A2525D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202F87" w:rsidRDefault="00202F87" w:rsidP="00202F87">
      <w:pPr>
        <w:pStyle w:val="Lijstalinea"/>
        <w:numPr>
          <w:ilvl w:val="0"/>
          <w:numId w:val="7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opleiding of advies </w:t>
      </w:r>
      <w:r w:rsidR="0081662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werd </w:t>
      </w: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aangekocht. </w:t>
      </w:r>
    </w:p>
    <w:p w:rsidR="00202F87" w:rsidRDefault="00202F87" w:rsidP="00202F87">
      <w:pPr>
        <w:pStyle w:val="Lijstalinea"/>
        <w:ind w:left="108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473E44" w:rsidRPr="00202F87" w:rsidRDefault="00202F87" w:rsidP="00202F87">
      <w:pPr>
        <w:pStyle w:val="Lijstalinea"/>
        <w:numPr>
          <w:ilvl w:val="0"/>
          <w:numId w:val="7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Te</w:t>
      </w:r>
      <w:r w:rsidR="00473E44" w:rsidRPr="00202F87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voldoen aan één of meerdere van de opties</w:t>
      </w:r>
      <w:r w:rsidRPr="00202F87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Pr="00202F87">
        <w:rPr>
          <w:rFonts w:ascii="FlandersArtSerif-Regular" w:eastAsia="Calibri" w:hAnsi="FlandersArtSerif-Regular" w:cs="Arial"/>
          <w:i/>
          <w:sz w:val="22"/>
          <w:szCs w:val="20"/>
          <w:lang w:val="nl-BE" w:eastAsia="en-US"/>
        </w:rPr>
        <w:t>(Optie schrappen die niet van toepassing is)</w:t>
      </w:r>
      <w:r>
        <w:rPr>
          <w:rFonts w:ascii="FlandersArtSerif-Regular" w:eastAsia="Calibri" w:hAnsi="FlandersArtSerif-Regular" w:cs="Arial"/>
          <w:i/>
          <w:sz w:val="22"/>
          <w:szCs w:val="20"/>
          <w:lang w:val="nl-BE" w:eastAsia="en-US"/>
        </w:rPr>
        <w:t>:</w:t>
      </w:r>
    </w:p>
    <w:p w:rsidR="003D0F5F" w:rsidRPr="00120FB9" w:rsidRDefault="00473E44" w:rsidP="00473E44">
      <w:pPr>
        <w:pStyle w:val="Lijstalinea"/>
        <w:numPr>
          <w:ilvl w:val="0"/>
          <w:numId w:val="8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</w:t>
      </w:r>
      <w:r w:rsidR="00950A5E" w:rsidRPr="00120FB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e verhoging KMO-P </w:t>
      </w:r>
      <w:r w:rsidR="0081662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werd </w:t>
      </w:r>
      <w:r w:rsidR="00950A5E" w:rsidRPr="00120FB9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aangewend voor </w:t>
      </w:r>
      <w:r w:rsidR="00950A5E" w:rsidRPr="00120FB9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maatregelen of verbeterprojecten in het kader van werkbaar werk.</w:t>
      </w:r>
    </w:p>
    <w:p w:rsidR="0052132F" w:rsidRPr="00B709B6" w:rsidRDefault="001943EF" w:rsidP="00B709B6">
      <w:pPr>
        <w:ind w:left="2136" w:firstLine="696"/>
        <w:jc w:val="center"/>
        <w:rPr>
          <w:rFonts w:ascii="FlandersArtSerif-Regular" w:eastAsia="Calibri" w:hAnsi="FlandersArtSerif-Regular" w:cs="Arial"/>
          <w:b/>
          <w:sz w:val="26"/>
          <w:szCs w:val="26"/>
          <w:lang w:val="nl-BE" w:eastAsia="en-US"/>
        </w:rPr>
      </w:pPr>
      <w:r>
        <w:rPr>
          <w:rFonts w:ascii="FlandersArtSerif-Regular" w:eastAsia="Calibri" w:hAnsi="FlandersArtSerif-Regular" w:cs="Arial"/>
          <w:b/>
          <w:sz w:val="26"/>
          <w:szCs w:val="26"/>
          <w:lang w:val="nl-BE" w:eastAsia="en-US"/>
        </w:rPr>
        <w:t>EN/</w:t>
      </w:r>
      <w:r w:rsidR="003D0F5F" w:rsidRPr="0052132F">
        <w:rPr>
          <w:rFonts w:ascii="FlandersArtSerif-Regular" w:eastAsia="Calibri" w:hAnsi="FlandersArtSerif-Regular" w:cs="Arial"/>
          <w:b/>
          <w:sz w:val="26"/>
          <w:szCs w:val="26"/>
          <w:lang w:val="nl-BE" w:eastAsia="en-US"/>
        </w:rPr>
        <w:t>OF</w:t>
      </w:r>
    </w:p>
    <w:p w:rsidR="00473E44" w:rsidRDefault="00473E44" w:rsidP="00473E44">
      <w:pPr>
        <w:pStyle w:val="Lijstalinea"/>
        <w:numPr>
          <w:ilvl w:val="0"/>
          <w:numId w:val="8"/>
        </w:numPr>
        <w:jc w:val="both"/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</w:pP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verhoging KMO-P </w:t>
      </w:r>
      <w:r w:rsidR="0081662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werd </w:t>
      </w:r>
      <w: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aangewend voor </w:t>
      </w:r>
      <w:r w:rsidRPr="00473E44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andere maatregelen buiten werkbaar werk</w:t>
      </w:r>
      <w:r w:rsidR="00733E38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. </w:t>
      </w:r>
      <w:r w:rsidR="00733E3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Dit indien er reeds acties </w:t>
      </w:r>
      <w:r w:rsidR="003D4B64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werkbaar werk </w:t>
      </w:r>
      <w:r w:rsidR="00733E3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onder de noemer HR ondernomen werden binnen de KMO-Portefeuille. </w:t>
      </w:r>
    </w:p>
    <w:p w:rsidR="00A2525D" w:rsidRPr="00202F87" w:rsidRDefault="00A2525D" w:rsidP="00202F87">
      <w:pPr>
        <w:jc w:val="both"/>
        <w:rPr>
          <w:rFonts w:ascii="FlandersArtSerif-Regular" w:eastAsia="Calibri" w:hAnsi="FlandersArtSerif-Regular" w:cs="Arial"/>
          <w:sz w:val="22"/>
          <w:szCs w:val="20"/>
          <w:lang w:eastAsia="en-US"/>
        </w:rPr>
      </w:pPr>
    </w:p>
    <w:p w:rsidR="00F33820" w:rsidRPr="005B69C5" w:rsidRDefault="00F33820" w:rsidP="00120FB9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bookmarkStart w:id="0" w:name="_Hlk4749869"/>
      <w:r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Gelieve hiertoe het dossiernummer vanuit de KMO-Portefeuille op te geven</w:t>
      </w:r>
      <w:r w:rsidR="000B1BB4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 </w:t>
      </w:r>
      <w:r w:rsidR="00CE286F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het budget</w:t>
      </w:r>
      <w:r w:rsidR="004735F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,</w:t>
      </w:r>
      <w:r w:rsidR="00CE286F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85472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van de reeds ondernomen acties werkbaar werk, </w:t>
      </w:r>
      <w:r w:rsidR="00CE286F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dat in aanmerking kwam voor terugbetaling</w:t>
      </w:r>
      <w:r w:rsidR="000B1BB4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. </w:t>
      </w:r>
      <w:r w:rsidR="004937B3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Voeg tevens de factuur van de betreffende nieuwe actie toe. De uitbetaling zal e</w:t>
      </w:r>
      <w:r w:rsidR="00D64FC5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nkel gebeuren ten belope </w:t>
      </w:r>
      <w:r w:rsidR="00591CD7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van het maximale bedrag aan acties</w:t>
      </w:r>
      <w:r w:rsidR="00F74E8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werkbaar werk</w:t>
      </w:r>
      <w:r w:rsidR="00591CD7" w:rsidRPr="005B69C5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die reeds werden gefinancierd binnen de KMO-Portefeuille. </w:t>
      </w:r>
    </w:p>
    <w:p w:rsidR="000B66D6" w:rsidRPr="00591CD7" w:rsidRDefault="008D66DF" w:rsidP="00591CD7">
      <w:pPr>
        <w:pStyle w:val="Lijstalinea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8D66DF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024"/>
        <w:gridCol w:w="2661"/>
        <w:gridCol w:w="2552"/>
      </w:tblGrid>
      <w:tr w:rsidR="000164D0" w:rsidRPr="00E82ED7" w:rsidTr="000164D0">
        <w:tc>
          <w:tcPr>
            <w:tcW w:w="2689" w:type="dxa"/>
          </w:tcPr>
          <w:p w:rsidR="000164D0" w:rsidRPr="00BA040B" w:rsidRDefault="000164D0" w:rsidP="00BA040B">
            <w:pPr>
              <w:rPr>
                <w:rFonts w:ascii="FlandersArtSerif-Regular" w:eastAsia="Calibri" w:hAnsi="FlandersArtSerif-Regular" w:cs="Arial"/>
                <w:b/>
                <w:lang w:val="nl-BE" w:eastAsia="en-US"/>
              </w:rPr>
            </w:pPr>
            <w:r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Dossiernummer KMO-P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164D0" w:rsidRPr="00CE1C96" w:rsidRDefault="000164D0" w:rsidP="00BA040B">
            <w:pPr>
              <w:rPr>
                <w:rFonts w:ascii="Calibri" w:hAnsi="Calibri" w:cs="Calibri"/>
                <w:b/>
              </w:rPr>
            </w:pPr>
            <w:r w:rsidRPr="00BA040B"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Actie uit KMO-P</w:t>
            </w:r>
          </w:p>
        </w:tc>
        <w:tc>
          <w:tcPr>
            <w:tcW w:w="2552" w:type="dxa"/>
            <w:shd w:val="clear" w:color="auto" w:fill="auto"/>
          </w:tcPr>
          <w:p w:rsidR="000164D0" w:rsidRPr="00CE1C96" w:rsidRDefault="00AF7C36" w:rsidP="00BA040B">
            <w:pPr>
              <w:rPr>
                <w:rFonts w:ascii="Calibri" w:hAnsi="Calibri" w:cs="Calibri"/>
                <w:b/>
              </w:rPr>
            </w:pPr>
            <w:r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Steunb</w:t>
            </w:r>
            <w:r w:rsidR="000164D0" w:rsidRPr="00CE1C96"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edrag</w:t>
            </w:r>
          </w:p>
        </w:tc>
      </w:tr>
      <w:tr w:rsidR="000164D0" w:rsidRPr="00E82ED7" w:rsidTr="000164D0">
        <w:tc>
          <w:tcPr>
            <w:tcW w:w="2689" w:type="dxa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</w:tr>
      <w:tr w:rsidR="000164D0" w:rsidRPr="00E82ED7" w:rsidTr="000164D0">
        <w:tc>
          <w:tcPr>
            <w:tcW w:w="2689" w:type="dxa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</w:tr>
      <w:tr w:rsidR="000164D0" w:rsidRPr="00E82ED7" w:rsidTr="000164D0">
        <w:tc>
          <w:tcPr>
            <w:tcW w:w="2689" w:type="dxa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0164D0" w:rsidRPr="00E82ED7" w:rsidRDefault="000164D0" w:rsidP="00BA040B">
            <w:pPr>
              <w:rPr>
                <w:rFonts w:ascii="Calibri" w:hAnsi="Calibri" w:cs="Calibri"/>
              </w:rPr>
            </w:pPr>
          </w:p>
        </w:tc>
      </w:tr>
      <w:tr w:rsidR="000164D0" w:rsidRPr="00E82ED7" w:rsidTr="000164D0">
        <w:tc>
          <w:tcPr>
            <w:tcW w:w="2689" w:type="dxa"/>
            <w:shd w:val="thinDiagStripe" w:color="auto" w:fill="auto"/>
          </w:tcPr>
          <w:p w:rsidR="000164D0" w:rsidRPr="003E4BE2" w:rsidRDefault="000164D0" w:rsidP="00BA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24" w:type="dxa"/>
            <w:shd w:val="thinDiagStripe" w:color="auto" w:fill="auto"/>
          </w:tcPr>
          <w:p w:rsidR="000164D0" w:rsidRPr="003E4BE2" w:rsidRDefault="000164D0" w:rsidP="00BA040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61" w:type="dxa"/>
            <w:shd w:val="clear" w:color="auto" w:fill="auto"/>
          </w:tcPr>
          <w:p w:rsidR="000164D0" w:rsidRPr="00CE1C96" w:rsidRDefault="000164D0" w:rsidP="00BA040B">
            <w:pPr>
              <w:rPr>
                <w:rFonts w:ascii="FlandersArtSerif-Regular" w:eastAsia="Calibri" w:hAnsi="FlandersArtSerif-Regular" w:cs="Arial"/>
                <w:b/>
                <w:lang w:val="nl-BE" w:eastAsia="en-US"/>
              </w:rPr>
            </w:pPr>
            <w:r w:rsidRPr="00CE1C96">
              <w:rPr>
                <w:rFonts w:ascii="FlandersArtSerif-Regular" w:eastAsia="Calibri" w:hAnsi="FlandersArtSerif-Regular" w:cs="Arial"/>
                <w:b/>
                <w:lang w:val="nl-BE" w:eastAsia="en-US"/>
              </w:rPr>
              <w:t>Totaal</w:t>
            </w:r>
          </w:p>
        </w:tc>
        <w:tc>
          <w:tcPr>
            <w:tcW w:w="2552" w:type="dxa"/>
            <w:shd w:val="clear" w:color="auto" w:fill="auto"/>
          </w:tcPr>
          <w:p w:rsidR="000164D0" w:rsidRPr="003E4BE2" w:rsidRDefault="000164D0" w:rsidP="00BA040B">
            <w:pPr>
              <w:rPr>
                <w:rFonts w:ascii="Calibri" w:hAnsi="Calibri" w:cs="Calibri"/>
                <w:b/>
              </w:rPr>
            </w:pPr>
          </w:p>
        </w:tc>
      </w:tr>
    </w:tbl>
    <w:p w:rsidR="00857342" w:rsidRPr="00857342" w:rsidRDefault="00857342" w:rsidP="00857342">
      <w:pPr>
        <w:spacing w:after="160" w:line="259" w:lineRule="auto"/>
        <w:jc w:val="both"/>
        <w:rPr>
          <w:rFonts w:ascii="Calibri" w:hAnsi="Calibri" w:cs="Calibri"/>
        </w:rPr>
      </w:pPr>
    </w:p>
    <w:bookmarkEnd w:id="0"/>
    <w:p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Door te bevestigen, verklaart de begunstigde op eer dat zij aan alle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hierboven beschreven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voorwaarden van deze 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maatregel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voldoet. </w:t>
      </w:r>
    </w:p>
    <w:p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Naam organisatie</w:t>
      </w:r>
      <w:r w:rsid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erantwoordelijke:</w:t>
      </w:r>
    </w:p>
    <w:p w:rsidR="00523741" w:rsidRPr="00DD3A7A" w:rsidRDefault="00523741" w:rsidP="00DD3A7A">
      <w:pPr>
        <w:pStyle w:val="Lijstalinea"/>
        <w:ind w:left="1440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:rsidR="00744850" w:rsidRPr="00A2525D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Handtekening:</w:t>
      </w:r>
    </w:p>
    <w:sectPr w:rsidR="00744850" w:rsidRPr="00A252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0827" w:rsidRDefault="00C70827" w:rsidP="000B1D9F">
      <w:r>
        <w:separator/>
      </w:r>
    </w:p>
  </w:endnote>
  <w:endnote w:type="continuationSeparator" w:id="0">
    <w:p w:rsidR="00C70827" w:rsidRDefault="00C70827" w:rsidP="000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erif-Regular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Bold">
    <w:panose1 w:val="000008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3E0" w:rsidRDefault="005953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7342" w:rsidRPr="00DD3A7A" w:rsidRDefault="0049269A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DD3A7A">
      <w:rPr>
        <w:rFonts w:asciiTheme="minorHAnsi" w:hAnsiTheme="minorHAnsi" w:cstheme="minorHAnsi"/>
        <w:sz w:val="18"/>
        <w:szCs w:val="18"/>
      </w:rPr>
      <w:t xml:space="preserve">Verklaring op eer </w:t>
    </w:r>
    <w:r w:rsidR="0020533A">
      <w:rPr>
        <w:rFonts w:asciiTheme="minorHAnsi" w:hAnsiTheme="minorHAnsi" w:cstheme="minorHAnsi"/>
        <w:sz w:val="18"/>
        <w:szCs w:val="18"/>
      </w:rPr>
      <w:t>Verhoging KMO-Portefeuille</w:t>
    </w:r>
  </w:p>
  <w:p w:rsidR="00857342" w:rsidRDefault="008573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3E0" w:rsidRDefault="005953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0827" w:rsidRDefault="00C70827" w:rsidP="000B1D9F">
      <w:r>
        <w:separator/>
      </w:r>
    </w:p>
  </w:footnote>
  <w:footnote w:type="continuationSeparator" w:id="0">
    <w:p w:rsidR="00C70827" w:rsidRDefault="00C70827" w:rsidP="000B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3E0" w:rsidRDefault="005953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3E0" w:rsidRDefault="005953E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953E0" w:rsidRDefault="005953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51D2"/>
    <w:multiLevelType w:val="hybridMultilevel"/>
    <w:tmpl w:val="21FADBBA"/>
    <w:lvl w:ilvl="0" w:tplc="5CCA041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BD6"/>
    <w:multiLevelType w:val="hybridMultilevel"/>
    <w:tmpl w:val="5CF0D986"/>
    <w:lvl w:ilvl="0" w:tplc="52D2AA30">
      <w:start w:val="1"/>
      <w:numFmt w:val="bullet"/>
      <w:lvlText w:val="-"/>
      <w:lvlJc w:val="left"/>
      <w:pPr>
        <w:ind w:left="720" w:hanging="360"/>
      </w:pPr>
      <w:rPr>
        <w:rFonts w:ascii="FlandersArtSerif-Regular" w:eastAsia="Calibri" w:hAnsi="FlandersArtSerif-Regular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13C"/>
    <w:multiLevelType w:val="hybridMultilevel"/>
    <w:tmpl w:val="48D0E758"/>
    <w:lvl w:ilvl="0" w:tplc="275AFD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08B3"/>
    <w:multiLevelType w:val="hybridMultilevel"/>
    <w:tmpl w:val="0930F7E6"/>
    <w:lvl w:ilvl="0" w:tplc="7ABCDAD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517EFA"/>
    <w:multiLevelType w:val="hybridMultilevel"/>
    <w:tmpl w:val="A5CE590C"/>
    <w:lvl w:ilvl="0" w:tplc="8F486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D3F19"/>
    <w:multiLevelType w:val="hybridMultilevel"/>
    <w:tmpl w:val="AE8001EA"/>
    <w:lvl w:ilvl="0" w:tplc="5CCA04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428C8"/>
    <w:multiLevelType w:val="hybridMultilevel"/>
    <w:tmpl w:val="1374A76A"/>
    <w:lvl w:ilvl="0" w:tplc="67CEB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AB5DDA"/>
    <w:multiLevelType w:val="hybridMultilevel"/>
    <w:tmpl w:val="FBC8EB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44CF"/>
    <w:multiLevelType w:val="hybridMultilevel"/>
    <w:tmpl w:val="23D87D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41"/>
    <w:rsid w:val="00004288"/>
    <w:rsid w:val="000119B6"/>
    <w:rsid w:val="00015FE0"/>
    <w:rsid w:val="000164D0"/>
    <w:rsid w:val="000239B7"/>
    <w:rsid w:val="00025433"/>
    <w:rsid w:val="0002637A"/>
    <w:rsid w:val="00032EE7"/>
    <w:rsid w:val="00043709"/>
    <w:rsid w:val="00074D66"/>
    <w:rsid w:val="000778B9"/>
    <w:rsid w:val="000874CD"/>
    <w:rsid w:val="000B1BB4"/>
    <w:rsid w:val="000B1D9F"/>
    <w:rsid w:val="000B66D6"/>
    <w:rsid w:val="000E4714"/>
    <w:rsid w:val="00113392"/>
    <w:rsid w:val="00120FB9"/>
    <w:rsid w:val="001943EF"/>
    <w:rsid w:val="001A2DF8"/>
    <w:rsid w:val="001A35EF"/>
    <w:rsid w:val="00202F87"/>
    <w:rsid w:val="0020533A"/>
    <w:rsid w:val="0021234F"/>
    <w:rsid w:val="002A1667"/>
    <w:rsid w:val="002C3E95"/>
    <w:rsid w:val="002D4405"/>
    <w:rsid w:val="0032743D"/>
    <w:rsid w:val="00337817"/>
    <w:rsid w:val="00362362"/>
    <w:rsid w:val="00372286"/>
    <w:rsid w:val="003B4C0C"/>
    <w:rsid w:val="003D0F5F"/>
    <w:rsid w:val="003D4B64"/>
    <w:rsid w:val="003E3561"/>
    <w:rsid w:val="003E4349"/>
    <w:rsid w:val="003F1F23"/>
    <w:rsid w:val="0040127B"/>
    <w:rsid w:val="00414727"/>
    <w:rsid w:val="0041614D"/>
    <w:rsid w:val="00431121"/>
    <w:rsid w:val="004735F0"/>
    <w:rsid w:val="00473E44"/>
    <w:rsid w:val="0049269A"/>
    <w:rsid w:val="004937B3"/>
    <w:rsid w:val="004A49EC"/>
    <w:rsid w:val="004A7C1A"/>
    <w:rsid w:val="00507B21"/>
    <w:rsid w:val="00520F28"/>
    <w:rsid w:val="0052132F"/>
    <w:rsid w:val="00523741"/>
    <w:rsid w:val="00590132"/>
    <w:rsid w:val="00591CD7"/>
    <w:rsid w:val="00592193"/>
    <w:rsid w:val="00592CC4"/>
    <w:rsid w:val="005953E0"/>
    <w:rsid w:val="005B69C5"/>
    <w:rsid w:val="005C1B94"/>
    <w:rsid w:val="005D39F9"/>
    <w:rsid w:val="00612967"/>
    <w:rsid w:val="00613478"/>
    <w:rsid w:val="00613F0D"/>
    <w:rsid w:val="00624A21"/>
    <w:rsid w:val="00641006"/>
    <w:rsid w:val="006958D3"/>
    <w:rsid w:val="00701598"/>
    <w:rsid w:val="007264F2"/>
    <w:rsid w:val="00733E38"/>
    <w:rsid w:val="00744850"/>
    <w:rsid w:val="00752232"/>
    <w:rsid w:val="00766F78"/>
    <w:rsid w:val="007A1D54"/>
    <w:rsid w:val="007B1364"/>
    <w:rsid w:val="007C736A"/>
    <w:rsid w:val="007D4643"/>
    <w:rsid w:val="007D5954"/>
    <w:rsid w:val="007E6012"/>
    <w:rsid w:val="00811AEF"/>
    <w:rsid w:val="00816620"/>
    <w:rsid w:val="00816A79"/>
    <w:rsid w:val="00854722"/>
    <w:rsid w:val="00857342"/>
    <w:rsid w:val="00870BB5"/>
    <w:rsid w:val="008815C6"/>
    <w:rsid w:val="00887A20"/>
    <w:rsid w:val="008D66DF"/>
    <w:rsid w:val="008F0BF9"/>
    <w:rsid w:val="009303F3"/>
    <w:rsid w:val="00945227"/>
    <w:rsid w:val="00950A5E"/>
    <w:rsid w:val="00951F7A"/>
    <w:rsid w:val="00952B7D"/>
    <w:rsid w:val="00962B94"/>
    <w:rsid w:val="00990AAB"/>
    <w:rsid w:val="009E107B"/>
    <w:rsid w:val="009F5E6E"/>
    <w:rsid w:val="00A0314F"/>
    <w:rsid w:val="00A20A76"/>
    <w:rsid w:val="00A2525D"/>
    <w:rsid w:val="00A5063B"/>
    <w:rsid w:val="00A750CD"/>
    <w:rsid w:val="00A90671"/>
    <w:rsid w:val="00AF7C36"/>
    <w:rsid w:val="00B00E8B"/>
    <w:rsid w:val="00B06871"/>
    <w:rsid w:val="00B709B6"/>
    <w:rsid w:val="00BA040B"/>
    <w:rsid w:val="00BD50A7"/>
    <w:rsid w:val="00C01D0D"/>
    <w:rsid w:val="00C3143A"/>
    <w:rsid w:val="00C43DF6"/>
    <w:rsid w:val="00C70827"/>
    <w:rsid w:val="00C95999"/>
    <w:rsid w:val="00CB6A77"/>
    <w:rsid w:val="00CD77A8"/>
    <w:rsid w:val="00CE18A2"/>
    <w:rsid w:val="00CE1C96"/>
    <w:rsid w:val="00CE2518"/>
    <w:rsid w:val="00CE286F"/>
    <w:rsid w:val="00D061C1"/>
    <w:rsid w:val="00D11CEB"/>
    <w:rsid w:val="00D162A0"/>
    <w:rsid w:val="00D304BE"/>
    <w:rsid w:val="00D55695"/>
    <w:rsid w:val="00D64FC5"/>
    <w:rsid w:val="00DD3A7A"/>
    <w:rsid w:val="00DD464D"/>
    <w:rsid w:val="00DE76D4"/>
    <w:rsid w:val="00DF0A54"/>
    <w:rsid w:val="00DF3F55"/>
    <w:rsid w:val="00E4777D"/>
    <w:rsid w:val="00E82C0B"/>
    <w:rsid w:val="00EF78D2"/>
    <w:rsid w:val="00F0575E"/>
    <w:rsid w:val="00F266D6"/>
    <w:rsid w:val="00F33820"/>
    <w:rsid w:val="00F3502C"/>
    <w:rsid w:val="00F54EBE"/>
    <w:rsid w:val="00F74E80"/>
    <w:rsid w:val="00F85144"/>
    <w:rsid w:val="00FA7AB7"/>
    <w:rsid w:val="00FC3DDF"/>
    <w:rsid w:val="00FC67F6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E5A7"/>
  <w15:chartTrackingRefBased/>
  <w15:docId w15:val="{96A7F39B-EA3C-4B6A-B3AF-E5AA062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F266D6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0B1D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0B1D9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1D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1D9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1D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1D9F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9F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624A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Stijl1Char">
    <w:name w:val="Stijl1 Char"/>
    <w:basedOn w:val="Standaardalinea-lettertype"/>
    <w:link w:val="Stijl1"/>
    <w:rsid w:val="00624A21"/>
  </w:style>
  <w:style w:type="paragraph" w:styleId="Koptekst">
    <w:name w:val="header"/>
    <w:basedOn w:val="Standaard"/>
    <w:link w:val="Kop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0B66D6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9EF7C6476C640976C1F5F9CA93A79" ma:contentTypeVersion="13" ma:contentTypeDescription="Een nieuw document maken." ma:contentTypeScope="" ma:versionID="de57b9b6c8563da972ca399bc5a8499f">
  <xsd:schema xmlns:xsd="http://www.w3.org/2001/XMLSchema" xmlns:xs="http://www.w3.org/2001/XMLSchema" xmlns:p="http://schemas.microsoft.com/office/2006/metadata/properties" xmlns:ns2="5053ac3f-dc01-4d2f-89e5-6021042d9599" xmlns:ns3="3648d907-3586-47ba-afec-a4152d050875" targetNamespace="http://schemas.microsoft.com/office/2006/metadata/properties" ma:root="true" ma:fieldsID="cd8a1f309c8f89a0bddc3967627bba11" ns2:_="" ns3:_="">
    <xsd:import namespace="5053ac3f-dc01-4d2f-89e5-6021042d9599"/>
    <xsd:import namespace="3648d907-3586-47ba-afec-a4152d050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ac3f-dc01-4d2f-89e5-6021042d9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d907-3586-47ba-afec-a4152d050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61913-12DE-41A8-9033-5F9F38C06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ac3f-dc01-4d2f-89e5-6021042d9599"/>
    <ds:schemaRef ds:uri="3648d907-3586-47ba-afec-a4152d050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2C866-84B9-4C97-BB03-21963F4DB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85899F-D1AD-4A2B-9128-915E2D6F4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FAC3F-1BD2-4A99-A15A-B117DDEFE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Verdonck</dc:creator>
  <cp:keywords/>
  <dc:description/>
  <cp:lastModifiedBy>Van Dyck Lieze</cp:lastModifiedBy>
  <cp:revision>1</cp:revision>
  <dcterms:created xsi:type="dcterms:W3CDTF">2021-12-22T13:13:00Z</dcterms:created>
  <dcterms:modified xsi:type="dcterms:W3CDTF">2021-12-22T13:13:00Z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0x01010090C9EF7C6476C640976C1F5F9CA93A79</vt:lpwstr>
  </property>
</Properties>
</file>