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C4D0B" w14:textId="77777777" w:rsidR="00347E1C" w:rsidRPr="00AD40DE" w:rsidRDefault="00347E1C" w:rsidP="00347E1C">
      <w:pPr>
        <w:rPr>
          <w:rFonts w:cstheme="minorHAnsi"/>
          <w:color w:val="39B9BE"/>
        </w:rPr>
      </w:pPr>
    </w:p>
    <w:p w14:paraId="2B84808E" w14:textId="77777777" w:rsidR="00347E1C" w:rsidRPr="00AD40DE" w:rsidRDefault="00347E1C" w:rsidP="00347E1C">
      <w:pPr>
        <w:pStyle w:val="Kop2"/>
        <w:numPr>
          <w:ilvl w:val="0"/>
          <w:numId w:val="0"/>
        </w:numPr>
        <w:ind w:left="360" w:hanging="360"/>
        <w:rPr>
          <w:rFonts w:asciiTheme="minorHAnsi" w:hAnsiTheme="minorHAnsi" w:cstheme="minorHAnsi"/>
          <w:color w:val="39B9BE"/>
        </w:rPr>
      </w:pPr>
      <w:r w:rsidRPr="00AD40DE">
        <w:rPr>
          <w:rFonts w:asciiTheme="minorHAnsi" w:hAnsiTheme="minorHAnsi" w:cstheme="minorHAnsi"/>
          <w:color w:val="39B9BE"/>
        </w:rPr>
        <w:t>Bijlage 1: Ontwerprichtlijnen voor een toegankelijke bushalte</w:t>
      </w:r>
    </w:p>
    <w:p w14:paraId="15448E3F" w14:textId="77777777" w:rsidR="00347E1C" w:rsidRPr="00AD40DE" w:rsidRDefault="00347E1C" w:rsidP="00347E1C">
      <w:pPr>
        <w:pStyle w:val="Kop3"/>
        <w:rPr>
          <w:rFonts w:asciiTheme="minorHAnsi" w:hAnsiTheme="minorHAnsi" w:cstheme="minorHAnsi"/>
          <w:color w:val="auto"/>
        </w:rPr>
      </w:pPr>
      <w:bookmarkStart w:id="0" w:name="_Toc42545343"/>
      <w:bookmarkStart w:id="1" w:name="_Toc42609702"/>
      <w:r w:rsidRPr="00AD40DE">
        <w:rPr>
          <w:rFonts w:asciiTheme="minorHAnsi" w:hAnsiTheme="minorHAnsi" w:cstheme="minorHAnsi"/>
          <w:color w:val="auto"/>
        </w:rPr>
        <w:t xml:space="preserve">Hoogte </w:t>
      </w:r>
      <w:proofErr w:type="spellStart"/>
      <w:r w:rsidRPr="00AD40DE">
        <w:rPr>
          <w:rFonts w:asciiTheme="minorHAnsi" w:hAnsiTheme="minorHAnsi" w:cstheme="minorHAnsi"/>
          <w:color w:val="auto"/>
        </w:rPr>
        <w:t>busperron</w:t>
      </w:r>
      <w:bookmarkEnd w:id="0"/>
      <w:bookmarkEnd w:id="1"/>
      <w:proofErr w:type="spellEnd"/>
    </w:p>
    <w:p w14:paraId="0211C562" w14:textId="77777777" w:rsidR="00347E1C" w:rsidRPr="00027F57" w:rsidRDefault="00347E1C" w:rsidP="00347E1C">
      <w:pPr>
        <w:numPr>
          <w:ilvl w:val="0"/>
          <w:numId w:val="1"/>
        </w:numPr>
        <w:pBdr>
          <w:top w:val="nil"/>
          <w:left w:val="nil"/>
          <w:bottom w:val="nil"/>
          <w:right w:val="nil"/>
          <w:between w:val="nil"/>
        </w:pBdr>
        <w:spacing w:after="0" w:line="240" w:lineRule="auto"/>
        <w:rPr>
          <w:rFonts w:cstheme="minorHAnsi"/>
          <w:color w:val="000000"/>
        </w:rPr>
      </w:pPr>
      <w:r>
        <w:rPr>
          <w:rFonts w:cstheme="minorHAnsi"/>
          <w:color w:val="000000"/>
        </w:rPr>
        <w:t xml:space="preserve">De hoogte bedraagt </w:t>
      </w:r>
      <w:r w:rsidRPr="00027F57">
        <w:rPr>
          <w:rFonts w:cstheme="minorHAnsi"/>
          <w:color w:val="000000"/>
        </w:rPr>
        <w:t>18 centimeter voor een uitstulpende halte (bus zwenkt niet uit over perron)</w:t>
      </w:r>
      <w:r>
        <w:rPr>
          <w:rFonts w:cstheme="minorHAnsi"/>
          <w:color w:val="000000"/>
        </w:rPr>
        <w:t>.</w:t>
      </w:r>
    </w:p>
    <w:p w14:paraId="7ECDE071" w14:textId="77777777" w:rsidR="00347E1C" w:rsidRPr="00027F57" w:rsidRDefault="00347E1C" w:rsidP="00347E1C">
      <w:pPr>
        <w:numPr>
          <w:ilvl w:val="0"/>
          <w:numId w:val="1"/>
        </w:numPr>
        <w:pBdr>
          <w:top w:val="nil"/>
          <w:left w:val="nil"/>
          <w:bottom w:val="nil"/>
          <w:right w:val="nil"/>
          <w:between w:val="nil"/>
        </w:pBdr>
        <w:spacing w:after="0" w:line="240" w:lineRule="auto"/>
        <w:rPr>
          <w:rFonts w:cstheme="minorHAnsi"/>
          <w:color w:val="000000"/>
        </w:rPr>
      </w:pPr>
      <w:r>
        <w:rPr>
          <w:rFonts w:cstheme="minorHAnsi"/>
          <w:color w:val="000000"/>
        </w:rPr>
        <w:t xml:space="preserve">De hoogte is </w:t>
      </w:r>
      <w:r w:rsidRPr="00027F57">
        <w:rPr>
          <w:rFonts w:cstheme="minorHAnsi"/>
          <w:color w:val="000000"/>
        </w:rPr>
        <w:t>niet kleiner dan 15 centimeter maar ook niet groter dan 16 centimeter voor een haltehaven of uitstulpende voetpadhalten waar meerdere bussen gelijktijdig moeten halteren en de bussen onafhankelijk van elkaar moeten kunnen vertrekken (bus zwenkt uit over het perron).</w:t>
      </w:r>
    </w:p>
    <w:p w14:paraId="3B2856D3" w14:textId="77777777" w:rsidR="00347E1C" w:rsidRPr="00AD40DE" w:rsidRDefault="00347E1C" w:rsidP="00347E1C">
      <w:pPr>
        <w:pStyle w:val="Kop3"/>
        <w:rPr>
          <w:rFonts w:asciiTheme="minorHAnsi" w:hAnsiTheme="minorHAnsi" w:cstheme="minorHAnsi"/>
          <w:color w:val="auto"/>
        </w:rPr>
      </w:pPr>
      <w:bookmarkStart w:id="2" w:name="_Toc42545344"/>
      <w:bookmarkStart w:id="3" w:name="_Toc42609703"/>
      <w:r w:rsidRPr="00AD40DE">
        <w:rPr>
          <w:rFonts w:asciiTheme="minorHAnsi" w:hAnsiTheme="minorHAnsi" w:cstheme="minorHAnsi"/>
          <w:color w:val="auto"/>
        </w:rPr>
        <w:t>Aanrijdbare boordstenen</w:t>
      </w:r>
      <w:bookmarkEnd w:id="2"/>
      <w:bookmarkEnd w:id="3"/>
    </w:p>
    <w:p w14:paraId="1597AC4E" w14:textId="77777777" w:rsidR="00347E1C" w:rsidRPr="00027F57" w:rsidRDefault="00347E1C" w:rsidP="00347E1C">
      <w:pPr>
        <w:numPr>
          <w:ilvl w:val="0"/>
          <w:numId w:val="3"/>
        </w:numPr>
        <w:pBdr>
          <w:top w:val="nil"/>
          <w:left w:val="nil"/>
          <w:bottom w:val="nil"/>
          <w:right w:val="nil"/>
          <w:between w:val="nil"/>
        </w:pBdr>
        <w:spacing w:after="0" w:line="270" w:lineRule="auto"/>
        <w:rPr>
          <w:rFonts w:cstheme="minorHAnsi"/>
          <w:color w:val="000000"/>
        </w:rPr>
      </w:pPr>
      <w:r w:rsidRPr="00027F57">
        <w:rPr>
          <w:rFonts w:cstheme="minorHAnsi"/>
          <w:color w:val="000000"/>
        </w:rPr>
        <w:t>De aanrijdbare boordstenen w</w:t>
      </w:r>
      <w:r w:rsidRPr="00027F57">
        <w:rPr>
          <w:rFonts w:cstheme="minorHAnsi"/>
          <w:color w:val="0A0A0A"/>
        </w:rPr>
        <w:t xml:space="preserve">orden minstens over de volledige perronlengte </w:t>
      </w:r>
      <w:r w:rsidRPr="00027F57">
        <w:rPr>
          <w:rFonts w:cstheme="minorHAnsi"/>
          <w:color w:val="000000"/>
        </w:rPr>
        <w:t>aangelegd.</w:t>
      </w:r>
    </w:p>
    <w:p w14:paraId="76B9E308" w14:textId="77777777" w:rsidR="00347E1C" w:rsidRPr="00027F57" w:rsidRDefault="00347E1C" w:rsidP="00347E1C">
      <w:pPr>
        <w:numPr>
          <w:ilvl w:val="0"/>
          <w:numId w:val="3"/>
        </w:numPr>
        <w:pBdr>
          <w:top w:val="nil"/>
          <w:left w:val="nil"/>
          <w:bottom w:val="nil"/>
          <w:right w:val="nil"/>
          <w:between w:val="nil"/>
        </w:pBdr>
        <w:spacing w:after="0" w:line="270" w:lineRule="auto"/>
        <w:rPr>
          <w:rFonts w:cstheme="minorHAnsi"/>
          <w:color w:val="000000"/>
        </w:rPr>
      </w:pPr>
      <w:r w:rsidRPr="00027F57">
        <w:rPr>
          <w:rFonts w:cstheme="minorHAnsi"/>
          <w:color w:val="000000"/>
        </w:rPr>
        <w:t>D</w:t>
      </w:r>
      <w:r w:rsidRPr="00027F57">
        <w:rPr>
          <w:rFonts w:cstheme="minorHAnsi"/>
          <w:color w:val="0A0A0A"/>
        </w:rPr>
        <w:t>e aansluiting met gewone boordstenen gebeurt met een verloopband van minimaal één meter</w:t>
      </w:r>
      <w:r w:rsidRPr="00027F57">
        <w:rPr>
          <w:rFonts w:cstheme="minorHAnsi"/>
          <w:color w:val="000000"/>
        </w:rPr>
        <w:t xml:space="preserve">. </w:t>
      </w:r>
      <w:r w:rsidRPr="00027F57">
        <w:rPr>
          <w:rFonts w:cstheme="minorHAnsi"/>
        </w:rPr>
        <w:t xml:space="preserve">De aansluiting van de aanrijdbare boordsteen met gewone boordstenen moet achter het aanrijdvlak blijven. </w:t>
      </w:r>
      <w:r w:rsidRPr="00027F57">
        <w:rPr>
          <w:rFonts w:cstheme="minorHAnsi"/>
          <w:color w:val="000000"/>
        </w:rPr>
        <w:t>B</w:t>
      </w:r>
      <w:r w:rsidRPr="00027F57">
        <w:rPr>
          <w:rFonts w:cstheme="minorHAnsi"/>
          <w:color w:val="0A0A0A"/>
        </w:rPr>
        <w:t>ij haltehavens mogen deze in de hoeken liggen</w:t>
      </w:r>
      <w:r w:rsidRPr="00027F57">
        <w:rPr>
          <w:rFonts w:cstheme="minorHAnsi"/>
          <w:color w:val="000000"/>
        </w:rPr>
        <w:t>.</w:t>
      </w:r>
    </w:p>
    <w:p w14:paraId="54479AAC" w14:textId="77777777" w:rsidR="00347E1C" w:rsidRPr="00027F57" w:rsidRDefault="00347E1C" w:rsidP="00347E1C">
      <w:pPr>
        <w:numPr>
          <w:ilvl w:val="0"/>
          <w:numId w:val="3"/>
        </w:numPr>
        <w:pBdr>
          <w:top w:val="nil"/>
          <w:left w:val="nil"/>
          <w:bottom w:val="nil"/>
          <w:right w:val="nil"/>
          <w:between w:val="nil"/>
        </w:pBdr>
        <w:spacing w:after="0" w:line="270" w:lineRule="auto"/>
        <w:rPr>
          <w:rFonts w:cstheme="minorHAnsi"/>
          <w:color w:val="000000"/>
        </w:rPr>
      </w:pPr>
      <w:r w:rsidRPr="00027F57">
        <w:rPr>
          <w:rFonts w:cstheme="minorHAnsi"/>
          <w:color w:val="000000"/>
        </w:rPr>
        <w:t xml:space="preserve">De </w:t>
      </w:r>
      <w:r w:rsidRPr="00027F57">
        <w:rPr>
          <w:rFonts w:cstheme="minorHAnsi"/>
          <w:color w:val="0A0A0A"/>
        </w:rPr>
        <w:t>uitvoeringskleur van de aanrijdbare boordstenen is wit</w:t>
      </w:r>
      <w:r w:rsidRPr="00027F57">
        <w:rPr>
          <w:rFonts w:cstheme="minorHAnsi"/>
          <w:color w:val="000000"/>
        </w:rPr>
        <w:t>.</w:t>
      </w:r>
    </w:p>
    <w:p w14:paraId="5A05A08F" w14:textId="77777777" w:rsidR="00347E1C" w:rsidRPr="00027F57" w:rsidRDefault="00347E1C" w:rsidP="00347E1C">
      <w:pPr>
        <w:numPr>
          <w:ilvl w:val="0"/>
          <w:numId w:val="3"/>
        </w:numPr>
        <w:pBdr>
          <w:top w:val="nil"/>
          <w:left w:val="nil"/>
          <w:bottom w:val="nil"/>
          <w:right w:val="nil"/>
          <w:between w:val="nil"/>
        </w:pBdr>
        <w:spacing w:after="0" w:line="270" w:lineRule="auto"/>
        <w:rPr>
          <w:rFonts w:cstheme="minorHAnsi"/>
          <w:color w:val="0A0A0A"/>
        </w:rPr>
      </w:pPr>
      <w:r w:rsidRPr="00027F57">
        <w:rPr>
          <w:rFonts w:cstheme="minorHAnsi"/>
          <w:color w:val="0A0A0A"/>
        </w:rPr>
        <w:t xml:space="preserve">Perrons ter hoogte van privé-inritten moeten plaatselijk verlaagd worden, de hellingbanen moeten voldoen aan de voorschriften van het </w:t>
      </w:r>
      <w:bookmarkStart w:id="4" w:name="_Hlk40356766"/>
      <w:r w:rsidRPr="00027F57">
        <w:rPr>
          <w:rFonts w:cstheme="minorHAnsi"/>
          <w:color w:val="0A0A0A"/>
        </w:rPr>
        <w:t>Besluit van de Vlaamse Regering houdende vaststelling van een algemene bouwverordening inzake wegen voor voetgangersverkeer</w:t>
      </w:r>
      <w:bookmarkEnd w:id="4"/>
      <w:r w:rsidRPr="00027F57">
        <w:rPr>
          <w:rFonts w:cstheme="minorHAnsi"/>
          <w:color w:val="0A0A0A"/>
        </w:rPr>
        <w:t xml:space="preserve">. </w:t>
      </w:r>
    </w:p>
    <w:p w14:paraId="24ED7341" w14:textId="77777777" w:rsidR="00347E1C" w:rsidRPr="00AD40DE" w:rsidRDefault="00347E1C" w:rsidP="00347E1C">
      <w:pPr>
        <w:pStyle w:val="Kop3"/>
        <w:rPr>
          <w:rFonts w:asciiTheme="minorHAnsi" w:hAnsiTheme="minorHAnsi" w:cstheme="minorHAnsi"/>
          <w:color w:val="auto"/>
        </w:rPr>
      </w:pPr>
      <w:bookmarkStart w:id="5" w:name="_Toc42545346"/>
      <w:bookmarkStart w:id="6" w:name="_Toc42609705"/>
      <w:r w:rsidRPr="00AD40DE">
        <w:rPr>
          <w:rFonts w:asciiTheme="minorHAnsi" w:hAnsiTheme="minorHAnsi" w:cstheme="minorHAnsi"/>
          <w:color w:val="auto"/>
        </w:rPr>
        <w:t>Breedte van het perron</w:t>
      </w:r>
      <w:bookmarkEnd w:id="5"/>
      <w:bookmarkEnd w:id="6"/>
    </w:p>
    <w:p w14:paraId="446B4E45" w14:textId="77777777" w:rsidR="00347E1C" w:rsidRPr="00027F57" w:rsidRDefault="00347E1C" w:rsidP="00347E1C">
      <w:pPr>
        <w:pStyle w:val="Lijstalinea"/>
        <w:numPr>
          <w:ilvl w:val="0"/>
          <w:numId w:val="4"/>
        </w:numPr>
        <w:spacing w:line="276" w:lineRule="auto"/>
        <w:rPr>
          <w:rFonts w:cstheme="minorHAnsi"/>
        </w:rPr>
      </w:pPr>
      <w:bookmarkStart w:id="7" w:name="_Hlk40364060"/>
      <w:bookmarkStart w:id="8" w:name="_Hlk40364041"/>
      <w:bookmarkStart w:id="9" w:name="_Hlk40362774"/>
      <w:r w:rsidRPr="00027F57">
        <w:rPr>
          <w:rFonts w:cstheme="minorHAnsi"/>
        </w:rPr>
        <w:t xml:space="preserve">Omwille van de eisen van toegankelijkheid bedraagt de breedte van het perron liefst over de volledige lengte, maar zeker ter hoogte van de rolstoeltoegankelijke deur minimaal 2,50 meter. Bij druk gebruikte haltes wordt de breedte van het perron aangepast aan het te verwachten gebruik. </w:t>
      </w:r>
    </w:p>
    <w:p w14:paraId="63A675BF" w14:textId="77777777" w:rsidR="00347E1C" w:rsidRPr="00027F57" w:rsidRDefault="00347E1C" w:rsidP="00347E1C">
      <w:pPr>
        <w:pStyle w:val="Lijstalinea"/>
        <w:numPr>
          <w:ilvl w:val="0"/>
          <w:numId w:val="4"/>
        </w:numPr>
        <w:spacing w:line="276" w:lineRule="auto"/>
        <w:rPr>
          <w:rFonts w:cstheme="minorHAnsi"/>
        </w:rPr>
      </w:pPr>
      <w:bookmarkStart w:id="10" w:name="_Hlk40364077"/>
      <w:bookmarkEnd w:id="7"/>
      <w:r w:rsidRPr="00027F57">
        <w:rPr>
          <w:rFonts w:cstheme="minorHAnsi"/>
        </w:rPr>
        <w:t xml:space="preserve">Er dient altijd rekening gehouden te worden met de minimale obstakelvrije doorgangsbreedte van </w:t>
      </w:r>
      <w:r>
        <w:rPr>
          <w:rFonts w:cstheme="minorHAnsi"/>
        </w:rPr>
        <w:t>1,50</w:t>
      </w:r>
      <w:r w:rsidRPr="00027F57">
        <w:rPr>
          <w:rFonts w:cstheme="minorHAnsi"/>
        </w:rPr>
        <w:t xml:space="preserve"> meter. Ter hoogte van de rolstoeltoegankelijke deur moet de minimale obstakelvrije doorgangsbreedte </w:t>
      </w:r>
      <w:r>
        <w:rPr>
          <w:rFonts w:cstheme="minorHAnsi"/>
        </w:rPr>
        <w:t>2,50</w:t>
      </w:r>
      <w:r w:rsidRPr="00027F57">
        <w:rPr>
          <w:rFonts w:cstheme="minorHAnsi"/>
        </w:rPr>
        <w:t xml:space="preserve"> meter bedragen. Bij een lokale puntversmalling (versmalling over een lengte van max</w:t>
      </w:r>
      <w:r>
        <w:rPr>
          <w:rFonts w:cstheme="minorHAnsi"/>
        </w:rPr>
        <w:t>imum</w:t>
      </w:r>
      <w:r w:rsidRPr="00027F57">
        <w:rPr>
          <w:rFonts w:cstheme="minorHAnsi"/>
        </w:rPr>
        <w:t xml:space="preserve"> 1,20 m</w:t>
      </w:r>
      <w:r>
        <w:rPr>
          <w:rFonts w:cstheme="minorHAnsi"/>
        </w:rPr>
        <w:t>eter</w:t>
      </w:r>
      <w:r w:rsidRPr="00027F57">
        <w:rPr>
          <w:rFonts w:cstheme="minorHAnsi"/>
        </w:rPr>
        <w:t xml:space="preserve">) moet er een breedte van minimum </w:t>
      </w:r>
      <w:r>
        <w:rPr>
          <w:rFonts w:cstheme="minorHAnsi"/>
        </w:rPr>
        <w:t>1</w:t>
      </w:r>
      <w:r w:rsidRPr="00027F57">
        <w:rPr>
          <w:rFonts w:cstheme="minorHAnsi"/>
        </w:rPr>
        <w:t xml:space="preserve"> meter beschikbaar blijven. Voor en na de versmalling is er een vrije draairuimte van minimum </w:t>
      </w:r>
      <w:r>
        <w:rPr>
          <w:rFonts w:cstheme="minorHAnsi"/>
        </w:rPr>
        <w:t>1,50</w:t>
      </w:r>
      <w:r w:rsidRPr="00027F57">
        <w:rPr>
          <w:rFonts w:cstheme="minorHAnsi"/>
        </w:rPr>
        <w:t xml:space="preserve"> meter op </w:t>
      </w:r>
      <w:r>
        <w:rPr>
          <w:rFonts w:cstheme="minorHAnsi"/>
        </w:rPr>
        <w:t>1,50</w:t>
      </w:r>
      <w:r w:rsidRPr="00027F57">
        <w:rPr>
          <w:rFonts w:cstheme="minorHAnsi"/>
        </w:rPr>
        <w:t xml:space="preserve"> meter.</w:t>
      </w:r>
    </w:p>
    <w:p w14:paraId="04000193" w14:textId="77777777" w:rsidR="00347E1C" w:rsidRPr="00027F57" w:rsidRDefault="00347E1C" w:rsidP="00347E1C">
      <w:pPr>
        <w:pStyle w:val="Kop3"/>
        <w:rPr>
          <w:rFonts w:asciiTheme="minorHAnsi" w:hAnsiTheme="minorHAnsi" w:cstheme="minorHAnsi"/>
        </w:rPr>
      </w:pPr>
      <w:bookmarkStart w:id="11" w:name="_Toc42545347"/>
      <w:bookmarkStart w:id="12" w:name="_Toc42609706"/>
      <w:bookmarkStart w:id="13" w:name="_Hlk40364146"/>
      <w:bookmarkEnd w:id="8"/>
      <w:bookmarkEnd w:id="9"/>
      <w:bookmarkEnd w:id="10"/>
      <w:r w:rsidRPr="00AD40DE">
        <w:rPr>
          <w:rFonts w:asciiTheme="minorHAnsi" w:hAnsiTheme="minorHAnsi" w:cstheme="minorHAnsi"/>
          <w:color w:val="auto"/>
        </w:rPr>
        <w:t>Perronverharding</w:t>
      </w:r>
      <w:bookmarkEnd w:id="11"/>
      <w:bookmarkEnd w:id="12"/>
    </w:p>
    <w:p w14:paraId="0F490812" w14:textId="77777777" w:rsidR="00347E1C" w:rsidRPr="00027F57" w:rsidRDefault="00347E1C" w:rsidP="00347E1C">
      <w:pPr>
        <w:pStyle w:val="Lijstalinea"/>
        <w:numPr>
          <w:ilvl w:val="0"/>
          <w:numId w:val="5"/>
        </w:numPr>
        <w:spacing w:after="200" w:line="276" w:lineRule="auto"/>
        <w:rPr>
          <w:rFonts w:cstheme="minorHAnsi"/>
        </w:rPr>
      </w:pPr>
      <w:r w:rsidRPr="00027F57">
        <w:rPr>
          <w:rFonts w:cstheme="minorHAnsi"/>
        </w:rPr>
        <w:t xml:space="preserve">De verharding van het perron is volledig vlak en slipvrij. De dwarshelling van het perron bedraagt maximum 2%. </w:t>
      </w:r>
    </w:p>
    <w:p w14:paraId="7FC75FB2" w14:textId="77777777" w:rsidR="00347E1C" w:rsidRPr="00AD40DE" w:rsidRDefault="00347E1C" w:rsidP="00347E1C">
      <w:pPr>
        <w:pStyle w:val="Kop3"/>
        <w:rPr>
          <w:rFonts w:asciiTheme="minorHAnsi" w:hAnsiTheme="minorHAnsi" w:cstheme="minorHAnsi"/>
          <w:color w:val="auto"/>
        </w:rPr>
      </w:pPr>
      <w:bookmarkStart w:id="14" w:name="_Toc42545348"/>
      <w:bookmarkStart w:id="15" w:name="_Toc42609707"/>
      <w:bookmarkStart w:id="16" w:name="_Hlk40364313"/>
      <w:bookmarkEnd w:id="13"/>
      <w:r w:rsidRPr="00AD40DE">
        <w:rPr>
          <w:rFonts w:asciiTheme="minorHAnsi" w:hAnsiTheme="minorHAnsi" w:cstheme="minorHAnsi"/>
          <w:color w:val="auto"/>
        </w:rPr>
        <w:t>Bereikbaarheid van het perron</w:t>
      </w:r>
      <w:bookmarkEnd w:id="14"/>
      <w:bookmarkEnd w:id="15"/>
    </w:p>
    <w:p w14:paraId="1EAF229B" w14:textId="77777777" w:rsidR="00347E1C" w:rsidRPr="00027F57" w:rsidRDefault="00347E1C" w:rsidP="00347E1C">
      <w:pPr>
        <w:pStyle w:val="Lijstalinea"/>
        <w:numPr>
          <w:ilvl w:val="0"/>
          <w:numId w:val="6"/>
        </w:numPr>
        <w:rPr>
          <w:rFonts w:cstheme="minorHAnsi"/>
        </w:rPr>
      </w:pPr>
      <w:bookmarkStart w:id="17" w:name="_Hlk40364408"/>
      <w:bookmarkEnd w:id="16"/>
      <w:r w:rsidRPr="00027F57">
        <w:rPr>
          <w:rFonts w:cstheme="minorHAnsi"/>
        </w:rPr>
        <w:t xml:space="preserve">Het perron is drempelloos bereikbaar. Hellingbanen moeten voldoen aan de voorschriften van het Besluit van de Vlaamse Regering houdende vaststelling van een algemene bouwverordening inzake wegen voor voetgangersverkeer. </w:t>
      </w:r>
    </w:p>
    <w:p w14:paraId="3FCF605C" w14:textId="77777777" w:rsidR="00347E1C" w:rsidRPr="00AD40DE" w:rsidRDefault="00347E1C" w:rsidP="00347E1C">
      <w:pPr>
        <w:pStyle w:val="Kop3"/>
        <w:rPr>
          <w:rFonts w:asciiTheme="minorHAnsi" w:hAnsiTheme="minorHAnsi" w:cstheme="minorHAnsi"/>
          <w:color w:val="auto"/>
        </w:rPr>
      </w:pPr>
      <w:bookmarkStart w:id="18" w:name="_Toc42545349"/>
      <w:bookmarkStart w:id="19" w:name="_Toc42609708"/>
      <w:bookmarkEnd w:id="17"/>
      <w:r w:rsidRPr="00AD40DE">
        <w:rPr>
          <w:rFonts w:asciiTheme="minorHAnsi" w:hAnsiTheme="minorHAnsi" w:cstheme="minorHAnsi"/>
          <w:color w:val="auto"/>
        </w:rPr>
        <w:t>Tactiele geleiding</w:t>
      </w:r>
      <w:bookmarkEnd w:id="18"/>
      <w:bookmarkEnd w:id="19"/>
    </w:p>
    <w:p w14:paraId="11B09147" w14:textId="77777777" w:rsidR="00347E1C" w:rsidRPr="00027F57" w:rsidRDefault="00347E1C" w:rsidP="00347E1C">
      <w:pPr>
        <w:pStyle w:val="Lijstalinea"/>
        <w:numPr>
          <w:ilvl w:val="0"/>
          <w:numId w:val="9"/>
        </w:numPr>
        <w:rPr>
          <w:rFonts w:cstheme="minorHAnsi"/>
        </w:rPr>
      </w:pPr>
      <w:bookmarkStart w:id="20" w:name="_Hlk40366716"/>
      <w:r w:rsidRPr="00027F57">
        <w:rPr>
          <w:rFonts w:cstheme="minorHAnsi"/>
        </w:rPr>
        <w:t>Om een halte toegankelijk te maken voor blinden en slechtzienden wordt de nodige tactiele geleiding voorzien. Omdat iedere aanduiding berust op conventies moet worden gewaakt over de juiste toepassing ervan:</w:t>
      </w:r>
    </w:p>
    <w:p w14:paraId="3DC1FAD4" w14:textId="77777777" w:rsidR="00347E1C" w:rsidRPr="00027F57" w:rsidRDefault="00347E1C" w:rsidP="00347E1C">
      <w:pPr>
        <w:pStyle w:val="Lijstalinea"/>
        <w:numPr>
          <w:ilvl w:val="0"/>
          <w:numId w:val="2"/>
        </w:numPr>
        <w:spacing w:after="0" w:line="240" w:lineRule="atLeast"/>
        <w:rPr>
          <w:rFonts w:cstheme="minorHAnsi"/>
        </w:rPr>
      </w:pPr>
      <w:r w:rsidRPr="00027F57">
        <w:rPr>
          <w:rFonts w:cstheme="minorHAnsi"/>
        </w:rPr>
        <w:t>het opstapvlak wordt aangeduid met een vlak van 90 centimeter bij 90 centimeter in rubbertegels</w:t>
      </w:r>
    </w:p>
    <w:p w14:paraId="55C06D08" w14:textId="77777777" w:rsidR="00347E1C" w:rsidRPr="00027F57" w:rsidRDefault="00347E1C" w:rsidP="00347E1C">
      <w:pPr>
        <w:pStyle w:val="Lijstalinea"/>
        <w:numPr>
          <w:ilvl w:val="0"/>
          <w:numId w:val="2"/>
        </w:numPr>
        <w:spacing w:after="0" w:line="240" w:lineRule="atLeast"/>
        <w:rPr>
          <w:rFonts w:cstheme="minorHAnsi"/>
        </w:rPr>
      </w:pPr>
      <w:r w:rsidRPr="00027F57">
        <w:rPr>
          <w:rFonts w:cstheme="minorHAnsi"/>
        </w:rPr>
        <w:lastRenderedPageBreak/>
        <w:t xml:space="preserve">de kunstmatige </w:t>
      </w:r>
      <w:proofErr w:type="spellStart"/>
      <w:r w:rsidRPr="00027F57">
        <w:rPr>
          <w:rFonts w:cstheme="minorHAnsi"/>
        </w:rPr>
        <w:t>geleidelijn</w:t>
      </w:r>
      <w:proofErr w:type="spellEnd"/>
      <w:r w:rsidRPr="00027F57">
        <w:rPr>
          <w:rFonts w:cstheme="minorHAnsi"/>
        </w:rPr>
        <w:t xml:space="preserve"> in ribbeltegels of ribbelmarkering van 60 centimeter breedte maakt een verbinding tot aan de natuurlijke gidslijn</w:t>
      </w:r>
    </w:p>
    <w:p w14:paraId="5223B9D3" w14:textId="77777777" w:rsidR="00347E1C" w:rsidRPr="00027F57" w:rsidRDefault="00347E1C" w:rsidP="00347E1C">
      <w:pPr>
        <w:spacing w:after="0" w:line="240" w:lineRule="atLeast"/>
        <w:rPr>
          <w:rFonts w:cstheme="minorHAnsi"/>
        </w:rPr>
      </w:pPr>
    </w:p>
    <w:p w14:paraId="3F9CBF66" w14:textId="77777777" w:rsidR="00347E1C" w:rsidRPr="00AD40DE" w:rsidRDefault="00347E1C" w:rsidP="00347E1C">
      <w:pPr>
        <w:pStyle w:val="Kop3"/>
        <w:rPr>
          <w:rFonts w:asciiTheme="minorHAnsi" w:hAnsiTheme="minorHAnsi" w:cstheme="minorHAnsi"/>
          <w:color w:val="auto"/>
        </w:rPr>
      </w:pPr>
      <w:r w:rsidRPr="00AD40DE">
        <w:rPr>
          <w:rFonts w:asciiTheme="minorHAnsi" w:hAnsiTheme="minorHAnsi" w:cstheme="minorHAnsi"/>
          <w:color w:val="auto"/>
        </w:rPr>
        <w:t>Correct aangelegd fietspad</w:t>
      </w:r>
    </w:p>
    <w:p w14:paraId="7B678D88" w14:textId="77777777" w:rsidR="00347E1C" w:rsidRPr="00027F57" w:rsidRDefault="00347E1C" w:rsidP="00347E1C">
      <w:pPr>
        <w:rPr>
          <w:rFonts w:cstheme="minorHAnsi"/>
        </w:rPr>
      </w:pPr>
      <w:r w:rsidRPr="00027F57">
        <w:rPr>
          <w:rFonts w:cstheme="minorHAnsi"/>
        </w:rPr>
        <w:t xml:space="preserve">Om conflicten tussen fietsers en in- of uitstappende reizigers te voorkomen is het belangrijk om het fietspad op een juiste wijze te positioneren ter hoogte van het </w:t>
      </w:r>
      <w:proofErr w:type="spellStart"/>
      <w:r w:rsidRPr="00027F57">
        <w:rPr>
          <w:rFonts w:cstheme="minorHAnsi"/>
        </w:rPr>
        <w:t>busperron</w:t>
      </w:r>
      <w:proofErr w:type="spellEnd"/>
      <w:r w:rsidRPr="00027F57">
        <w:rPr>
          <w:rFonts w:cstheme="minorHAnsi"/>
        </w:rPr>
        <w:t>.</w:t>
      </w:r>
    </w:p>
    <w:p w14:paraId="4EADA6AC" w14:textId="77777777" w:rsidR="00347E1C" w:rsidRPr="00027F57" w:rsidRDefault="00347E1C" w:rsidP="00347E1C">
      <w:pPr>
        <w:pStyle w:val="Lijstalinea"/>
        <w:numPr>
          <w:ilvl w:val="0"/>
          <w:numId w:val="7"/>
        </w:numPr>
        <w:rPr>
          <w:rFonts w:cstheme="minorHAnsi"/>
        </w:rPr>
      </w:pPr>
      <w:r w:rsidRPr="00027F57">
        <w:rPr>
          <w:rFonts w:cstheme="minorHAnsi"/>
        </w:rPr>
        <w:t xml:space="preserve">Bussen mogen niet op een fietspad stoppen. Wanneer een fietspad voor een verhoogd </w:t>
      </w:r>
      <w:proofErr w:type="spellStart"/>
      <w:r w:rsidRPr="00027F57">
        <w:rPr>
          <w:rFonts w:cstheme="minorHAnsi"/>
        </w:rPr>
        <w:t>busperron</w:t>
      </w:r>
      <w:proofErr w:type="spellEnd"/>
      <w:r w:rsidRPr="00027F57">
        <w:rPr>
          <w:rFonts w:cstheme="minorHAnsi"/>
        </w:rPr>
        <w:t xml:space="preserve"> is gelegen moet de bus toch langs het fietspad stoppen, waardoor de verhoogde aanleg van het perron geen enkel nut heeft. </w:t>
      </w:r>
    </w:p>
    <w:p w14:paraId="76DFEF85" w14:textId="77777777" w:rsidR="00347E1C" w:rsidRPr="00027F57" w:rsidRDefault="00347E1C" w:rsidP="00347E1C">
      <w:pPr>
        <w:pStyle w:val="Lijstalinea"/>
        <w:numPr>
          <w:ilvl w:val="0"/>
          <w:numId w:val="7"/>
        </w:numPr>
        <w:rPr>
          <w:rFonts w:cstheme="minorHAnsi"/>
        </w:rPr>
      </w:pPr>
      <w:r w:rsidRPr="00027F57">
        <w:rPr>
          <w:rFonts w:cstheme="minorHAnsi"/>
        </w:rPr>
        <w:t xml:space="preserve">Een fietspad wordt dus best achter de bushalte gelegd. Als het op hetzelfde niveau van het </w:t>
      </w:r>
      <w:proofErr w:type="spellStart"/>
      <w:r w:rsidRPr="00027F57">
        <w:rPr>
          <w:rFonts w:cstheme="minorHAnsi"/>
        </w:rPr>
        <w:t>busperron</w:t>
      </w:r>
      <w:proofErr w:type="spellEnd"/>
      <w:r w:rsidRPr="00027F57">
        <w:rPr>
          <w:rFonts w:cstheme="minorHAnsi"/>
        </w:rPr>
        <w:t xml:space="preserve"> ligt, moet er een minimale tussenafstand van 1 meter tussen de rand van de perronboord en de rand van het fietspad zijn.</w:t>
      </w:r>
    </w:p>
    <w:p w14:paraId="07F4B5C2" w14:textId="77777777" w:rsidR="00347E1C" w:rsidRPr="00027F57" w:rsidRDefault="00347E1C" w:rsidP="00347E1C">
      <w:pPr>
        <w:pStyle w:val="Lijstalinea"/>
        <w:numPr>
          <w:ilvl w:val="0"/>
          <w:numId w:val="7"/>
        </w:numPr>
        <w:rPr>
          <w:rFonts w:cstheme="minorHAnsi"/>
        </w:rPr>
      </w:pPr>
      <w:r w:rsidRPr="00027F57">
        <w:rPr>
          <w:rFonts w:cstheme="minorHAnsi"/>
        </w:rPr>
        <w:t xml:space="preserve">Opgelet: een fietssuggestiestrook is geen fietspad, maar een aanduiding van de plaats van de fietser op de rijbaan in een situatie van gemengd auto- en fietsverkeer. Een bus mag bijgevolg wel op een fietssuggestiestrook halt houden. </w:t>
      </w:r>
    </w:p>
    <w:bookmarkEnd w:id="20"/>
    <w:p w14:paraId="51ED9171" w14:textId="77777777" w:rsidR="00347E1C" w:rsidRPr="00027F57" w:rsidRDefault="00347E1C" w:rsidP="00347E1C">
      <w:pPr>
        <w:rPr>
          <w:rFonts w:cstheme="minorHAnsi"/>
        </w:rPr>
      </w:pPr>
    </w:p>
    <w:p w14:paraId="21F17E36" w14:textId="77777777" w:rsidR="00347E1C" w:rsidRDefault="00347E1C" w:rsidP="00347E1C">
      <w:pPr>
        <w:rPr>
          <w:rFonts w:eastAsia="Times New Roman" w:cstheme="minorHAnsi"/>
        </w:rPr>
      </w:pPr>
      <w:bookmarkStart w:id="21" w:name="_Hlk69394110"/>
      <w:r w:rsidRPr="00027F57">
        <w:rPr>
          <w:rFonts w:cstheme="minorHAnsi"/>
        </w:rPr>
        <w:t xml:space="preserve">Zie ook de principe ontwerpen voor een rijbaanhalte en een haltehaven (hieronder). Meer info vind je in de brochure </w:t>
      </w:r>
      <w:hyperlink r:id="rId7" w:history="1">
        <w:r w:rsidRPr="00033265">
          <w:rPr>
            <w:rStyle w:val="Hyperlink"/>
          </w:rPr>
          <w:t>toegankelijke</w:t>
        </w:r>
        <w:r>
          <w:rPr>
            <w:rStyle w:val="Hyperlink"/>
          </w:rPr>
          <w:t xml:space="preserve"> </w:t>
        </w:r>
        <w:r w:rsidRPr="00033265">
          <w:rPr>
            <w:rStyle w:val="Hyperlink"/>
          </w:rPr>
          <w:t>haltes</w:t>
        </w:r>
      </w:hyperlink>
      <w:r>
        <w:t xml:space="preserve"> </w:t>
      </w:r>
      <w:r w:rsidRPr="00027F57">
        <w:rPr>
          <w:rFonts w:cstheme="minorHAnsi"/>
        </w:rPr>
        <w:t xml:space="preserve"> en de</w:t>
      </w:r>
      <w:r>
        <w:rPr>
          <w:rFonts w:cstheme="minorHAnsi"/>
        </w:rPr>
        <w:t xml:space="preserve"> </w:t>
      </w:r>
      <w:hyperlink r:id="rId8" w:history="1">
        <w:r>
          <w:rPr>
            <w:rStyle w:val="Hyperlink"/>
            <w:rFonts w:cstheme="minorHAnsi"/>
          </w:rPr>
          <w:t>bushaltegids</w:t>
        </w:r>
      </w:hyperlink>
      <w:r w:rsidRPr="00027F57">
        <w:rPr>
          <w:rFonts w:eastAsia="Times New Roman" w:cstheme="minorHAnsi"/>
        </w:rPr>
        <w:t xml:space="preserve">. </w:t>
      </w:r>
    </w:p>
    <w:p w14:paraId="48838F25" w14:textId="77777777" w:rsidR="00347E1C" w:rsidRPr="00027F57" w:rsidRDefault="00347E1C" w:rsidP="00347E1C">
      <w:pPr>
        <w:rPr>
          <w:rFonts w:cstheme="minorHAnsi"/>
        </w:rPr>
      </w:pPr>
      <w:r>
        <w:t xml:space="preserve">Via </w:t>
      </w:r>
      <w:hyperlink r:id="rId9" w:history="1">
        <w:r w:rsidRPr="00033265">
          <w:rPr>
            <w:rStyle w:val="Hyperlink"/>
          </w:rPr>
          <w:t>www.vlaanderen.be/basisbereikbaarheid/masterplan-toegankelijkheid.be</w:t>
        </w:r>
      </w:hyperlink>
      <w:r>
        <w:t xml:space="preserve"> vind je alle actuele informatie over het Masterplan Toegankelijkheid. Binnenkort wordt op deze webpagina een ‘lerend netwerk’–platform toegevoegd. Dat bundelt voor lokale overheden alle praktische informatie over het Masterplan Toegankelijkheid. Op dat platform zal je onder meer goede voorbeelden, praktische tips en aandachtspunten terugvinden maar ook praktische instrumenten. De Vlaamse overheid werkt daarvoor samen met </w:t>
      </w:r>
      <w:proofErr w:type="spellStart"/>
      <w:r>
        <w:t>Inter</w:t>
      </w:r>
      <w:proofErr w:type="spellEnd"/>
      <w:r>
        <w:t>, agentschap toegankelijk Vlaanderen.</w:t>
      </w:r>
    </w:p>
    <w:bookmarkEnd w:id="21"/>
    <w:p w14:paraId="6E1F91AF" w14:textId="736781A4" w:rsidR="00B978A2" w:rsidRDefault="00B978A2" w:rsidP="00347E1C"/>
    <w:sectPr w:rsidR="00B97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B3302" w14:textId="77777777" w:rsidR="00347E1C" w:rsidRDefault="00347E1C" w:rsidP="00347E1C">
      <w:pPr>
        <w:spacing w:after="0" w:line="240" w:lineRule="auto"/>
      </w:pPr>
      <w:r>
        <w:separator/>
      </w:r>
    </w:p>
  </w:endnote>
  <w:endnote w:type="continuationSeparator" w:id="0">
    <w:p w14:paraId="0AB0C094" w14:textId="77777777" w:rsidR="00347E1C" w:rsidRDefault="00347E1C" w:rsidP="003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5AFCC" w14:textId="77777777" w:rsidR="00347E1C" w:rsidRDefault="00347E1C" w:rsidP="00347E1C">
      <w:pPr>
        <w:spacing w:after="0" w:line="240" w:lineRule="auto"/>
      </w:pPr>
      <w:r>
        <w:separator/>
      </w:r>
    </w:p>
  </w:footnote>
  <w:footnote w:type="continuationSeparator" w:id="0">
    <w:p w14:paraId="7B4AA81D" w14:textId="77777777" w:rsidR="00347E1C" w:rsidRDefault="00347E1C" w:rsidP="0034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522E"/>
    <w:multiLevelType w:val="hybridMultilevel"/>
    <w:tmpl w:val="EE32B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C53441"/>
    <w:multiLevelType w:val="multilevel"/>
    <w:tmpl w:val="A6E67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506503"/>
    <w:multiLevelType w:val="hybridMultilevel"/>
    <w:tmpl w:val="F0104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36019A"/>
    <w:multiLevelType w:val="multilevel"/>
    <w:tmpl w:val="4B68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1F5E04"/>
    <w:multiLevelType w:val="hybridMultilevel"/>
    <w:tmpl w:val="0C2A1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8D238BB"/>
    <w:multiLevelType w:val="multilevel"/>
    <w:tmpl w:val="14682E62"/>
    <w:lvl w:ilvl="0">
      <w:start w:val="1"/>
      <w:numFmt w:val="bullet"/>
      <w:lvlText w:val="•"/>
      <w:lvlJc w:val="left"/>
      <w:pPr>
        <w:ind w:left="1068" w:hanging="360"/>
      </w:pPr>
      <w:rPr>
        <w:rFonts w:ascii="Calibri" w:eastAsia="Calibri" w:hAnsi="Calibri" w:cs="Calibri"/>
      </w:rPr>
    </w:lvl>
    <w:lvl w:ilvl="1">
      <w:start w:val="110"/>
      <w:numFmt w:val="bullet"/>
      <w:lvlText w:val="•"/>
      <w:lvlJc w:val="left"/>
      <w:pPr>
        <w:ind w:left="1788" w:hanging="360"/>
      </w:pPr>
      <w:rPr>
        <w:rFonts w:ascii="Calibri" w:eastAsia="Calibri" w:hAnsi="Calibri" w:cs="Calibri"/>
      </w:rPr>
    </w:lvl>
    <w:lvl w:ilvl="2">
      <w:start w:val="110"/>
      <w:numFmt w:val="bullet"/>
      <w:lvlText w:val="•"/>
      <w:lvlJc w:val="left"/>
      <w:pPr>
        <w:ind w:left="2508" w:hanging="360"/>
      </w:pPr>
      <w:rPr>
        <w:rFonts w:ascii="Calibri" w:eastAsia="Calibri" w:hAnsi="Calibri" w:cs="Calibri"/>
      </w:rPr>
    </w:lvl>
    <w:lvl w:ilvl="3">
      <w:start w:val="1"/>
      <w:numFmt w:val="bullet"/>
      <w:lvlText w:val="•"/>
      <w:lvlJc w:val="left"/>
      <w:pPr>
        <w:ind w:left="3228" w:hanging="360"/>
      </w:pPr>
      <w:rPr>
        <w:rFonts w:ascii="Calibri" w:eastAsia="Calibri" w:hAnsi="Calibri" w:cs="Calibri"/>
      </w:rPr>
    </w:lvl>
    <w:lvl w:ilvl="4">
      <w:start w:val="1"/>
      <w:numFmt w:val="bullet"/>
      <w:lvlText w:val="•"/>
      <w:lvlJc w:val="left"/>
      <w:pPr>
        <w:ind w:left="3948" w:hanging="360"/>
      </w:pPr>
      <w:rPr>
        <w:rFonts w:ascii="Calibri" w:eastAsia="Calibri" w:hAnsi="Calibri" w:cs="Calibri"/>
      </w:rPr>
    </w:lvl>
    <w:lvl w:ilvl="5">
      <w:start w:val="1"/>
      <w:numFmt w:val="bullet"/>
      <w:lvlText w:val="•"/>
      <w:lvlJc w:val="left"/>
      <w:pPr>
        <w:ind w:left="4668" w:hanging="360"/>
      </w:pPr>
      <w:rPr>
        <w:rFonts w:ascii="Calibri" w:eastAsia="Calibri" w:hAnsi="Calibri" w:cs="Calibri"/>
      </w:rPr>
    </w:lvl>
    <w:lvl w:ilvl="6">
      <w:start w:val="1"/>
      <w:numFmt w:val="bullet"/>
      <w:lvlText w:val="•"/>
      <w:lvlJc w:val="left"/>
      <w:pPr>
        <w:ind w:left="5388" w:hanging="360"/>
      </w:pPr>
      <w:rPr>
        <w:rFonts w:ascii="Calibri" w:eastAsia="Calibri" w:hAnsi="Calibri" w:cs="Calibri"/>
      </w:rPr>
    </w:lvl>
    <w:lvl w:ilvl="7">
      <w:start w:val="1"/>
      <w:numFmt w:val="bullet"/>
      <w:lvlText w:val="•"/>
      <w:lvlJc w:val="left"/>
      <w:pPr>
        <w:ind w:left="6108" w:hanging="360"/>
      </w:pPr>
      <w:rPr>
        <w:rFonts w:ascii="Calibri" w:eastAsia="Calibri" w:hAnsi="Calibri" w:cs="Calibri"/>
      </w:rPr>
    </w:lvl>
    <w:lvl w:ilvl="8">
      <w:start w:val="1"/>
      <w:numFmt w:val="bullet"/>
      <w:lvlText w:val="•"/>
      <w:lvlJc w:val="left"/>
      <w:pPr>
        <w:ind w:left="6828" w:hanging="360"/>
      </w:pPr>
      <w:rPr>
        <w:rFonts w:ascii="Calibri" w:eastAsia="Calibri" w:hAnsi="Calibri" w:cs="Calibri"/>
      </w:rPr>
    </w:lvl>
  </w:abstractNum>
  <w:abstractNum w:abstractNumId="6" w15:restartNumberingAfterBreak="0">
    <w:nsid w:val="6650538B"/>
    <w:multiLevelType w:val="hybridMultilevel"/>
    <w:tmpl w:val="619612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320AC2"/>
    <w:multiLevelType w:val="hybridMultilevel"/>
    <w:tmpl w:val="6A38632C"/>
    <w:lvl w:ilvl="0" w:tplc="8BCA4960">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ADB7430"/>
    <w:multiLevelType w:val="hybridMultilevel"/>
    <w:tmpl w:val="6B449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1C"/>
    <w:rsid w:val="00347E1C"/>
    <w:rsid w:val="00B978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5749"/>
  <w15:chartTrackingRefBased/>
  <w15:docId w15:val="{B12585CA-C3D8-4FF1-A97D-28A23488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7E1C"/>
  </w:style>
  <w:style w:type="paragraph" w:styleId="Kop2">
    <w:name w:val="heading 2"/>
    <w:basedOn w:val="Standaard"/>
    <w:next w:val="Standaard"/>
    <w:link w:val="Kop2Char"/>
    <w:uiPriority w:val="9"/>
    <w:unhideWhenUsed/>
    <w:qFormat/>
    <w:rsid w:val="00347E1C"/>
    <w:pPr>
      <w:keepNext/>
      <w:keepLines/>
      <w:numPr>
        <w:numId w:val="8"/>
      </w:numPr>
      <w:spacing w:before="160" w:after="120"/>
      <w:outlineLvl w:val="1"/>
    </w:pPr>
    <w:rPr>
      <w:rFonts w:asciiTheme="majorHAnsi" w:eastAsiaTheme="majorEastAsia" w:hAnsiTheme="majorHAnsi" w:cstheme="majorBidi"/>
      <w:b/>
      <w:color w:val="2F5496" w:themeColor="accent1" w:themeShade="BF"/>
      <w:sz w:val="28"/>
      <w:szCs w:val="26"/>
    </w:rPr>
  </w:style>
  <w:style w:type="paragraph" w:styleId="Kop3">
    <w:name w:val="heading 3"/>
    <w:basedOn w:val="Standaard"/>
    <w:next w:val="Standaard"/>
    <w:link w:val="Kop3Char"/>
    <w:uiPriority w:val="9"/>
    <w:unhideWhenUsed/>
    <w:qFormat/>
    <w:rsid w:val="00347E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7E1C"/>
    <w:rPr>
      <w:rFonts w:asciiTheme="majorHAnsi" w:eastAsiaTheme="majorEastAsia" w:hAnsiTheme="majorHAnsi" w:cstheme="majorBidi"/>
      <w:b/>
      <w:color w:val="2F5496" w:themeColor="accent1" w:themeShade="BF"/>
      <w:sz w:val="28"/>
      <w:szCs w:val="26"/>
    </w:rPr>
  </w:style>
  <w:style w:type="character" w:customStyle="1" w:styleId="Kop3Char">
    <w:name w:val="Kop 3 Char"/>
    <w:basedOn w:val="Standaardalinea-lettertype"/>
    <w:link w:val="Kop3"/>
    <w:uiPriority w:val="9"/>
    <w:rsid w:val="00347E1C"/>
    <w:rPr>
      <w:rFonts w:asciiTheme="majorHAnsi" w:eastAsiaTheme="majorEastAsia" w:hAnsiTheme="majorHAnsi" w:cstheme="majorBidi"/>
      <w:color w:val="1F3763" w:themeColor="accent1" w:themeShade="7F"/>
      <w:sz w:val="24"/>
      <w:szCs w:val="24"/>
    </w:rPr>
  </w:style>
  <w:style w:type="paragraph" w:styleId="Lijstalinea">
    <w:name w:val="List Paragraph"/>
    <w:aliases w:val="Bulleted Lijst,List Paragraph"/>
    <w:basedOn w:val="Standaard"/>
    <w:link w:val="LijstalineaChar"/>
    <w:uiPriority w:val="34"/>
    <w:qFormat/>
    <w:rsid w:val="00347E1C"/>
    <w:pPr>
      <w:ind w:left="720"/>
      <w:contextualSpacing/>
    </w:pPr>
  </w:style>
  <w:style w:type="character" w:styleId="Hyperlink">
    <w:name w:val="Hyperlink"/>
    <w:basedOn w:val="Standaardalinea-lettertype"/>
    <w:uiPriority w:val="99"/>
    <w:unhideWhenUsed/>
    <w:rsid w:val="00347E1C"/>
    <w:rPr>
      <w:color w:val="0563C1" w:themeColor="hyperlink"/>
      <w:u w:val="single"/>
    </w:rPr>
  </w:style>
  <w:style w:type="character" w:customStyle="1" w:styleId="LijstalineaChar">
    <w:name w:val="Lijstalinea Char"/>
    <w:aliases w:val="Bulleted Lijst Char,List Paragraph Char"/>
    <w:link w:val="Lijstalinea"/>
    <w:uiPriority w:val="34"/>
    <w:locked/>
    <w:rsid w:val="0034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jnstagingstatic.addelijn.be/Images/Bushaltegids%202.0_tcm3-27539.pdf" TargetMode="External"/><Relationship Id="rId3" Type="http://schemas.openxmlformats.org/officeDocument/2006/relationships/settings" Target="settings.xml"/><Relationship Id="rId7" Type="http://schemas.openxmlformats.org/officeDocument/2006/relationships/hyperlink" Target="https://delijnstagingstatic.addelijn.be/Images/toegankelijke_haltes_2021_tcm3-270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aanderen.be/basisbereikbaarheid/masterplan-toegankelijkheid.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3900</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Eetvelde Hannah</dc:creator>
  <cp:keywords/>
  <dc:description/>
  <cp:lastModifiedBy>Van Eetvelde Hannah</cp:lastModifiedBy>
  <cp:revision>1</cp:revision>
  <dcterms:created xsi:type="dcterms:W3CDTF">2021-07-07T08:04:00Z</dcterms:created>
  <dcterms:modified xsi:type="dcterms:W3CDTF">2021-07-07T08:05:00Z</dcterms:modified>
</cp:coreProperties>
</file>