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936CD" w14:textId="77777777" w:rsidR="001009BA" w:rsidRPr="00F95BB6" w:rsidRDefault="0086282C" w:rsidP="00F95BB6">
      <w:pPr>
        <w:spacing w:after="0"/>
        <w:rPr>
          <w:rFonts w:ascii="Verdana" w:hAnsi="Verdana" w:cs="Arial"/>
          <w:sz w:val="20"/>
          <w:szCs w:val="20"/>
        </w:rPr>
      </w:pPr>
      <w:r>
        <w:rPr>
          <w:rFonts w:ascii="Verdana" w:hAnsi="Verdana"/>
          <w:noProof/>
        </w:rPr>
        <w:drawing>
          <wp:inline distT="0" distB="0" distL="0" distR="0" wp14:anchorId="669EC207" wp14:editId="73867BF4">
            <wp:extent cx="1566977" cy="720000"/>
            <wp:effectExtent l="0" t="0" r="0" b="4445"/>
            <wp:docPr id="5" name="Afbeelding 5" descr="C:\Users\Spillekr\AppData\Local\Microsoft\Windows\Temporary Internet Files\Content.Outlook\WBA55KF8\Logo Vlaamse Reg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C:\Users\Spillekr\AppData\Local\Microsoft\Windows\Temporary Internet Files\Content.Outlook\WBA55KF8\Logo Vlaamse Reger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6977" cy="720000"/>
                    </a:xfrm>
                    <a:prstGeom prst="rect">
                      <a:avLst/>
                    </a:prstGeom>
                    <a:noFill/>
                    <a:ln>
                      <a:noFill/>
                    </a:ln>
                  </pic:spPr>
                </pic:pic>
              </a:graphicData>
            </a:graphic>
          </wp:inline>
        </w:drawing>
      </w:r>
    </w:p>
    <w:p w14:paraId="4CE83ED9" w14:textId="77777777" w:rsidR="00A37801" w:rsidRPr="00F95BB6" w:rsidRDefault="00A37801">
      <w:pPr>
        <w:spacing w:after="0"/>
        <w:rPr>
          <w:rFonts w:ascii="Verdana" w:hAnsi="Verdana" w:cstheme="minorHAnsi"/>
          <w:bCs/>
          <w:sz w:val="20"/>
          <w:szCs w:val="20"/>
        </w:rPr>
      </w:pPr>
    </w:p>
    <w:p w14:paraId="04BFE5A6" w14:textId="77777777" w:rsidR="0086282C" w:rsidRPr="00F95BB6" w:rsidRDefault="0086282C">
      <w:pPr>
        <w:spacing w:after="0"/>
        <w:rPr>
          <w:rFonts w:ascii="Verdana" w:hAnsi="Verdana" w:cstheme="minorHAnsi"/>
          <w:bCs/>
          <w:sz w:val="20"/>
          <w:szCs w:val="20"/>
        </w:rPr>
      </w:pPr>
    </w:p>
    <w:p w14:paraId="50D9CA79" w14:textId="77777777" w:rsidR="00507BBC" w:rsidRPr="00C268D7" w:rsidRDefault="00A37801" w:rsidP="00507BBC">
      <w:pPr>
        <w:spacing w:after="0"/>
        <w:jc w:val="both"/>
        <w:rPr>
          <w:rFonts w:ascii="Verdana" w:hAnsi="Verdana" w:cstheme="minorHAnsi"/>
          <w:b/>
          <w:bCs/>
          <w:sz w:val="24"/>
          <w:szCs w:val="24"/>
        </w:rPr>
      </w:pPr>
      <w:r>
        <w:rPr>
          <w:rFonts w:ascii="Verdana" w:hAnsi="Verdana"/>
          <w:b/>
          <w:bCs/>
          <w:sz w:val="24"/>
          <w:szCs w:val="24"/>
        </w:rPr>
        <w:t xml:space="preserve">Government of Flanders Order concerning a five-year subsidy scheme to promote the hinterland connectivity of the Flemish seaports through bundling of rail volumes </w:t>
      </w:r>
    </w:p>
    <w:p w14:paraId="4E397480" w14:textId="77777777" w:rsidR="00507BBC" w:rsidRPr="0086282C" w:rsidRDefault="00507BBC">
      <w:pPr>
        <w:spacing w:after="0"/>
        <w:rPr>
          <w:rFonts w:ascii="Verdana" w:hAnsi="Verdana" w:cstheme="minorHAnsi"/>
          <w:b/>
          <w:bCs/>
          <w:sz w:val="24"/>
          <w:szCs w:val="24"/>
        </w:rPr>
      </w:pPr>
    </w:p>
    <w:p w14:paraId="0D372599" w14:textId="77777777" w:rsidR="00A37801" w:rsidRPr="0086282C" w:rsidRDefault="00A37801">
      <w:pPr>
        <w:spacing w:after="0"/>
        <w:rPr>
          <w:rFonts w:ascii="Verdana" w:hAnsi="Verdana" w:cstheme="minorHAnsi"/>
          <w:sz w:val="20"/>
          <w:szCs w:val="20"/>
        </w:rPr>
      </w:pPr>
    </w:p>
    <w:p w14:paraId="17AA22EB" w14:textId="77777777" w:rsidR="00A37801" w:rsidRPr="0086282C" w:rsidRDefault="00A37801">
      <w:pPr>
        <w:spacing w:after="0"/>
        <w:rPr>
          <w:rFonts w:ascii="Verdana" w:hAnsi="Verdana" w:cstheme="minorHAnsi"/>
          <w:sz w:val="20"/>
          <w:szCs w:val="20"/>
        </w:rPr>
      </w:pPr>
    </w:p>
    <w:p w14:paraId="750A5E05" w14:textId="77777777" w:rsidR="00A37801" w:rsidRDefault="00A37801">
      <w:pPr>
        <w:spacing w:after="0"/>
        <w:jc w:val="center"/>
        <w:rPr>
          <w:rFonts w:ascii="Verdana" w:hAnsi="Verdana" w:cstheme="minorHAnsi"/>
          <w:sz w:val="20"/>
          <w:szCs w:val="20"/>
        </w:rPr>
      </w:pPr>
      <w:r>
        <w:rPr>
          <w:rFonts w:ascii="Verdana" w:hAnsi="Verdana"/>
          <w:sz w:val="20"/>
          <w:szCs w:val="20"/>
        </w:rPr>
        <w:t>THE GOVERNMENT OF FLANDERS,</w:t>
      </w:r>
    </w:p>
    <w:p w14:paraId="29C5DF0D" w14:textId="77777777" w:rsidR="00845134" w:rsidRDefault="00845134">
      <w:pPr>
        <w:spacing w:after="0"/>
        <w:jc w:val="center"/>
        <w:rPr>
          <w:rFonts w:ascii="Verdana" w:hAnsi="Verdana" w:cstheme="minorHAnsi"/>
          <w:sz w:val="20"/>
          <w:szCs w:val="20"/>
        </w:rPr>
      </w:pPr>
    </w:p>
    <w:p w14:paraId="270ACBAB" w14:textId="77777777" w:rsidR="00845134" w:rsidRPr="0086282C" w:rsidRDefault="00845134">
      <w:pPr>
        <w:spacing w:after="0"/>
        <w:jc w:val="center"/>
        <w:rPr>
          <w:rFonts w:ascii="Verdana" w:hAnsi="Verdana" w:cstheme="minorHAnsi"/>
          <w:sz w:val="20"/>
          <w:szCs w:val="20"/>
        </w:rPr>
      </w:pPr>
    </w:p>
    <w:p w14:paraId="64341FB5" w14:textId="77777777" w:rsidR="00A37801" w:rsidRPr="00845134" w:rsidRDefault="00A37801" w:rsidP="00845134">
      <w:pPr>
        <w:rPr>
          <w:rFonts w:ascii="Verdana" w:hAnsi="Verdana"/>
          <w:sz w:val="20"/>
          <w:szCs w:val="20"/>
        </w:rPr>
      </w:pPr>
      <w:bookmarkStart w:id="0" w:name="_Hlk5624863"/>
      <w:r>
        <w:rPr>
          <w:rFonts w:ascii="Verdana" w:hAnsi="Verdana"/>
          <w:sz w:val="20"/>
          <w:szCs w:val="20"/>
        </w:rPr>
        <w:t xml:space="preserve">Having regard to the 2 March 1999 decree on the policy and management of seaports, Article 35bis, inserted by the 26 April decree containing various provisions on mobility policy, public works and transport, traffic safety policy and VVM - De </w:t>
      </w:r>
      <w:proofErr w:type="spellStart"/>
      <w:r>
        <w:rPr>
          <w:rFonts w:ascii="Verdana" w:hAnsi="Verdana"/>
          <w:sz w:val="20"/>
          <w:szCs w:val="20"/>
        </w:rPr>
        <w:t>Lijn</w:t>
      </w:r>
      <w:proofErr w:type="spellEnd"/>
      <w:r>
        <w:rPr>
          <w:rFonts w:ascii="Verdana" w:hAnsi="Verdana"/>
          <w:sz w:val="20"/>
          <w:szCs w:val="20"/>
        </w:rPr>
        <w:t xml:space="preserve">; </w:t>
      </w:r>
      <w:bookmarkEnd w:id="0"/>
    </w:p>
    <w:p w14:paraId="3EB1529F" w14:textId="77777777" w:rsidR="00D23A33" w:rsidRDefault="00D23A33" w:rsidP="00D23A33">
      <w:pPr>
        <w:spacing w:after="0"/>
        <w:rPr>
          <w:rFonts w:ascii="Verdana" w:hAnsi="Verdana"/>
          <w:sz w:val="20"/>
          <w:szCs w:val="20"/>
        </w:rPr>
      </w:pPr>
      <w:r>
        <w:rPr>
          <w:rFonts w:ascii="Verdana" w:hAnsi="Verdana"/>
          <w:sz w:val="20"/>
          <w:szCs w:val="20"/>
        </w:rPr>
        <w:t>Having regard to the advisory opinion of the Finance Inspectorate, given on 2 April 2019;</w:t>
      </w:r>
    </w:p>
    <w:p w14:paraId="33BB7EDF" w14:textId="77777777" w:rsidR="00D23A33" w:rsidRPr="0086282C" w:rsidRDefault="00D23A33">
      <w:pPr>
        <w:spacing w:after="0"/>
        <w:rPr>
          <w:rFonts w:ascii="Verdana" w:hAnsi="Verdana" w:cstheme="minorHAnsi"/>
          <w:sz w:val="20"/>
          <w:szCs w:val="20"/>
        </w:rPr>
      </w:pPr>
    </w:p>
    <w:p w14:paraId="3AFEF413" w14:textId="77777777" w:rsidR="00E13A95" w:rsidRPr="0086282C" w:rsidRDefault="00E13A95" w:rsidP="00F95BB6">
      <w:pPr>
        <w:spacing w:after="0"/>
        <w:rPr>
          <w:rFonts w:ascii="Verdana" w:hAnsi="Verdana" w:cstheme="minorHAnsi"/>
          <w:sz w:val="20"/>
          <w:szCs w:val="20"/>
        </w:rPr>
      </w:pPr>
      <w:r>
        <w:rPr>
          <w:rFonts w:ascii="Verdana" w:hAnsi="Verdana"/>
          <w:sz w:val="20"/>
          <w:szCs w:val="20"/>
        </w:rPr>
        <w:t xml:space="preserve">Having regard to the approval of the Flemish minister responsible for the budget, given on 30 April 2019; </w:t>
      </w:r>
    </w:p>
    <w:p w14:paraId="61E6462E" w14:textId="77777777" w:rsidR="00A37801" w:rsidRPr="0086282C" w:rsidRDefault="00A37801" w:rsidP="00D85C2C">
      <w:pPr>
        <w:spacing w:after="0"/>
        <w:rPr>
          <w:rFonts w:ascii="Verdana" w:hAnsi="Verdana"/>
          <w:sz w:val="20"/>
          <w:szCs w:val="20"/>
        </w:rPr>
      </w:pPr>
    </w:p>
    <w:p w14:paraId="5A1F4546" w14:textId="77777777" w:rsidR="00A37801" w:rsidRPr="0086282C" w:rsidRDefault="00A37801">
      <w:pPr>
        <w:spacing w:after="0"/>
        <w:rPr>
          <w:rFonts w:ascii="Verdana" w:hAnsi="Verdana" w:cs="Times New Roman"/>
          <w:sz w:val="20"/>
          <w:szCs w:val="20"/>
        </w:rPr>
      </w:pPr>
      <w:r>
        <w:rPr>
          <w:rFonts w:ascii="Verdana" w:hAnsi="Verdana"/>
          <w:sz w:val="20"/>
          <w:szCs w:val="20"/>
        </w:rPr>
        <w:t>Having regard to the advice of the Strategic Advisory Council, given on 7 June 2019;</w:t>
      </w:r>
    </w:p>
    <w:p w14:paraId="7CB18437" w14:textId="77777777" w:rsidR="00A37801" w:rsidRPr="0086282C" w:rsidRDefault="00A37801">
      <w:pPr>
        <w:spacing w:after="0"/>
        <w:rPr>
          <w:rFonts w:ascii="Verdana" w:hAnsi="Verdana"/>
          <w:sz w:val="20"/>
          <w:szCs w:val="20"/>
        </w:rPr>
      </w:pPr>
    </w:p>
    <w:p w14:paraId="412A2080" w14:textId="77777777" w:rsidR="00A37801" w:rsidRPr="0086282C" w:rsidRDefault="00A37801">
      <w:pPr>
        <w:spacing w:after="0"/>
        <w:rPr>
          <w:rFonts w:ascii="Verdana" w:eastAsia="Times New Roman" w:hAnsi="Verdana" w:cs="Arial"/>
          <w:sz w:val="20"/>
          <w:szCs w:val="20"/>
        </w:rPr>
      </w:pPr>
      <w:r>
        <w:rPr>
          <w:rFonts w:ascii="Verdana" w:hAnsi="Verdana"/>
          <w:sz w:val="20"/>
          <w:szCs w:val="20"/>
        </w:rPr>
        <w:t>Having regard to advisory opinion 66.340/3 of the Council of State, given on 10 July 2019, in application of Article 84, §1, first sub-paragraph, 2° of the Acts on the Council of State, coordinated on 12 January 1973;</w:t>
      </w:r>
    </w:p>
    <w:p w14:paraId="082DA558" w14:textId="77777777" w:rsidR="00A37801" w:rsidRPr="0086282C" w:rsidRDefault="00A37801">
      <w:pPr>
        <w:spacing w:after="0"/>
        <w:rPr>
          <w:rFonts w:ascii="Verdana" w:hAnsi="Verdana" w:cstheme="minorHAnsi"/>
          <w:sz w:val="20"/>
          <w:szCs w:val="20"/>
        </w:rPr>
      </w:pPr>
    </w:p>
    <w:p w14:paraId="5A2CE873" w14:textId="77777777" w:rsidR="00A37801" w:rsidRPr="00F81C32" w:rsidRDefault="00A37801" w:rsidP="00F81C32">
      <w:pPr>
        <w:rPr>
          <w:rFonts w:ascii="Verdana" w:eastAsia="Times New Roman" w:hAnsi="Verdana" w:cs="Arial"/>
          <w:sz w:val="20"/>
          <w:szCs w:val="20"/>
        </w:rPr>
      </w:pPr>
      <w:r>
        <w:rPr>
          <w:rFonts w:ascii="Verdana" w:hAnsi="Verdana"/>
          <w:sz w:val="20"/>
          <w:szCs w:val="20"/>
        </w:rPr>
        <w:t>On the proposal of the Flemish Minister for Mobility, Public Works, the Vlaamse Rand, Foreign Policy, Immovable Heritage and Animal welfare, vice-minister-president of the Government of Flanders;</w:t>
      </w:r>
    </w:p>
    <w:p w14:paraId="07DE688F" w14:textId="77777777" w:rsidR="00E13A95" w:rsidRPr="0086282C" w:rsidRDefault="00E13A95">
      <w:pPr>
        <w:spacing w:after="0"/>
        <w:rPr>
          <w:rFonts w:ascii="Verdana" w:hAnsi="Verdana" w:cstheme="minorHAnsi"/>
          <w:sz w:val="20"/>
          <w:szCs w:val="20"/>
        </w:rPr>
      </w:pPr>
      <w:r>
        <w:rPr>
          <w:rFonts w:ascii="Verdana" w:hAnsi="Verdana"/>
          <w:sz w:val="20"/>
          <w:szCs w:val="20"/>
        </w:rPr>
        <w:t>After due deliberation,</w:t>
      </w:r>
    </w:p>
    <w:p w14:paraId="7A5DF52F" w14:textId="77777777" w:rsidR="00E13A95" w:rsidRPr="0086282C" w:rsidRDefault="00E13A95">
      <w:pPr>
        <w:spacing w:after="0"/>
        <w:rPr>
          <w:rFonts w:ascii="Verdana" w:hAnsi="Verdana" w:cstheme="minorHAnsi"/>
          <w:sz w:val="20"/>
          <w:szCs w:val="20"/>
        </w:rPr>
      </w:pPr>
    </w:p>
    <w:p w14:paraId="019417F8" w14:textId="77777777" w:rsidR="00E13A95" w:rsidRPr="0086282C" w:rsidRDefault="00E13A95">
      <w:pPr>
        <w:spacing w:after="0"/>
        <w:rPr>
          <w:rFonts w:ascii="Verdana" w:hAnsi="Verdana" w:cstheme="minorHAnsi"/>
          <w:sz w:val="20"/>
          <w:szCs w:val="20"/>
        </w:rPr>
      </w:pPr>
    </w:p>
    <w:p w14:paraId="29683D5E" w14:textId="77777777" w:rsidR="00E13A95" w:rsidRPr="0086282C" w:rsidRDefault="00E13A95">
      <w:pPr>
        <w:spacing w:after="0"/>
        <w:jc w:val="center"/>
        <w:rPr>
          <w:rFonts w:ascii="Verdana" w:hAnsi="Verdana" w:cstheme="minorHAnsi"/>
          <w:sz w:val="20"/>
          <w:szCs w:val="20"/>
        </w:rPr>
      </w:pPr>
      <w:r>
        <w:rPr>
          <w:rFonts w:ascii="Verdana" w:hAnsi="Verdana"/>
          <w:sz w:val="20"/>
          <w:szCs w:val="20"/>
        </w:rPr>
        <w:t>DECIDES:</w:t>
      </w:r>
    </w:p>
    <w:p w14:paraId="1F070270" w14:textId="77777777" w:rsidR="00E13A95" w:rsidRPr="0086282C" w:rsidRDefault="00E13A95">
      <w:pPr>
        <w:spacing w:after="0"/>
        <w:rPr>
          <w:rFonts w:ascii="Verdana" w:hAnsi="Verdana"/>
          <w:sz w:val="20"/>
          <w:szCs w:val="20"/>
        </w:rPr>
      </w:pPr>
    </w:p>
    <w:p w14:paraId="6AF54602" w14:textId="77777777" w:rsidR="00E13A95" w:rsidRPr="0086282C" w:rsidRDefault="00E13A95">
      <w:pPr>
        <w:spacing w:after="0"/>
        <w:rPr>
          <w:rFonts w:ascii="Verdana" w:hAnsi="Verdana"/>
          <w:sz w:val="20"/>
          <w:szCs w:val="20"/>
        </w:rPr>
      </w:pPr>
    </w:p>
    <w:p w14:paraId="5E8BAF93" w14:textId="77777777" w:rsidR="00E13A95" w:rsidRPr="0086282C" w:rsidRDefault="00E13A95">
      <w:pPr>
        <w:spacing w:after="0"/>
        <w:rPr>
          <w:rFonts w:ascii="Verdana" w:hAnsi="Verdana"/>
          <w:sz w:val="20"/>
          <w:szCs w:val="20"/>
        </w:rPr>
      </w:pPr>
      <w:r>
        <w:rPr>
          <w:rFonts w:ascii="Verdana" w:hAnsi="Verdana"/>
          <w:sz w:val="20"/>
          <w:szCs w:val="20"/>
        </w:rPr>
        <w:t>Chapter 1. Definitions</w:t>
      </w:r>
    </w:p>
    <w:p w14:paraId="2FDB91C4" w14:textId="77777777" w:rsidR="00E13A95" w:rsidRPr="0086282C" w:rsidRDefault="00E13A95">
      <w:pPr>
        <w:spacing w:after="0"/>
        <w:rPr>
          <w:rFonts w:ascii="Verdana" w:hAnsi="Verdana"/>
          <w:sz w:val="20"/>
          <w:szCs w:val="20"/>
        </w:rPr>
      </w:pPr>
    </w:p>
    <w:p w14:paraId="1573CD3E" w14:textId="77777777" w:rsidR="0095457E" w:rsidRPr="0086282C" w:rsidRDefault="0095457E" w:rsidP="00F95BB6">
      <w:pPr>
        <w:spacing w:after="0"/>
        <w:rPr>
          <w:rFonts w:ascii="Verdana" w:hAnsi="Verdana" w:cs="Arial"/>
          <w:sz w:val="20"/>
          <w:szCs w:val="20"/>
        </w:rPr>
      </w:pPr>
      <w:r>
        <w:rPr>
          <w:rFonts w:ascii="Verdana" w:hAnsi="Verdana"/>
          <w:b/>
          <w:sz w:val="20"/>
          <w:szCs w:val="20"/>
        </w:rPr>
        <w:t>Article 1.</w:t>
      </w:r>
      <w:r>
        <w:rPr>
          <w:rFonts w:ascii="Verdana" w:hAnsi="Verdana"/>
          <w:sz w:val="20"/>
          <w:szCs w:val="20"/>
        </w:rPr>
        <w:t xml:space="preserve"> For the purposes of the present order, the following definitions shall apply:</w:t>
      </w:r>
    </w:p>
    <w:p w14:paraId="1695907A" w14:textId="77777777" w:rsidR="00A212BC" w:rsidRDefault="00A212BC" w:rsidP="009C094E">
      <w:pPr>
        <w:pStyle w:val="Lijstalinea"/>
        <w:numPr>
          <w:ilvl w:val="0"/>
          <w:numId w:val="2"/>
        </w:numPr>
        <w:spacing w:after="0"/>
        <w:ind w:hanging="720"/>
        <w:rPr>
          <w:rFonts w:ascii="Verdana" w:hAnsi="Verdana" w:cs="Arial"/>
          <w:sz w:val="20"/>
          <w:szCs w:val="20"/>
        </w:rPr>
      </w:pPr>
      <w:r>
        <w:rPr>
          <w:rFonts w:ascii="Verdana" w:hAnsi="Verdana"/>
          <w:sz w:val="20"/>
          <w:szCs w:val="20"/>
        </w:rPr>
        <w:t>connection: a regular train service between two intermodal terminals where one of the two intermodal terminals is located outside Belgium;</w:t>
      </w:r>
    </w:p>
    <w:p w14:paraId="02D460B5" w14:textId="77777777" w:rsidR="0086282C" w:rsidRPr="0086282C" w:rsidRDefault="0086282C" w:rsidP="00F95BB6">
      <w:pPr>
        <w:pStyle w:val="Lijstalinea"/>
        <w:numPr>
          <w:ilvl w:val="0"/>
          <w:numId w:val="2"/>
        </w:numPr>
        <w:spacing w:after="0"/>
        <w:ind w:hanging="720"/>
        <w:rPr>
          <w:rFonts w:ascii="Verdana" w:hAnsi="Verdana" w:cs="Arial"/>
          <w:sz w:val="20"/>
          <w:szCs w:val="20"/>
        </w:rPr>
      </w:pPr>
      <w:r>
        <w:rPr>
          <w:rFonts w:ascii="Verdana" w:hAnsi="Verdana"/>
          <w:sz w:val="20"/>
          <w:szCs w:val="20"/>
        </w:rPr>
        <w:lastRenderedPageBreak/>
        <w:t>department: the Department of Mobility and Public Works, referred to in Article 28, §1, of the 3 June 2005 Government of Flanders order on the organisation of the Flemish administration;</w:t>
      </w:r>
    </w:p>
    <w:p w14:paraId="288E9EB3" w14:textId="77777777" w:rsidR="00A94DB9" w:rsidRPr="0024775E" w:rsidRDefault="00647CD4" w:rsidP="00F95BB6">
      <w:pPr>
        <w:pStyle w:val="Lijstalinea"/>
        <w:numPr>
          <w:ilvl w:val="0"/>
          <w:numId w:val="2"/>
        </w:numPr>
        <w:spacing w:after="0"/>
        <w:ind w:hanging="720"/>
        <w:rPr>
          <w:rFonts w:ascii="Verdana" w:hAnsi="Verdana" w:cs="Arial"/>
          <w:sz w:val="20"/>
          <w:szCs w:val="20"/>
        </w:rPr>
      </w:pPr>
      <w:r>
        <w:rPr>
          <w:rFonts w:ascii="Verdana" w:hAnsi="Verdana"/>
          <w:sz w:val="20"/>
          <w:szCs w:val="20"/>
        </w:rPr>
        <w:t xml:space="preserve">port area: the port area of Antwerp, the port area of Bruges-Zeebrugge and the port area of Ghent, referred to in Article 2, 5°, 6° and 7° of the 2 March 1999 decree on the policy and management of seaports; </w:t>
      </w:r>
    </w:p>
    <w:p w14:paraId="026B138C" w14:textId="77777777" w:rsidR="007915D0" w:rsidRPr="0086282C" w:rsidRDefault="007915D0" w:rsidP="00F95BB6">
      <w:pPr>
        <w:pStyle w:val="Lijstalinea"/>
        <w:numPr>
          <w:ilvl w:val="0"/>
          <w:numId w:val="2"/>
        </w:numPr>
        <w:spacing w:after="0"/>
        <w:ind w:hanging="720"/>
        <w:rPr>
          <w:rFonts w:ascii="Verdana" w:hAnsi="Verdana" w:cs="Arial"/>
          <w:sz w:val="20"/>
          <w:szCs w:val="20"/>
        </w:rPr>
      </w:pPr>
      <w:r>
        <w:rPr>
          <w:rFonts w:ascii="Verdana" w:hAnsi="Verdana"/>
          <w:sz w:val="20"/>
          <w:szCs w:val="20"/>
        </w:rPr>
        <w:t xml:space="preserve">intermodal terminal: storage and </w:t>
      </w:r>
      <w:proofErr w:type="spellStart"/>
      <w:r>
        <w:rPr>
          <w:rFonts w:ascii="Verdana" w:hAnsi="Verdana"/>
          <w:sz w:val="20"/>
          <w:szCs w:val="20"/>
        </w:rPr>
        <w:t>transshipment</w:t>
      </w:r>
      <w:proofErr w:type="spellEnd"/>
      <w:r>
        <w:rPr>
          <w:rFonts w:ascii="Verdana" w:hAnsi="Verdana"/>
          <w:sz w:val="20"/>
          <w:szCs w:val="20"/>
        </w:rPr>
        <w:t xml:space="preserve"> site for intermodal transport units (ITU);</w:t>
      </w:r>
    </w:p>
    <w:p w14:paraId="60D99628" w14:textId="77777777" w:rsidR="00647CD4" w:rsidRPr="0086282C" w:rsidRDefault="00A212BC" w:rsidP="00F95BB6">
      <w:pPr>
        <w:pStyle w:val="Lijstalinea"/>
        <w:numPr>
          <w:ilvl w:val="0"/>
          <w:numId w:val="2"/>
        </w:numPr>
        <w:spacing w:after="0"/>
        <w:ind w:hanging="720"/>
        <w:rPr>
          <w:rFonts w:ascii="Verdana" w:hAnsi="Verdana" w:cs="Arial"/>
          <w:sz w:val="20"/>
          <w:szCs w:val="20"/>
        </w:rPr>
      </w:pPr>
      <w:r>
        <w:rPr>
          <w:rFonts w:ascii="Verdana" w:hAnsi="Verdana"/>
          <w:sz w:val="20"/>
          <w:szCs w:val="20"/>
        </w:rPr>
        <w:t>shuttle: a regular service or movement of trains between two intermodal terminals within one port area or between two intermodal terminals in two port areas;</w:t>
      </w:r>
      <w:r>
        <w:rPr>
          <w:rFonts w:ascii="Verdana" w:hAnsi="Verdana"/>
          <w:sz w:val="20"/>
          <w:szCs w:val="20"/>
        </w:rPr>
        <w:tab/>
      </w:r>
    </w:p>
    <w:p w14:paraId="1662747F" w14:textId="77777777" w:rsidR="0086180E" w:rsidRDefault="00A212BC" w:rsidP="00F95BB6">
      <w:pPr>
        <w:pStyle w:val="Lijstalinea"/>
        <w:numPr>
          <w:ilvl w:val="0"/>
          <w:numId w:val="2"/>
        </w:numPr>
        <w:spacing w:after="0"/>
        <w:ind w:hanging="720"/>
        <w:rPr>
          <w:rFonts w:ascii="Verdana" w:hAnsi="Verdana" w:cs="Arial"/>
          <w:sz w:val="20"/>
          <w:szCs w:val="20"/>
        </w:rPr>
      </w:pPr>
      <w:r>
        <w:rPr>
          <w:rFonts w:ascii="Verdana" w:hAnsi="Verdana"/>
          <w:sz w:val="20"/>
          <w:szCs w:val="20"/>
        </w:rPr>
        <w:t>train: rail transport that belongs to a registered train path.</w:t>
      </w:r>
    </w:p>
    <w:p w14:paraId="5A1BEF32" w14:textId="77777777" w:rsidR="0086282C" w:rsidRPr="0086282C" w:rsidRDefault="0086282C" w:rsidP="00F95BB6">
      <w:pPr>
        <w:pStyle w:val="Lijstalinea"/>
        <w:spacing w:after="0"/>
        <w:rPr>
          <w:rFonts w:ascii="Verdana" w:hAnsi="Verdana" w:cs="Arial"/>
          <w:sz w:val="20"/>
          <w:szCs w:val="20"/>
        </w:rPr>
      </w:pPr>
    </w:p>
    <w:p w14:paraId="7CB440CE" w14:textId="77777777" w:rsidR="00287A33" w:rsidRPr="00F95BB6" w:rsidRDefault="00287A33" w:rsidP="00F95BB6">
      <w:pPr>
        <w:pStyle w:val="Lijstalinea"/>
        <w:spacing w:after="0"/>
        <w:ind w:left="0"/>
        <w:rPr>
          <w:rFonts w:ascii="Verdana" w:hAnsi="Verdana" w:cs="Arial"/>
          <w:sz w:val="20"/>
          <w:szCs w:val="20"/>
        </w:rPr>
      </w:pPr>
      <w:r>
        <w:rPr>
          <w:rFonts w:ascii="Verdana" w:hAnsi="Verdana"/>
          <w:sz w:val="20"/>
          <w:szCs w:val="20"/>
        </w:rPr>
        <w:t>Chapter 2. Supporting the bundling of ITU transport by rail for connections</w:t>
      </w:r>
    </w:p>
    <w:p w14:paraId="2A271167" w14:textId="77777777" w:rsidR="0086282C" w:rsidRPr="0086282C" w:rsidRDefault="0086282C" w:rsidP="00F95BB6">
      <w:pPr>
        <w:spacing w:after="0"/>
        <w:rPr>
          <w:rFonts w:ascii="Verdana" w:hAnsi="Verdana" w:cs="Arial"/>
          <w:sz w:val="20"/>
          <w:szCs w:val="20"/>
        </w:rPr>
      </w:pPr>
    </w:p>
    <w:p w14:paraId="37D36BEB" w14:textId="77777777" w:rsidR="0086282C" w:rsidRDefault="003F4EF9" w:rsidP="00F95BB6">
      <w:pPr>
        <w:spacing w:after="0"/>
        <w:rPr>
          <w:rFonts w:ascii="Verdana" w:hAnsi="Verdana" w:cs="Arial"/>
          <w:sz w:val="20"/>
          <w:szCs w:val="20"/>
        </w:rPr>
      </w:pPr>
      <w:r>
        <w:rPr>
          <w:rFonts w:ascii="Verdana" w:hAnsi="Verdana"/>
          <w:b/>
          <w:sz w:val="20"/>
          <w:szCs w:val="20"/>
        </w:rPr>
        <w:t>Art. 2.</w:t>
      </w:r>
      <w:r>
        <w:rPr>
          <w:rFonts w:ascii="Verdana" w:hAnsi="Verdana"/>
          <w:sz w:val="20"/>
          <w:szCs w:val="20"/>
        </w:rPr>
        <w:t xml:space="preserve"> Any operator who transports grouped ITUs by rail between an intermodal terminal in a port area and an intermodal terminal outside Belgium can benefit from a subsidy, within the limits of the budget.</w:t>
      </w:r>
    </w:p>
    <w:p w14:paraId="44DFE57F" w14:textId="77777777" w:rsidR="00287A33" w:rsidRPr="0086282C" w:rsidRDefault="00287A33" w:rsidP="00F95BB6">
      <w:pPr>
        <w:spacing w:after="0"/>
        <w:rPr>
          <w:rFonts w:ascii="Verdana" w:hAnsi="Verdana" w:cs="Arial"/>
          <w:sz w:val="20"/>
          <w:szCs w:val="20"/>
        </w:rPr>
      </w:pPr>
    </w:p>
    <w:p w14:paraId="5C740BC8" w14:textId="77777777" w:rsidR="00647CD4" w:rsidRDefault="003F4EF9" w:rsidP="00F95BB6">
      <w:pPr>
        <w:spacing w:after="0"/>
        <w:rPr>
          <w:rFonts w:ascii="Verdana" w:hAnsi="Verdana" w:cs="Arial"/>
          <w:sz w:val="20"/>
          <w:szCs w:val="20"/>
        </w:rPr>
      </w:pPr>
      <w:r>
        <w:rPr>
          <w:rFonts w:ascii="Verdana" w:hAnsi="Verdana"/>
          <w:b/>
          <w:sz w:val="20"/>
          <w:szCs w:val="20"/>
        </w:rPr>
        <w:t>Art. 3.</w:t>
      </w:r>
      <w:r>
        <w:rPr>
          <w:rFonts w:ascii="Verdana" w:hAnsi="Verdana"/>
          <w:sz w:val="20"/>
          <w:szCs w:val="20"/>
        </w:rPr>
        <w:t xml:space="preserve"> The subsidy referred to in Article 2 shall be awarded for each train according to the following formula: 250 euros per train and per connection.</w:t>
      </w:r>
    </w:p>
    <w:p w14:paraId="6AF4DEE8" w14:textId="77777777" w:rsidR="0086282C" w:rsidRPr="0086282C" w:rsidRDefault="0086282C" w:rsidP="00F95BB6">
      <w:pPr>
        <w:spacing w:after="0"/>
        <w:rPr>
          <w:rFonts w:ascii="Verdana" w:eastAsiaTheme="minorEastAsia" w:hAnsi="Verdana" w:cs="Arial"/>
          <w:sz w:val="20"/>
          <w:szCs w:val="20"/>
        </w:rPr>
      </w:pPr>
    </w:p>
    <w:p w14:paraId="4F184FA9" w14:textId="77777777" w:rsidR="00963419" w:rsidRDefault="00647CD4" w:rsidP="00F95BB6">
      <w:pPr>
        <w:spacing w:after="0"/>
        <w:rPr>
          <w:rFonts w:ascii="Verdana" w:hAnsi="Verdana" w:cs="Arial"/>
          <w:sz w:val="20"/>
          <w:szCs w:val="20"/>
        </w:rPr>
      </w:pPr>
      <w:r>
        <w:rPr>
          <w:rFonts w:ascii="Verdana" w:hAnsi="Verdana"/>
          <w:sz w:val="20"/>
          <w:szCs w:val="20"/>
        </w:rPr>
        <w:t>The subsidy will be paid for a maximum of one year.</w:t>
      </w:r>
    </w:p>
    <w:p w14:paraId="72B4D717" w14:textId="77777777" w:rsidR="0086282C" w:rsidRPr="0086282C" w:rsidRDefault="0086282C" w:rsidP="00F95BB6">
      <w:pPr>
        <w:spacing w:after="0"/>
        <w:rPr>
          <w:rFonts w:ascii="Verdana" w:eastAsiaTheme="minorEastAsia" w:hAnsi="Verdana" w:cs="Arial"/>
          <w:sz w:val="20"/>
          <w:szCs w:val="20"/>
        </w:rPr>
      </w:pPr>
    </w:p>
    <w:p w14:paraId="1EAC7F40" w14:textId="77777777" w:rsidR="00963419" w:rsidRDefault="00DB0D05" w:rsidP="00F95BB6">
      <w:pPr>
        <w:spacing w:after="0"/>
        <w:rPr>
          <w:rFonts w:ascii="Verdana" w:hAnsi="Verdana" w:cs="Arial"/>
          <w:sz w:val="20"/>
          <w:szCs w:val="20"/>
        </w:rPr>
      </w:pPr>
      <w:r>
        <w:rPr>
          <w:rFonts w:ascii="Verdana" w:hAnsi="Verdana"/>
          <w:b/>
          <w:sz w:val="20"/>
          <w:szCs w:val="20"/>
        </w:rPr>
        <w:t>Art. 4.</w:t>
      </w:r>
      <w:r>
        <w:rPr>
          <w:rFonts w:ascii="Verdana" w:hAnsi="Verdana"/>
          <w:sz w:val="20"/>
          <w:szCs w:val="20"/>
        </w:rPr>
        <w:t xml:space="preserve"> For the purposes of this Article the following definitions shall apply:</w:t>
      </w:r>
    </w:p>
    <w:p w14:paraId="5A9A7152" w14:textId="77777777" w:rsidR="00054D21" w:rsidRDefault="00054D21" w:rsidP="00054D21">
      <w:pPr>
        <w:pStyle w:val="Lijstalinea"/>
        <w:numPr>
          <w:ilvl w:val="0"/>
          <w:numId w:val="4"/>
        </w:numPr>
        <w:spacing w:after="0"/>
        <w:ind w:hanging="720"/>
        <w:rPr>
          <w:rFonts w:ascii="Verdana" w:hAnsi="Verdana" w:cs="Arial"/>
          <w:sz w:val="20"/>
          <w:szCs w:val="20"/>
        </w:rPr>
      </w:pPr>
      <w:r>
        <w:rPr>
          <w:rFonts w:ascii="Verdana" w:hAnsi="Verdana"/>
          <w:sz w:val="20"/>
          <w:szCs w:val="20"/>
        </w:rPr>
        <w:t>existing rail service: a rail service included in the inventory of rail services, where the origin and destination are rail terminals;</w:t>
      </w:r>
    </w:p>
    <w:p w14:paraId="71FA4408" w14:textId="77777777" w:rsidR="00054D21" w:rsidRPr="00054D21" w:rsidRDefault="00054D21" w:rsidP="00F95BB6">
      <w:pPr>
        <w:pStyle w:val="Lijstalinea"/>
        <w:numPr>
          <w:ilvl w:val="0"/>
          <w:numId w:val="4"/>
        </w:numPr>
        <w:spacing w:after="0"/>
        <w:ind w:hanging="720"/>
        <w:rPr>
          <w:rFonts w:ascii="Verdana" w:hAnsi="Verdana" w:cs="Arial"/>
          <w:sz w:val="20"/>
          <w:szCs w:val="20"/>
        </w:rPr>
      </w:pPr>
      <w:r>
        <w:rPr>
          <w:rFonts w:ascii="Verdana" w:hAnsi="Verdana"/>
          <w:sz w:val="20"/>
          <w:szCs w:val="20"/>
        </w:rPr>
        <w:t>region of an existing rail service: for regions located within the European Union, this is the NUTS 2 region and for regions located outside the European Union, this is the Statistical Region 2, as defined by Eurostat;</w:t>
      </w:r>
    </w:p>
    <w:p w14:paraId="2910E0AB" w14:textId="77777777" w:rsidR="00F216F2" w:rsidRPr="0086282C" w:rsidRDefault="00E7214C" w:rsidP="00F95BB6">
      <w:pPr>
        <w:pStyle w:val="Lijstalinea"/>
        <w:numPr>
          <w:ilvl w:val="0"/>
          <w:numId w:val="4"/>
        </w:numPr>
        <w:spacing w:after="0"/>
        <w:ind w:hanging="720"/>
        <w:rPr>
          <w:rFonts w:ascii="Verdana" w:hAnsi="Verdana" w:cs="Arial"/>
          <w:iCs/>
          <w:sz w:val="20"/>
          <w:szCs w:val="20"/>
        </w:rPr>
      </w:pPr>
      <w:r>
        <w:rPr>
          <w:rFonts w:ascii="Verdana" w:hAnsi="Verdana"/>
          <w:iCs/>
          <w:sz w:val="20"/>
          <w:szCs w:val="20"/>
        </w:rPr>
        <w:t>rail service with new origin or destination in the hinterland:</w:t>
      </w:r>
    </w:p>
    <w:p w14:paraId="0787BA0B" w14:textId="77777777" w:rsidR="00B51CF8" w:rsidRPr="0086282C" w:rsidRDefault="00950432" w:rsidP="00F95BB6">
      <w:pPr>
        <w:pStyle w:val="Lijstalinea"/>
        <w:numPr>
          <w:ilvl w:val="1"/>
          <w:numId w:val="4"/>
        </w:numPr>
        <w:spacing w:after="0"/>
        <w:ind w:hanging="720"/>
        <w:rPr>
          <w:rFonts w:ascii="Verdana" w:hAnsi="Verdana" w:cs="Arial"/>
          <w:iCs/>
          <w:sz w:val="20"/>
          <w:szCs w:val="20"/>
        </w:rPr>
      </w:pPr>
      <w:r>
        <w:rPr>
          <w:rFonts w:ascii="Verdana" w:hAnsi="Verdana"/>
          <w:iCs/>
          <w:sz w:val="20"/>
          <w:szCs w:val="20"/>
        </w:rPr>
        <w:t>a rail service that is not an existing rail service and whose destination or origin in the hinterland does not belong to the region of an existing rail service that was discontinued less than three months ago;</w:t>
      </w:r>
    </w:p>
    <w:p w14:paraId="7CF8FB21" w14:textId="77777777" w:rsidR="00054D21" w:rsidRDefault="00B51CF8" w:rsidP="00F95BB6">
      <w:pPr>
        <w:pStyle w:val="Lijstalinea"/>
        <w:numPr>
          <w:ilvl w:val="1"/>
          <w:numId w:val="4"/>
        </w:numPr>
        <w:spacing w:after="0"/>
        <w:ind w:hanging="720"/>
        <w:rPr>
          <w:rFonts w:ascii="Verdana" w:hAnsi="Verdana" w:cs="Arial"/>
          <w:iCs/>
          <w:sz w:val="20"/>
          <w:szCs w:val="20"/>
        </w:rPr>
      </w:pPr>
      <w:r>
        <w:rPr>
          <w:rFonts w:ascii="Verdana" w:hAnsi="Verdana"/>
          <w:iCs/>
          <w:sz w:val="20"/>
          <w:szCs w:val="20"/>
        </w:rPr>
        <w:t>an existing rail service that was discontinued at least three months ago;</w:t>
      </w:r>
    </w:p>
    <w:p w14:paraId="76C71799" w14:textId="77777777" w:rsidR="00054D21" w:rsidRPr="00054D21" w:rsidRDefault="00054D21" w:rsidP="00F95BB6">
      <w:pPr>
        <w:pStyle w:val="Lijstalinea"/>
        <w:numPr>
          <w:ilvl w:val="0"/>
          <w:numId w:val="4"/>
        </w:numPr>
        <w:spacing w:after="0"/>
        <w:ind w:hanging="720"/>
        <w:rPr>
          <w:rFonts w:ascii="Verdana" w:hAnsi="Verdana" w:cs="Arial"/>
          <w:sz w:val="20"/>
          <w:szCs w:val="20"/>
        </w:rPr>
      </w:pPr>
      <w:r>
        <w:rPr>
          <w:rFonts w:ascii="Verdana" w:hAnsi="Verdana"/>
          <w:sz w:val="20"/>
          <w:szCs w:val="20"/>
        </w:rPr>
        <w:t>increased frequency of a rail service: an extra weekly train of a connection.</w:t>
      </w:r>
    </w:p>
    <w:p w14:paraId="4EE1371A" w14:textId="77777777" w:rsidR="00054D21" w:rsidRDefault="00054D21" w:rsidP="00F95BB6">
      <w:pPr>
        <w:spacing w:after="0"/>
        <w:rPr>
          <w:rFonts w:ascii="Verdana" w:hAnsi="Verdana" w:cs="Arial"/>
          <w:sz w:val="20"/>
          <w:szCs w:val="20"/>
        </w:rPr>
      </w:pPr>
    </w:p>
    <w:p w14:paraId="310BB74A" w14:textId="77777777" w:rsidR="00054D21" w:rsidRPr="0086282C" w:rsidRDefault="00054D21" w:rsidP="004D1CA3">
      <w:pPr>
        <w:spacing w:after="0"/>
        <w:ind w:left="705"/>
        <w:rPr>
          <w:rFonts w:ascii="Verdana" w:hAnsi="Verdana" w:cs="Arial"/>
          <w:sz w:val="20"/>
          <w:szCs w:val="20"/>
        </w:rPr>
      </w:pPr>
      <w:r>
        <w:rPr>
          <w:rFonts w:ascii="Verdana" w:hAnsi="Verdana"/>
          <w:sz w:val="20"/>
          <w:szCs w:val="20"/>
        </w:rPr>
        <w:t>A train is subsidised if the following conditions are met:</w:t>
      </w:r>
    </w:p>
    <w:p w14:paraId="2983595E" w14:textId="77777777" w:rsidR="00054D21" w:rsidRPr="0086282C" w:rsidRDefault="00054D21" w:rsidP="00054D21">
      <w:pPr>
        <w:pStyle w:val="Lijstalinea"/>
        <w:numPr>
          <w:ilvl w:val="0"/>
          <w:numId w:val="3"/>
        </w:numPr>
        <w:spacing w:after="0"/>
        <w:ind w:hanging="720"/>
        <w:rPr>
          <w:rFonts w:ascii="Verdana" w:hAnsi="Verdana" w:cs="Arial"/>
          <w:sz w:val="20"/>
          <w:szCs w:val="20"/>
        </w:rPr>
      </w:pPr>
      <w:r>
        <w:rPr>
          <w:rFonts w:ascii="Verdana" w:hAnsi="Verdana"/>
          <w:sz w:val="20"/>
          <w:szCs w:val="20"/>
        </w:rPr>
        <w:t xml:space="preserve">averaged over one quarter, at least 20% of the total train volume in terms of number of wagons concerns ITUs; </w:t>
      </w:r>
    </w:p>
    <w:p w14:paraId="2F082991" w14:textId="77777777" w:rsidR="00054D21" w:rsidRPr="0086282C" w:rsidRDefault="00054D21" w:rsidP="00054D21">
      <w:pPr>
        <w:pStyle w:val="Lijstalinea"/>
        <w:numPr>
          <w:ilvl w:val="0"/>
          <w:numId w:val="3"/>
        </w:numPr>
        <w:spacing w:after="0"/>
        <w:ind w:hanging="720"/>
        <w:rPr>
          <w:rFonts w:ascii="Verdana" w:hAnsi="Verdana" w:cs="Arial"/>
          <w:sz w:val="20"/>
          <w:szCs w:val="20"/>
        </w:rPr>
      </w:pPr>
      <w:r>
        <w:rPr>
          <w:rFonts w:ascii="Verdana" w:hAnsi="Verdana"/>
          <w:sz w:val="20"/>
          <w:szCs w:val="20"/>
        </w:rPr>
        <w:t xml:space="preserve">averaged over one quarter, the origin or destination of at least 20% of ITUs, expressed in TEU, is a second intermodal terminal in a port area; </w:t>
      </w:r>
    </w:p>
    <w:p w14:paraId="672F5EEA" w14:textId="77777777" w:rsidR="00054D21" w:rsidRPr="0086282C" w:rsidRDefault="00054D21" w:rsidP="00054D21">
      <w:pPr>
        <w:pStyle w:val="Lijstalinea"/>
        <w:numPr>
          <w:ilvl w:val="0"/>
          <w:numId w:val="3"/>
        </w:numPr>
        <w:spacing w:after="0"/>
        <w:ind w:hanging="720"/>
        <w:rPr>
          <w:rFonts w:ascii="Verdana" w:hAnsi="Verdana" w:cs="Arial"/>
          <w:sz w:val="20"/>
          <w:szCs w:val="20"/>
        </w:rPr>
      </w:pPr>
      <w:r>
        <w:rPr>
          <w:rFonts w:ascii="Verdana" w:hAnsi="Verdana"/>
          <w:sz w:val="20"/>
          <w:szCs w:val="20"/>
        </w:rPr>
        <w:t xml:space="preserve">the train belongs to a direct rail service for the main route to or from a port area; </w:t>
      </w:r>
    </w:p>
    <w:p w14:paraId="1F591C8A" w14:textId="77777777" w:rsidR="00054D21" w:rsidRPr="000035FB" w:rsidRDefault="00054D21" w:rsidP="00054D21">
      <w:pPr>
        <w:pStyle w:val="Lijstalinea"/>
        <w:numPr>
          <w:ilvl w:val="0"/>
          <w:numId w:val="3"/>
        </w:numPr>
        <w:spacing w:after="0"/>
        <w:ind w:hanging="720"/>
        <w:rPr>
          <w:rFonts w:ascii="Verdana" w:hAnsi="Verdana" w:cs="Arial"/>
          <w:sz w:val="20"/>
          <w:szCs w:val="20"/>
        </w:rPr>
      </w:pPr>
      <w:r>
        <w:rPr>
          <w:rFonts w:ascii="Verdana" w:hAnsi="Verdana"/>
          <w:sz w:val="20"/>
          <w:szCs w:val="20"/>
        </w:rPr>
        <w:t>the frequency of a rail service is increased or a rail service with a new origin or destination in the hinterland is operated.</w:t>
      </w:r>
    </w:p>
    <w:p w14:paraId="38A89254" w14:textId="77777777" w:rsidR="0086282C" w:rsidRPr="0086282C" w:rsidRDefault="0086282C" w:rsidP="00F95BB6">
      <w:pPr>
        <w:spacing w:after="0"/>
        <w:rPr>
          <w:rFonts w:ascii="Verdana" w:hAnsi="Verdana" w:cs="Arial"/>
          <w:sz w:val="20"/>
          <w:szCs w:val="20"/>
        </w:rPr>
      </w:pPr>
    </w:p>
    <w:p w14:paraId="36028332" w14:textId="77777777" w:rsidR="0086282C" w:rsidRDefault="00DB0D05" w:rsidP="00F95BB6">
      <w:pPr>
        <w:spacing w:after="0"/>
        <w:rPr>
          <w:rFonts w:ascii="Verdana" w:hAnsi="Verdana" w:cs="Arial"/>
          <w:sz w:val="20"/>
          <w:szCs w:val="20"/>
        </w:rPr>
      </w:pPr>
      <w:r>
        <w:rPr>
          <w:rFonts w:ascii="Verdana" w:hAnsi="Verdana"/>
          <w:b/>
          <w:sz w:val="20"/>
          <w:szCs w:val="20"/>
        </w:rPr>
        <w:lastRenderedPageBreak/>
        <w:t>Art. 5.</w:t>
      </w:r>
      <w:r>
        <w:rPr>
          <w:rFonts w:ascii="Verdana" w:hAnsi="Verdana"/>
          <w:sz w:val="20"/>
          <w:szCs w:val="20"/>
        </w:rPr>
        <w:t xml:space="preserve"> If a train which has received the maximum subsidy on the basis of this order is discontinued, and that train is resumed by the same or another operator, that train is no longer eligible for subsidy on the basis of this order.</w:t>
      </w:r>
    </w:p>
    <w:p w14:paraId="196FF779" w14:textId="77777777" w:rsidR="00CB4540" w:rsidRPr="0086282C" w:rsidRDefault="00CB4540" w:rsidP="00F95BB6">
      <w:pPr>
        <w:spacing w:after="0"/>
        <w:rPr>
          <w:rFonts w:ascii="Verdana" w:hAnsi="Verdana" w:cs="Arial"/>
          <w:sz w:val="20"/>
          <w:szCs w:val="20"/>
        </w:rPr>
      </w:pPr>
    </w:p>
    <w:p w14:paraId="77759C6B" w14:textId="77777777" w:rsidR="006A1CB5" w:rsidRDefault="00711674" w:rsidP="00F95BB6">
      <w:pPr>
        <w:spacing w:after="0"/>
        <w:rPr>
          <w:rFonts w:ascii="Verdana" w:hAnsi="Verdana" w:cs="Arial"/>
          <w:sz w:val="20"/>
          <w:szCs w:val="20"/>
        </w:rPr>
      </w:pPr>
      <w:r>
        <w:rPr>
          <w:rFonts w:ascii="Verdana" w:hAnsi="Verdana"/>
          <w:sz w:val="20"/>
          <w:szCs w:val="20"/>
        </w:rPr>
        <w:t>Chapter 3. Supporting the bundling of ITU transport by rail for shuttles</w:t>
      </w:r>
    </w:p>
    <w:p w14:paraId="75FEAF4D" w14:textId="77777777" w:rsidR="0086282C" w:rsidRPr="0086282C" w:rsidRDefault="0086282C" w:rsidP="00F95BB6">
      <w:pPr>
        <w:spacing w:after="0"/>
        <w:rPr>
          <w:rFonts w:ascii="Verdana" w:hAnsi="Verdana" w:cs="Arial"/>
          <w:sz w:val="20"/>
          <w:szCs w:val="20"/>
        </w:rPr>
      </w:pPr>
    </w:p>
    <w:p w14:paraId="469815AF" w14:textId="77777777" w:rsidR="0086282C" w:rsidRDefault="00CA3BA7" w:rsidP="00F95BB6">
      <w:pPr>
        <w:spacing w:after="0"/>
        <w:rPr>
          <w:rFonts w:ascii="Verdana" w:hAnsi="Verdana" w:cs="Arial"/>
          <w:sz w:val="20"/>
          <w:szCs w:val="20"/>
        </w:rPr>
      </w:pPr>
      <w:r>
        <w:rPr>
          <w:rFonts w:ascii="Verdana" w:hAnsi="Verdana"/>
          <w:b/>
          <w:sz w:val="20"/>
          <w:szCs w:val="20"/>
        </w:rPr>
        <w:t>Art. 6.</w:t>
      </w:r>
      <w:r>
        <w:rPr>
          <w:rFonts w:ascii="Verdana" w:hAnsi="Verdana"/>
          <w:sz w:val="20"/>
          <w:szCs w:val="20"/>
        </w:rPr>
        <w:t xml:space="preserve"> Any operator who transports ITUs by rail between two intermodal terminals located in one or two port areas can benefit from a subsidy, within the limits of the budget.</w:t>
      </w:r>
    </w:p>
    <w:p w14:paraId="5384A607" w14:textId="77777777" w:rsidR="00CA3BA7" w:rsidRPr="0086282C" w:rsidRDefault="00CA3BA7" w:rsidP="00F95BB6">
      <w:pPr>
        <w:spacing w:after="0"/>
        <w:rPr>
          <w:rFonts w:ascii="Verdana" w:hAnsi="Verdana" w:cs="Arial"/>
          <w:sz w:val="20"/>
          <w:szCs w:val="20"/>
        </w:rPr>
      </w:pPr>
    </w:p>
    <w:p w14:paraId="22E23103" w14:textId="77777777" w:rsidR="0086282C" w:rsidRDefault="00CA3BA7" w:rsidP="00F95BB6">
      <w:pPr>
        <w:spacing w:after="0"/>
        <w:rPr>
          <w:rFonts w:ascii="Verdana" w:hAnsi="Verdana" w:cs="Arial"/>
          <w:sz w:val="20"/>
          <w:szCs w:val="20"/>
        </w:rPr>
      </w:pPr>
      <w:r>
        <w:rPr>
          <w:rFonts w:ascii="Verdana" w:hAnsi="Verdana"/>
          <w:b/>
          <w:sz w:val="20"/>
          <w:szCs w:val="20"/>
        </w:rPr>
        <w:t>Art. 7.</w:t>
      </w:r>
      <w:r>
        <w:rPr>
          <w:rFonts w:ascii="Verdana" w:hAnsi="Verdana"/>
          <w:sz w:val="20"/>
          <w:szCs w:val="20"/>
        </w:rPr>
        <w:t xml:space="preserve"> The subsidy referred to in </w:t>
      </w:r>
      <w:bookmarkStart w:id="1" w:name="_GoBack"/>
      <w:r>
        <w:rPr>
          <w:rFonts w:ascii="Verdana" w:hAnsi="Verdana"/>
          <w:sz w:val="20"/>
          <w:szCs w:val="20"/>
        </w:rPr>
        <w:t>Article 6</w:t>
      </w:r>
      <w:bookmarkEnd w:id="1"/>
      <w:r>
        <w:rPr>
          <w:rFonts w:ascii="Verdana" w:hAnsi="Verdana"/>
          <w:sz w:val="20"/>
          <w:szCs w:val="20"/>
        </w:rPr>
        <w:t xml:space="preserve"> shall be awarded for each train according to the following formula: 250 euros per train and per shuttle.</w:t>
      </w:r>
    </w:p>
    <w:p w14:paraId="5A7F0B17" w14:textId="77777777" w:rsidR="006C3129" w:rsidRPr="0086282C" w:rsidRDefault="006C3129" w:rsidP="00F95BB6">
      <w:pPr>
        <w:spacing w:after="0"/>
        <w:rPr>
          <w:rFonts w:ascii="Verdana" w:hAnsi="Verdana" w:cs="Arial"/>
          <w:sz w:val="20"/>
          <w:szCs w:val="20"/>
        </w:rPr>
      </w:pPr>
    </w:p>
    <w:p w14:paraId="56D96ABD" w14:textId="77777777" w:rsidR="00F64863" w:rsidRDefault="0086282C" w:rsidP="00F95BB6">
      <w:pPr>
        <w:spacing w:after="0"/>
        <w:rPr>
          <w:rFonts w:ascii="Verdana" w:eastAsiaTheme="minorEastAsia" w:hAnsi="Verdana" w:cs="Arial"/>
          <w:sz w:val="20"/>
          <w:szCs w:val="20"/>
        </w:rPr>
      </w:pPr>
      <w:r>
        <w:rPr>
          <w:rFonts w:ascii="Verdana" w:hAnsi="Verdana"/>
          <w:sz w:val="20"/>
          <w:szCs w:val="20"/>
        </w:rPr>
        <w:tab/>
        <w:t>The subsidy will be paid for a maximum of two years.</w:t>
      </w:r>
    </w:p>
    <w:p w14:paraId="6DE0B863" w14:textId="77777777" w:rsidR="0086282C" w:rsidRPr="0086282C" w:rsidRDefault="0086282C" w:rsidP="00F95BB6">
      <w:pPr>
        <w:spacing w:after="0"/>
        <w:rPr>
          <w:rFonts w:ascii="Verdana" w:eastAsiaTheme="minorEastAsia" w:hAnsi="Verdana" w:cs="Arial"/>
          <w:sz w:val="20"/>
          <w:szCs w:val="20"/>
        </w:rPr>
      </w:pPr>
    </w:p>
    <w:p w14:paraId="610EA519" w14:textId="77777777" w:rsidR="002F77D9" w:rsidRDefault="00DB0D05" w:rsidP="00F95BB6">
      <w:pPr>
        <w:spacing w:after="0"/>
        <w:rPr>
          <w:rFonts w:ascii="Verdana" w:eastAsiaTheme="minorEastAsia" w:hAnsi="Verdana" w:cs="Arial"/>
          <w:sz w:val="20"/>
          <w:szCs w:val="20"/>
        </w:rPr>
      </w:pPr>
      <w:r>
        <w:rPr>
          <w:rFonts w:ascii="Verdana" w:hAnsi="Verdana"/>
          <w:b/>
          <w:sz w:val="20"/>
          <w:szCs w:val="20"/>
        </w:rPr>
        <w:t>Art. 8.</w:t>
      </w:r>
      <w:r>
        <w:rPr>
          <w:rFonts w:ascii="Verdana" w:hAnsi="Verdana"/>
          <w:sz w:val="20"/>
          <w:szCs w:val="20"/>
        </w:rPr>
        <w:t xml:space="preserve"> A train is subsidised provided that, averaged over one quarter, at least 20% of ITUs expressed in TEU are </w:t>
      </w:r>
      <w:proofErr w:type="spellStart"/>
      <w:r>
        <w:rPr>
          <w:rFonts w:ascii="Verdana" w:hAnsi="Verdana"/>
          <w:sz w:val="20"/>
          <w:szCs w:val="20"/>
        </w:rPr>
        <w:t>transshipped</w:t>
      </w:r>
      <w:proofErr w:type="spellEnd"/>
      <w:r>
        <w:rPr>
          <w:rFonts w:ascii="Verdana" w:hAnsi="Verdana"/>
          <w:sz w:val="20"/>
          <w:szCs w:val="20"/>
        </w:rPr>
        <w:t xml:space="preserve"> to another train or come from another train, where the other train can be either a whole train or a disconnected part of a train. </w:t>
      </w:r>
    </w:p>
    <w:p w14:paraId="09E0A918" w14:textId="77777777" w:rsidR="002F77D9" w:rsidRDefault="002F77D9" w:rsidP="00F95BB6">
      <w:pPr>
        <w:spacing w:after="0"/>
        <w:rPr>
          <w:rFonts w:ascii="Verdana" w:eastAsiaTheme="minorEastAsia" w:hAnsi="Verdana" w:cs="Arial"/>
          <w:sz w:val="20"/>
          <w:szCs w:val="20"/>
        </w:rPr>
      </w:pPr>
    </w:p>
    <w:p w14:paraId="0AC3BE9C" w14:textId="77777777" w:rsidR="0086282C" w:rsidRDefault="002F77D9" w:rsidP="00F95BB6">
      <w:pPr>
        <w:spacing w:after="0"/>
        <w:rPr>
          <w:rFonts w:ascii="Verdana" w:eastAsiaTheme="minorEastAsia" w:hAnsi="Verdana" w:cs="Arial"/>
          <w:sz w:val="20"/>
          <w:szCs w:val="20"/>
        </w:rPr>
      </w:pPr>
      <w:r>
        <w:rPr>
          <w:rFonts w:ascii="Verdana" w:hAnsi="Verdana"/>
          <w:sz w:val="20"/>
          <w:szCs w:val="20"/>
        </w:rPr>
        <w:tab/>
        <w:t>If the transport takes place between two intermodal terminals in the port area of Antwerp or Bruges-Zeebrugge or between two intermodal terminals, one in the port area of Antwerp and the other in the port area of Bruges-Zeebrugge, the train is subsidised if the transported containers on the shuttle have a maritime terminal as departure or arrival.</w:t>
      </w:r>
    </w:p>
    <w:p w14:paraId="127425B1" w14:textId="77777777" w:rsidR="00CA3BA7" w:rsidRPr="0086282C" w:rsidRDefault="00CA3BA7" w:rsidP="00F95BB6">
      <w:pPr>
        <w:spacing w:after="0"/>
        <w:rPr>
          <w:rFonts w:ascii="Verdana" w:eastAsiaTheme="minorEastAsia" w:hAnsi="Verdana" w:cs="Arial"/>
          <w:sz w:val="20"/>
          <w:szCs w:val="20"/>
        </w:rPr>
      </w:pPr>
    </w:p>
    <w:p w14:paraId="0CD6A190" w14:textId="77777777" w:rsidR="0086282C" w:rsidRPr="00F95BB6" w:rsidRDefault="00DB0D05" w:rsidP="00F95BB6">
      <w:pPr>
        <w:spacing w:after="0"/>
        <w:rPr>
          <w:rFonts w:ascii="Verdana" w:eastAsiaTheme="minorEastAsia" w:hAnsi="Verdana" w:cs="Arial"/>
          <w:sz w:val="20"/>
          <w:szCs w:val="20"/>
        </w:rPr>
      </w:pPr>
      <w:r>
        <w:rPr>
          <w:rFonts w:ascii="Verdana" w:hAnsi="Verdana"/>
          <w:b/>
          <w:sz w:val="20"/>
          <w:szCs w:val="20"/>
        </w:rPr>
        <w:t>Art. 9.</w:t>
      </w:r>
      <w:r>
        <w:rPr>
          <w:rFonts w:ascii="Verdana" w:hAnsi="Verdana"/>
          <w:sz w:val="20"/>
          <w:szCs w:val="20"/>
        </w:rPr>
        <w:t xml:space="preserve"> If a train which has received the maximum subsidy on the basis of this order is discontinued, and that train is resumed by the same or another operator, that train is no longer eligible for subsidy on the basis of this order.</w:t>
      </w:r>
    </w:p>
    <w:p w14:paraId="2100D5E0" w14:textId="77777777" w:rsidR="00E724B7" w:rsidRPr="00F95BB6" w:rsidRDefault="00E724B7" w:rsidP="00F95BB6">
      <w:pPr>
        <w:spacing w:after="0"/>
        <w:rPr>
          <w:rFonts w:ascii="Verdana" w:eastAsiaTheme="minorEastAsia" w:hAnsi="Verdana" w:cs="Arial"/>
          <w:sz w:val="20"/>
          <w:szCs w:val="20"/>
        </w:rPr>
      </w:pPr>
    </w:p>
    <w:p w14:paraId="3819AD92" w14:textId="77777777" w:rsidR="00667FC5" w:rsidRDefault="00E724B7" w:rsidP="00F95BB6">
      <w:pPr>
        <w:spacing w:after="0"/>
        <w:rPr>
          <w:rFonts w:ascii="Verdana" w:eastAsiaTheme="minorEastAsia" w:hAnsi="Verdana" w:cs="Arial"/>
          <w:sz w:val="20"/>
          <w:szCs w:val="20"/>
        </w:rPr>
      </w:pPr>
      <w:r>
        <w:rPr>
          <w:rFonts w:ascii="Verdana" w:hAnsi="Verdana"/>
          <w:sz w:val="20"/>
          <w:szCs w:val="20"/>
        </w:rPr>
        <w:t>Chapter 4. Award procedure for subsidies</w:t>
      </w:r>
    </w:p>
    <w:p w14:paraId="4C24808C" w14:textId="77777777" w:rsidR="0086282C" w:rsidRPr="0086282C" w:rsidRDefault="0086282C" w:rsidP="00F95BB6">
      <w:pPr>
        <w:spacing w:after="0"/>
        <w:rPr>
          <w:rFonts w:ascii="Verdana" w:eastAsiaTheme="minorEastAsia" w:hAnsi="Verdana" w:cs="Arial"/>
          <w:sz w:val="20"/>
          <w:szCs w:val="20"/>
        </w:rPr>
      </w:pPr>
    </w:p>
    <w:p w14:paraId="2F6451C7" w14:textId="77777777" w:rsidR="0086282C" w:rsidRDefault="00667FC5" w:rsidP="00F95BB6">
      <w:pPr>
        <w:spacing w:after="0"/>
        <w:rPr>
          <w:rFonts w:ascii="Verdana" w:eastAsiaTheme="minorEastAsia" w:hAnsi="Verdana" w:cs="Arial"/>
          <w:sz w:val="20"/>
          <w:szCs w:val="20"/>
        </w:rPr>
      </w:pPr>
      <w:r>
        <w:rPr>
          <w:rFonts w:ascii="Verdana" w:hAnsi="Verdana"/>
          <w:b/>
          <w:sz w:val="20"/>
          <w:szCs w:val="20"/>
        </w:rPr>
        <w:t>Art. 10.</w:t>
      </w:r>
      <w:r>
        <w:rPr>
          <w:rFonts w:ascii="Verdana" w:hAnsi="Verdana"/>
          <w:sz w:val="20"/>
          <w:szCs w:val="20"/>
        </w:rPr>
        <w:t xml:space="preserve"> The rail operator shall report to the department on a quarterly basis the list of trains entitling to a subsidy as referred to in chapters 2 and 3, the average transported TEUs per train entitling to that subsidy and the average transport costs per TEU per train entitling to that subsidy.</w:t>
      </w:r>
    </w:p>
    <w:p w14:paraId="36A20DBE" w14:textId="77777777" w:rsidR="002F77D9" w:rsidRDefault="002F77D9" w:rsidP="00F95BB6">
      <w:pPr>
        <w:spacing w:after="0"/>
        <w:rPr>
          <w:rFonts w:ascii="Verdana" w:eastAsiaTheme="minorEastAsia" w:hAnsi="Verdana" w:cs="Arial"/>
          <w:sz w:val="20"/>
          <w:szCs w:val="20"/>
        </w:rPr>
      </w:pPr>
    </w:p>
    <w:p w14:paraId="01F612AF" w14:textId="77777777" w:rsidR="002F77D9" w:rsidRDefault="002F77D9" w:rsidP="00F95BB6">
      <w:pPr>
        <w:spacing w:after="0"/>
        <w:rPr>
          <w:rFonts w:ascii="Verdana" w:eastAsiaTheme="minorEastAsia" w:hAnsi="Verdana" w:cs="Arial"/>
          <w:sz w:val="20"/>
          <w:szCs w:val="20"/>
        </w:rPr>
      </w:pPr>
      <w:r>
        <w:rPr>
          <w:rFonts w:ascii="Verdana" w:hAnsi="Verdana"/>
          <w:sz w:val="20"/>
          <w:szCs w:val="20"/>
        </w:rPr>
        <w:tab/>
        <w:t xml:space="preserve">In the first paragraph, transport costs are defined as: </w:t>
      </w:r>
    </w:p>
    <w:p w14:paraId="58378330" w14:textId="77777777" w:rsidR="002F77D9" w:rsidRPr="00F95BB6" w:rsidRDefault="002F77D9" w:rsidP="00F95BB6">
      <w:pPr>
        <w:pStyle w:val="Lijstalinea"/>
        <w:numPr>
          <w:ilvl w:val="0"/>
          <w:numId w:val="6"/>
        </w:numPr>
        <w:spacing w:after="0"/>
        <w:ind w:hanging="720"/>
        <w:rPr>
          <w:rFonts w:ascii="Verdana" w:eastAsiaTheme="minorEastAsia" w:hAnsi="Verdana" w:cs="Arial"/>
          <w:sz w:val="20"/>
          <w:szCs w:val="20"/>
        </w:rPr>
      </w:pPr>
      <w:r>
        <w:rPr>
          <w:rFonts w:ascii="Verdana" w:hAnsi="Verdana"/>
          <w:sz w:val="20"/>
          <w:szCs w:val="20"/>
        </w:rPr>
        <w:t>the cost of rail transport;</w:t>
      </w:r>
    </w:p>
    <w:p w14:paraId="64B0AA72" w14:textId="77777777" w:rsidR="002F77D9" w:rsidRPr="00F95BB6" w:rsidRDefault="002F77D9" w:rsidP="00F95BB6">
      <w:pPr>
        <w:pStyle w:val="Lijstalinea"/>
        <w:numPr>
          <w:ilvl w:val="0"/>
          <w:numId w:val="6"/>
        </w:numPr>
        <w:spacing w:after="0"/>
        <w:ind w:hanging="720"/>
        <w:rPr>
          <w:rFonts w:ascii="Verdana" w:eastAsiaTheme="minorEastAsia" w:hAnsi="Verdana" w:cs="Arial"/>
          <w:sz w:val="20"/>
          <w:szCs w:val="20"/>
        </w:rPr>
      </w:pPr>
      <w:r>
        <w:rPr>
          <w:rFonts w:ascii="Verdana" w:hAnsi="Verdana"/>
          <w:sz w:val="20"/>
          <w:szCs w:val="20"/>
        </w:rPr>
        <w:t>the administrative costs;</w:t>
      </w:r>
    </w:p>
    <w:p w14:paraId="6887B85E" w14:textId="77777777" w:rsidR="002F77D9" w:rsidRPr="00F95BB6" w:rsidRDefault="002F77D9" w:rsidP="00F95BB6">
      <w:pPr>
        <w:pStyle w:val="Lijstalinea"/>
        <w:numPr>
          <w:ilvl w:val="0"/>
          <w:numId w:val="6"/>
        </w:numPr>
        <w:spacing w:after="0"/>
        <w:ind w:hanging="720"/>
        <w:rPr>
          <w:rFonts w:ascii="Verdana" w:eastAsiaTheme="minorEastAsia" w:hAnsi="Verdana" w:cs="Arial"/>
          <w:sz w:val="20"/>
          <w:szCs w:val="20"/>
        </w:rPr>
      </w:pPr>
      <w:r>
        <w:rPr>
          <w:rFonts w:ascii="Verdana" w:hAnsi="Verdana"/>
          <w:sz w:val="20"/>
          <w:szCs w:val="20"/>
        </w:rPr>
        <w:t xml:space="preserve">the cost of </w:t>
      </w:r>
      <w:proofErr w:type="spellStart"/>
      <w:r>
        <w:rPr>
          <w:rFonts w:ascii="Verdana" w:hAnsi="Verdana"/>
          <w:sz w:val="20"/>
          <w:szCs w:val="20"/>
        </w:rPr>
        <w:t>transshipping</w:t>
      </w:r>
      <w:proofErr w:type="spellEnd"/>
      <w:r>
        <w:rPr>
          <w:rFonts w:ascii="Verdana" w:hAnsi="Verdana"/>
          <w:sz w:val="20"/>
          <w:szCs w:val="20"/>
        </w:rPr>
        <w:t xml:space="preserve"> containers between transport equipment within the same mode;</w:t>
      </w:r>
    </w:p>
    <w:p w14:paraId="39B8F000" w14:textId="77777777" w:rsidR="002F77D9" w:rsidRPr="00F95BB6" w:rsidRDefault="002F77D9" w:rsidP="00F95BB6">
      <w:pPr>
        <w:pStyle w:val="Lijstalinea"/>
        <w:numPr>
          <w:ilvl w:val="0"/>
          <w:numId w:val="6"/>
        </w:numPr>
        <w:spacing w:after="0"/>
        <w:ind w:hanging="720"/>
        <w:rPr>
          <w:rFonts w:ascii="Verdana" w:eastAsiaTheme="minorEastAsia" w:hAnsi="Verdana" w:cs="Arial"/>
          <w:sz w:val="20"/>
          <w:szCs w:val="20"/>
        </w:rPr>
      </w:pPr>
      <w:r>
        <w:rPr>
          <w:rFonts w:ascii="Verdana" w:hAnsi="Verdana"/>
          <w:sz w:val="20"/>
          <w:szCs w:val="20"/>
        </w:rPr>
        <w:t>the cost of road transport between the point of departure and the intermodal terminal or between the intermodal terminal and the destination.</w:t>
      </w:r>
    </w:p>
    <w:p w14:paraId="06DC0187" w14:textId="77777777" w:rsidR="009B4133" w:rsidRPr="0086282C" w:rsidRDefault="009B4133" w:rsidP="00F95BB6">
      <w:pPr>
        <w:spacing w:after="0"/>
        <w:rPr>
          <w:rFonts w:ascii="Verdana" w:eastAsiaTheme="minorEastAsia" w:hAnsi="Verdana" w:cs="Arial"/>
          <w:sz w:val="20"/>
          <w:szCs w:val="20"/>
        </w:rPr>
      </w:pPr>
    </w:p>
    <w:p w14:paraId="41333D22" w14:textId="77777777" w:rsidR="00C609E8" w:rsidRDefault="0086282C" w:rsidP="00F95BB6">
      <w:pPr>
        <w:spacing w:after="0"/>
        <w:rPr>
          <w:rFonts w:ascii="Verdana" w:eastAsiaTheme="minorEastAsia" w:hAnsi="Verdana" w:cs="Arial"/>
          <w:sz w:val="20"/>
          <w:szCs w:val="20"/>
        </w:rPr>
      </w:pPr>
      <w:r>
        <w:rPr>
          <w:rFonts w:ascii="Verdana" w:hAnsi="Verdana"/>
          <w:sz w:val="20"/>
          <w:szCs w:val="20"/>
        </w:rPr>
        <w:tab/>
        <w:t>Each rail operator shall inform the department of any other aid as referred to in Article 107 of the Treaty on the Functioning of the European Union and of which community financing it receives. These aid amounts shall be reported per train.</w:t>
      </w:r>
    </w:p>
    <w:p w14:paraId="65BD17D1" w14:textId="77777777" w:rsidR="0086282C" w:rsidRPr="0086282C" w:rsidRDefault="0086282C" w:rsidP="00F95BB6">
      <w:pPr>
        <w:spacing w:after="0"/>
        <w:rPr>
          <w:rFonts w:ascii="Verdana" w:eastAsiaTheme="minorEastAsia" w:hAnsi="Verdana" w:cs="Arial"/>
          <w:sz w:val="20"/>
          <w:szCs w:val="20"/>
        </w:rPr>
      </w:pPr>
    </w:p>
    <w:p w14:paraId="22479E4B" w14:textId="77777777" w:rsidR="004C33FB" w:rsidRDefault="00786337" w:rsidP="00F95BB6">
      <w:pPr>
        <w:spacing w:after="0"/>
        <w:rPr>
          <w:rFonts w:ascii="Verdana" w:eastAsiaTheme="minorEastAsia" w:hAnsi="Verdana" w:cs="Arial"/>
          <w:sz w:val="20"/>
          <w:szCs w:val="20"/>
        </w:rPr>
      </w:pPr>
      <w:r>
        <w:rPr>
          <w:rFonts w:ascii="Verdana" w:hAnsi="Verdana"/>
          <w:b/>
          <w:sz w:val="20"/>
          <w:szCs w:val="20"/>
        </w:rPr>
        <w:lastRenderedPageBreak/>
        <w:t>Art. 11.</w:t>
      </w:r>
      <w:r>
        <w:rPr>
          <w:rFonts w:ascii="Verdana" w:hAnsi="Verdana"/>
          <w:sz w:val="20"/>
          <w:szCs w:val="20"/>
        </w:rPr>
        <w:t xml:space="preserve"> </w:t>
      </w:r>
      <w:r>
        <w:rPr>
          <w:rFonts w:ascii="Verdana" w:hAnsi="Verdana"/>
          <w:bCs/>
          <w:sz w:val="20"/>
          <w:szCs w:val="20"/>
        </w:rPr>
        <w:t xml:space="preserve">The grants referred to in chapters 2 and 3 are limited to 30% of the transport costs. </w:t>
      </w:r>
      <w:r>
        <w:rPr>
          <w:rFonts w:ascii="Verdana" w:hAnsi="Verdana"/>
          <w:sz w:val="20"/>
          <w:szCs w:val="20"/>
        </w:rPr>
        <w:t>The department checks compliance with the limit of 30% of transport costs.</w:t>
      </w:r>
    </w:p>
    <w:p w14:paraId="30907645" w14:textId="77777777" w:rsidR="0086282C" w:rsidRPr="0086282C" w:rsidRDefault="0086282C" w:rsidP="00F95BB6">
      <w:pPr>
        <w:spacing w:after="0"/>
        <w:rPr>
          <w:rFonts w:ascii="Verdana" w:eastAsiaTheme="minorEastAsia" w:hAnsi="Verdana" w:cs="Arial"/>
          <w:sz w:val="20"/>
          <w:szCs w:val="20"/>
        </w:rPr>
      </w:pPr>
    </w:p>
    <w:p w14:paraId="3115F26F" w14:textId="77777777" w:rsidR="002F77D9" w:rsidRDefault="0086282C" w:rsidP="00F95BB6">
      <w:pPr>
        <w:spacing w:after="0"/>
        <w:rPr>
          <w:rFonts w:ascii="Verdana" w:eastAsiaTheme="minorEastAsia" w:hAnsi="Verdana" w:cs="Arial"/>
          <w:sz w:val="20"/>
          <w:szCs w:val="20"/>
        </w:rPr>
      </w:pPr>
      <w:r>
        <w:rPr>
          <w:rFonts w:ascii="Verdana" w:hAnsi="Verdana"/>
          <w:sz w:val="20"/>
          <w:szCs w:val="20"/>
        </w:rPr>
        <w:tab/>
        <w:t xml:space="preserve">In the first paragraph, transport costs are defined as: </w:t>
      </w:r>
    </w:p>
    <w:p w14:paraId="32025D19" w14:textId="77777777" w:rsidR="002F77D9" w:rsidRPr="00F95BB6" w:rsidRDefault="00667FC5" w:rsidP="00F95BB6">
      <w:pPr>
        <w:pStyle w:val="Lijstalinea"/>
        <w:numPr>
          <w:ilvl w:val="0"/>
          <w:numId w:val="7"/>
        </w:numPr>
        <w:spacing w:after="0"/>
        <w:ind w:hanging="720"/>
        <w:rPr>
          <w:rFonts w:ascii="Verdana" w:eastAsiaTheme="minorEastAsia" w:hAnsi="Verdana" w:cs="Arial"/>
          <w:sz w:val="20"/>
          <w:szCs w:val="20"/>
        </w:rPr>
      </w:pPr>
      <w:r>
        <w:rPr>
          <w:rFonts w:ascii="Verdana" w:hAnsi="Verdana"/>
          <w:sz w:val="20"/>
          <w:szCs w:val="20"/>
        </w:rPr>
        <w:t>the cost of rail transport;</w:t>
      </w:r>
    </w:p>
    <w:p w14:paraId="1FBA5A95" w14:textId="77777777" w:rsidR="002F77D9" w:rsidRPr="00F95BB6" w:rsidRDefault="00667FC5" w:rsidP="00F95BB6">
      <w:pPr>
        <w:pStyle w:val="Lijstalinea"/>
        <w:numPr>
          <w:ilvl w:val="0"/>
          <w:numId w:val="7"/>
        </w:numPr>
        <w:spacing w:after="0"/>
        <w:ind w:hanging="720"/>
        <w:rPr>
          <w:rFonts w:ascii="Verdana" w:eastAsiaTheme="minorEastAsia" w:hAnsi="Verdana" w:cs="Arial"/>
          <w:sz w:val="20"/>
          <w:szCs w:val="20"/>
        </w:rPr>
      </w:pPr>
      <w:r>
        <w:rPr>
          <w:rFonts w:ascii="Verdana" w:hAnsi="Verdana"/>
          <w:sz w:val="20"/>
          <w:szCs w:val="20"/>
        </w:rPr>
        <w:t xml:space="preserve">the cost of </w:t>
      </w:r>
      <w:proofErr w:type="spellStart"/>
      <w:r>
        <w:rPr>
          <w:rFonts w:ascii="Verdana" w:hAnsi="Verdana"/>
          <w:sz w:val="20"/>
          <w:szCs w:val="20"/>
        </w:rPr>
        <w:t>transshipping</w:t>
      </w:r>
      <w:proofErr w:type="spellEnd"/>
      <w:r>
        <w:rPr>
          <w:rFonts w:ascii="Verdana" w:hAnsi="Verdana"/>
          <w:sz w:val="20"/>
          <w:szCs w:val="20"/>
        </w:rPr>
        <w:t xml:space="preserve"> ITUs between transport equipment of different modes;</w:t>
      </w:r>
    </w:p>
    <w:p w14:paraId="4B31B914" w14:textId="77777777" w:rsidR="00667FC5" w:rsidRPr="00F95BB6" w:rsidRDefault="00667FC5" w:rsidP="00F95BB6">
      <w:pPr>
        <w:pStyle w:val="Lijstalinea"/>
        <w:numPr>
          <w:ilvl w:val="0"/>
          <w:numId w:val="7"/>
        </w:numPr>
        <w:spacing w:after="0"/>
        <w:ind w:hanging="720"/>
        <w:rPr>
          <w:rFonts w:ascii="Verdana" w:eastAsiaTheme="minorEastAsia" w:hAnsi="Verdana" w:cs="Arial"/>
          <w:sz w:val="20"/>
          <w:szCs w:val="20"/>
        </w:rPr>
      </w:pPr>
      <w:r>
        <w:rPr>
          <w:rFonts w:ascii="Verdana" w:hAnsi="Verdana"/>
          <w:sz w:val="20"/>
          <w:szCs w:val="20"/>
        </w:rPr>
        <w:t>if any, the cost of road transport between the point of departure and the intermodal terminal and between the intermodal terminal and the destination.</w:t>
      </w:r>
    </w:p>
    <w:p w14:paraId="4D9621E3" w14:textId="77777777" w:rsidR="0086282C" w:rsidRPr="0086282C" w:rsidRDefault="0086282C" w:rsidP="00F95BB6">
      <w:pPr>
        <w:spacing w:after="0"/>
        <w:rPr>
          <w:rFonts w:ascii="Verdana" w:eastAsiaTheme="minorEastAsia" w:hAnsi="Verdana" w:cs="Arial"/>
          <w:sz w:val="20"/>
          <w:szCs w:val="20"/>
        </w:rPr>
      </w:pPr>
    </w:p>
    <w:p w14:paraId="139ED157" w14:textId="77777777" w:rsidR="00917D39" w:rsidRDefault="0086282C" w:rsidP="00F95BB6">
      <w:pPr>
        <w:spacing w:after="0"/>
        <w:rPr>
          <w:rFonts w:ascii="Verdana" w:eastAsiaTheme="minorEastAsia" w:hAnsi="Verdana" w:cs="Arial"/>
          <w:sz w:val="20"/>
          <w:szCs w:val="20"/>
        </w:rPr>
      </w:pPr>
      <w:r>
        <w:rPr>
          <w:rFonts w:ascii="Verdana" w:hAnsi="Verdana"/>
          <w:sz w:val="20"/>
          <w:szCs w:val="20"/>
        </w:rPr>
        <w:tab/>
        <w:t xml:space="preserve">The subsidies referred to in chapters 2 and 3 of this order may not be combined with other state aid as referred to in Article 107 of the </w:t>
      </w:r>
      <w:hyperlink r:id="rId12" w:history="1">
        <w:r>
          <w:rPr>
            <w:rFonts w:ascii="Verdana" w:hAnsi="Verdana"/>
            <w:sz w:val="20"/>
            <w:szCs w:val="20"/>
          </w:rPr>
          <w:t xml:space="preserve">Treaty on the Functioning of the European Union, </w:t>
        </w:r>
      </w:hyperlink>
      <w:r>
        <w:rPr>
          <w:rFonts w:ascii="Verdana" w:hAnsi="Verdana"/>
          <w:sz w:val="20"/>
          <w:szCs w:val="20"/>
        </w:rPr>
        <w:t>or with other community financing if the cumulated aid thereby exceeds the ceilings laid down in point 6 of the Community guidelines on State aid for railway undertakings (OJ 22 July 2008,</w:t>
      </w:r>
      <w:r>
        <w:t xml:space="preserve"> </w:t>
      </w:r>
      <w:r>
        <w:rPr>
          <w:rFonts w:ascii="Verdana" w:hAnsi="Verdana"/>
          <w:sz w:val="20"/>
          <w:szCs w:val="20"/>
        </w:rPr>
        <w:t>C 184).</w:t>
      </w:r>
    </w:p>
    <w:p w14:paraId="4ED1C235" w14:textId="77777777" w:rsidR="000B5982" w:rsidRDefault="000B5982" w:rsidP="00F95BB6">
      <w:pPr>
        <w:spacing w:after="0"/>
        <w:rPr>
          <w:rFonts w:ascii="Verdana" w:eastAsiaTheme="minorEastAsia" w:hAnsi="Verdana" w:cs="Arial"/>
          <w:sz w:val="20"/>
          <w:szCs w:val="20"/>
        </w:rPr>
      </w:pPr>
    </w:p>
    <w:p w14:paraId="60144FA8" w14:textId="77777777" w:rsidR="000B5982" w:rsidRDefault="000B5982" w:rsidP="00D47AED">
      <w:pPr>
        <w:spacing w:after="0"/>
        <w:rPr>
          <w:rFonts w:ascii="Verdana" w:eastAsiaTheme="minorEastAsia" w:hAnsi="Verdana"/>
          <w:sz w:val="20"/>
          <w:szCs w:val="20"/>
        </w:rPr>
      </w:pPr>
      <w:r>
        <w:rPr>
          <w:rFonts w:ascii="Verdana" w:hAnsi="Verdana"/>
          <w:sz w:val="20"/>
          <w:szCs w:val="20"/>
        </w:rPr>
        <w:t xml:space="preserve">The subsidies </w:t>
      </w:r>
      <w:r>
        <w:rPr>
          <w:rFonts w:ascii="Verdana" w:hAnsi="Verdana"/>
          <w:bCs/>
          <w:sz w:val="20"/>
          <w:szCs w:val="20"/>
        </w:rPr>
        <w:t xml:space="preserve">referred to in articles 3 and 7 </w:t>
      </w:r>
      <w:r>
        <w:rPr>
          <w:rFonts w:ascii="Verdana" w:hAnsi="Verdana"/>
          <w:sz w:val="20"/>
          <w:szCs w:val="20"/>
        </w:rPr>
        <w:t>may not be combined with the subsidies granted in the context of the open project calls 'Hinterland connectivity: new and innovative impulses for the Flemish hinterland' (6/11/2017) and 'Logistics and ports: New impulses for the logistics region of Flanders' (4/06/2019).</w:t>
      </w:r>
    </w:p>
    <w:p w14:paraId="0640C929" w14:textId="77777777" w:rsidR="000824B6" w:rsidRPr="0086282C" w:rsidRDefault="000824B6" w:rsidP="00D47AED">
      <w:pPr>
        <w:spacing w:after="0"/>
        <w:rPr>
          <w:rFonts w:ascii="Verdana" w:eastAsiaTheme="minorEastAsia" w:hAnsi="Verdana" w:cs="Arial"/>
          <w:sz w:val="20"/>
          <w:szCs w:val="20"/>
        </w:rPr>
      </w:pPr>
    </w:p>
    <w:p w14:paraId="7E71D74C" w14:textId="77777777" w:rsidR="000824B6" w:rsidRPr="000E6346" w:rsidRDefault="000824B6" w:rsidP="000824B6">
      <w:pPr>
        <w:spacing w:after="0"/>
        <w:rPr>
          <w:rFonts w:ascii="Verdana" w:eastAsiaTheme="minorEastAsia" w:hAnsi="Verdana" w:cs="Arial"/>
          <w:b/>
          <w:sz w:val="20"/>
          <w:szCs w:val="20"/>
        </w:rPr>
      </w:pPr>
      <w:r>
        <w:rPr>
          <w:rFonts w:ascii="Verdana" w:hAnsi="Verdana"/>
          <w:b/>
          <w:bCs/>
          <w:sz w:val="20"/>
          <w:szCs w:val="20"/>
        </w:rPr>
        <w:t xml:space="preserve">Art. 12. </w:t>
      </w:r>
      <w:r>
        <w:rPr>
          <w:rFonts w:ascii="Verdana" w:hAnsi="Verdana"/>
          <w:sz w:val="20"/>
          <w:szCs w:val="20"/>
        </w:rPr>
        <w:t>The department shall be authorised to request detailed information on each train that is eligible for the subsidies referred to in chapters 2 and 3 of this order.</w:t>
      </w:r>
    </w:p>
    <w:p w14:paraId="705D81A8" w14:textId="77777777" w:rsidR="00FE2A35" w:rsidRDefault="00FE2A35" w:rsidP="00F95BB6">
      <w:pPr>
        <w:spacing w:after="0"/>
        <w:rPr>
          <w:rFonts w:ascii="Verdana" w:eastAsiaTheme="minorEastAsia" w:hAnsi="Verdana" w:cs="Arial"/>
          <w:sz w:val="20"/>
          <w:szCs w:val="20"/>
        </w:rPr>
      </w:pPr>
    </w:p>
    <w:p w14:paraId="4E43FE65" w14:textId="77777777" w:rsidR="00FE2A35" w:rsidRDefault="00FE2A35" w:rsidP="00F95BB6">
      <w:pPr>
        <w:spacing w:after="0"/>
        <w:rPr>
          <w:rFonts w:ascii="Verdana" w:eastAsiaTheme="minorEastAsia" w:hAnsi="Verdana" w:cs="Arial"/>
          <w:sz w:val="20"/>
          <w:szCs w:val="20"/>
        </w:rPr>
      </w:pPr>
      <w:r>
        <w:rPr>
          <w:rFonts w:ascii="Verdana" w:hAnsi="Verdana"/>
          <w:sz w:val="20"/>
          <w:szCs w:val="20"/>
        </w:rPr>
        <w:t>Chapter 5. Final provisions</w:t>
      </w:r>
    </w:p>
    <w:p w14:paraId="218345FB" w14:textId="77777777" w:rsidR="00D17D6A" w:rsidRDefault="00D17D6A" w:rsidP="00F95BB6">
      <w:pPr>
        <w:spacing w:after="0"/>
        <w:rPr>
          <w:rFonts w:ascii="Verdana" w:eastAsiaTheme="minorEastAsia" w:hAnsi="Verdana" w:cs="Arial"/>
          <w:b/>
          <w:sz w:val="20"/>
          <w:szCs w:val="20"/>
        </w:rPr>
      </w:pPr>
    </w:p>
    <w:p w14:paraId="44206721" w14:textId="77777777" w:rsidR="0086282C" w:rsidRDefault="005B3547" w:rsidP="00F95BB6">
      <w:pPr>
        <w:spacing w:after="0"/>
        <w:rPr>
          <w:rFonts w:ascii="Verdana" w:eastAsiaTheme="minorEastAsia" w:hAnsi="Verdana" w:cs="Arial"/>
          <w:sz w:val="20"/>
          <w:szCs w:val="20"/>
        </w:rPr>
      </w:pPr>
      <w:r>
        <w:rPr>
          <w:rFonts w:ascii="Verdana" w:hAnsi="Verdana"/>
          <w:b/>
          <w:sz w:val="20"/>
          <w:szCs w:val="20"/>
        </w:rPr>
        <w:t>Art. 13.</w:t>
      </w:r>
      <w:r>
        <w:rPr>
          <w:rFonts w:ascii="Verdana" w:hAnsi="Verdana"/>
          <w:sz w:val="20"/>
          <w:szCs w:val="20"/>
        </w:rPr>
        <w:t xml:space="preserve"> The present order shall enter into force on 1 October 2019 and shall cease to apply on 31 October 2023.</w:t>
      </w:r>
    </w:p>
    <w:p w14:paraId="2A2138A1" w14:textId="77777777" w:rsidR="00891212" w:rsidRDefault="00891212" w:rsidP="00D85C2C">
      <w:pPr>
        <w:spacing w:after="0"/>
        <w:rPr>
          <w:rFonts w:ascii="Verdana" w:eastAsiaTheme="minorEastAsia" w:hAnsi="Verdana" w:cs="Arial"/>
          <w:sz w:val="20"/>
          <w:szCs w:val="20"/>
        </w:rPr>
      </w:pPr>
    </w:p>
    <w:p w14:paraId="57863195" w14:textId="77777777" w:rsidR="00122D4A" w:rsidRPr="00F95BB6" w:rsidRDefault="00122D4A" w:rsidP="00D85C2C">
      <w:pPr>
        <w:spacing w:after="0"/>
        <w:rPr>
          <w:rFonts w:ascii="Verdana" w:hAnsi="Verdana" w:cs="Times-Bold"/>
          <w:bCs/>
          <w:sz w:val="20"/>
          <w:szCs w:val="20"/>
        </w:rPr>
      </w:pPr>
      <w:r>
        <w:rPr>
          <w:rFonts w:ascii="Verdana" w:hAnsi="Verdana"/>
          <w:b/>
          <w:bCs/>
          <w:sz w:val="20"/>
          <w:szCs w:val="20"/>
        </w:rPr>
        <w:t>Art. 14.</w:t>
      </w:r>
      <w:r>
        <w:rPr>
          <w:rFonts w:ascii="Verdana" w:hAnsi="Verdana"/>
          <w:bCs/>
          <w:sz w:val="20"/>
          <w:szCs w:val="20"/>
        </w:rPr>
        <w:t xml:space="preserve"> </w:t>
      </w:r>
      <w:r>
        <w:rPr>
          <w:rFonts w:ascii="Verdana" w:hAnsi="Verdana"/>
          <w:sz w:val="20"/>
          <w:szCs w:val="20"/>
        </w:rPr>
        <w:t>The Flemish Minister responsible for mobility policy, public works and transport shall be charged with implementing this order.</w:t>
      </w:r>
    </w:p>
    <w:p w14:paraId="52290AB4" w14:textId="77777777" w:rsidR="00122D4A" w:rsidRPr="0086282C" w:rsidRDefault="00122D4A" w:rsidP="00F95BB6">
      <w:pPr>
        <w:spacing w:after="0"/>
        <w:rPr>
          <w:rFonts w:ascii="Verdana" w:eastAsiaTheme="minorEastAsia" w:hAnsi="Verdana" w:cs="Arial"/>
          <w:sz w:val="20"/>
          <w:szCs w:val="20"/>
        </w:rPr>
      </w:pPr>
    </w:p>
    <w:p w14:paraId="0B8C729C" w14:textId="77777777" w:rsidR="00122D4A" w:rsidRPr="0086282C" w:rsidRDefault="00122D4A" w:rsidP="00F95BB6">
      <w:pPr>
        <w:spacing w:after="0"/>
        <w:rPr>
          <w:rFonts w:ascii="Verdana" w:eastAsiaTheme="minorEastAsia" w:hAnsi="Verdana" w:cs="Arial"/>
          <w:sz w:val="20"/>
          <w:szCs w:val="20"/>
        </w:rPr>
      </w:pPr>
    </w:p>
    <w:p w14:paraId="26158EA2" w14:textId="77777777" w:rsidR="00122D4A" w:rsidRPr="0086282C" w:rsidRDefault="00122D4A" w:rsidP="00D85C2C">
      <w:pPr>
        <w:spacing w:after="0"/>
        <w:rPr>
          <w:rFonts w:ascii="Verdana" w:hAnsi="Verdana" w:cs="Times-Roman"/>
          <w:sz w:val="20"/>
          <w:szCs w:val="20"/>
        </w:rPr>
      </w:pPr>
      <w:r>
        <w:rPr>
          <w:rFonts w:ascii="Verdana" w:hAnsi="Verdana"/>
          <w:sz w:val="20"/>
          <w:szCs w:val="20"/>
        </w:rPr>
        <w:t>Brussels, 19 July 2019</w:t>
      </w:r>
    </w:p>
    <w:p w14:paraId="240DAD07" w14:textId="77777777" w:rsidR="00122D4A" w:rsidRPr="0086282C" w:rsidRDefault="00122D4A">
      <w:pPr>
        <w:spacing w:after="0"/>
        <w:rPr>
          <w:rFonts w:ascii="Verdana" w:hAnsi="Verdana" w:cs="Times-Roman"/>
          <w:sz w:val="20"/>
          <w:szCs w:val="20"/>
        </w:rPr>
      </w:pPr>
    </w:p>
    <w:p w14:paraId="3BB3A6A8" w14:textId="77777777" w:rsidR="00122D4A" w:rsidRPr="0086282C" w:rsidRDefault="00122D4A">
      <w:pPr>
        <w:spacing w:after="0"/>
        <w:rPr>
          <w:rFonts w:ascii="Verdana" w:hAnsi="Verdana" w:cs="Times-Roman"/>
          <w:sz w:val="20"/>
          <w:szCs w:val="20"/>
        </w:rPr>
      </w:pPr>
    </w:p>
    <w:p w14:paraId="760D4EF3" w14:textId="77777777" w:rsidR="00FF4890" w:rsidRDefault="00FF4890">
      <w:pPr>
        <w:spacing w:after="0"/>
        <w:jc w:val="center"/>
        <w:rPr>
          <w:rFonts w:ascii="Verdana" w:hAnsi="Verdana" w:cs="Times-Roman"/>
          <w:sz w:val="20"/>
          <w:szCs w:val="20"/>
        </w:rPr>
      </w:pPr>
      <w:r>
        <w:rPr>
          <w:rFonts w:ascii="Verdana" w:hAnsi="Verdana"/>
          <w:sz w:val="20"/>
          <w:szCs w:val="20"/>
        </w:rPr>
        <w:t xml:space="preserve">The Minister-President of the Government of Flanders, </w:t>
      </w:r>
    </w:p>
    <w:p w14:paraId="779AAAE6" w14:textId="77777777" w:rsidR="00122D4A" w:rsidRPr="0086282C" w:rsidRDefault="00FF4890">
      <w:pPr>
        <w:spacing w:after="0"/>
        <w:jc w:val="center"/>
        <w:rPr>
          <w:rFonts w:ascii="Verdana" w:hAnsi="Verdana" w:cs="Times-Roman"/>
          <w:sz w:val="20"/>
          <w:szCs w:val="20"/>
        </w:rPr>
      </w:pPr>
      <w:r>
        <w:rPr>
          <w:rFonts w:ascii="Verdana" w:hAnsi="Verdana"/>
          <w:sz w:val="20"/>
          <w:szCs w:val="20"/>
        </w:rPr>
        <w:t>Flemish Minister for Home Affairs, Civic Integration, Housing, Equal Opportunities and Poverty Reduction,</w:t>
      </w:r>
    </w:p>
    <w:p w14:paraId="039B25AE" w14:textId="77777777" w:rsidR="00122D4A" w:rsidRPr="0086282C" w:rsidRDefault="00122D4A">
      <w:pPr>
        <w:spacing w:after="0"/>
        <w:jc w:val="center"/>
        <w:rPr>
          <w:rFonts w:ascii="Verdana" w:hAnsi="Verdana" w:cs="Times-Roman"/>
          <w:sz w:val="20"/>
          <w:szCs w:val="20"/>
        </w:rPr>
      </w:pPr>
    </w:p>
    <w:p w14:paraId="72013BE1" w14:textId="77777777" w:rsidR="00122D4A" w:rsidRPr="0086282C" w:rsidRDefault="00122D4A">
      <w:pPr>
        <w:spacing w:after="0"/>
        <w:jc w:val="center"/>
        <w:rPr>
          <w:rFonts w:ascii="Verdana" w:hAnsi="Verdana" w:cs="Times-Roman"/>
          <w:sz w:val="20"/>
          <w:szCs w:val="20"/>
        </w:rPr>
      </w:pPr>
    </w:p>
    <w:p w14:paraId="3463255E" w14:textId="77777777" w:rsidR="00122D4A" w:rsidRPr="0086282C" w:rsidRDefault="00122D4A">
      <w:pPr>
        <w:spacing w:after="0"/>
        <w:jc w:val="center"/>
        <w:rPr>
          <w:rFonts w:ascii="Verdana" w:hAnsi="Verdana" w:cs="Times-Roman"/>
          <w:sz w:val="20"/>
          <w:szCs w:val="20"/>
        </w:rPr>
      </w:pPr>
    </w:p>
    <w:p w14:paraId="5A9D6016" w14:textId="77777777" w:rsidR="00122D4A" w:rsidRPr="0086282C" w:rsidRDefault="00122D4A">
      <w:pPr>
        <w:spacing w:after="0"/>
        <w:jc w:val="center"/>
        <w:rPr>
          <w:rFonts w:ascii="Verdana" w:hAnsi="Verdana" w:cs="Times-Roman"/>
          <w:sz w:val="20"/>
          <w:szCs w:val="20"/>
        </w:rPr>
      </w:pPr>
    </w:p>
    <w:p w14:paraId="627C1D22" w14:textId="77777777" w:rsidR="00122D4A" w:rsidRPr="0086282C" w:rsidRDefault="00122D4A">
      <w:pPr>
        <w:spacing w:after="0"/>
        <w:jc w:val="center"/>
        <w:rPr>
          <w:rFonts w:ascii="Verdana" w:hAnsi="Verdana" w:cs="Times-Roman"/>
          <w:sz w:val="20"/>
          <w:szCs w:val="20"/>
        </w:rPr>
      </w:pPr>
    </w:p>
    <w:p w14:paraId="4E7685D4" w14:textId="77777777" w:rsidR="00122D4A" w:rsidRPr="0086282C" w:rsidRDefault="00F81C32">
      <w:pPr>
        <w:spacing w:after="0"/>
        <w:jc w:val="center"/>
        <w:rPr>
          <w:rFonts w:ascii="Verdana" w:hAnsi="Verdana" w:cs="Times-Roman"/>
          <w:sz w:val="20"/>
          <w:szCs w:val="20"/>
        </w:rPr>
      </w:pPr>
      <w:r>
        <w:rPr>
          <w:rFonts w:ascii="Verdana" w:hAnsi="Verdana"/>
          <w:sz w:val="20"/>
          <w:szCs w:val="20"/>
        </w:rPr>
        <w:t>Liesbeth HOMANS</w:t>
      </w:r>
    </w:p>
    <w:p w14:paraId="33F9061C" w14:textId="77777777" w:rsidR="00122D4A" w:rsidRDefault="00122D4A">
      <w:pPr>
        <w:spacing w:after="0"/>
        <w:jc w:val="center"/>
        <w:rPr>
          <w:rFonts w:ascii="Verdana" w:hAnsi="Verdana" w:cs="Times-Roman"/>
          <w:sz w:val="20"/>
          <w:szCs w:val="20"/>
        </w:rPr>
      </w:pPr>
    </w:p>
    <w:p w14:paraId="736C2FD1" w14:textId="77777777" w:rsidR="00FF4890" w:rsidRPr="0086282C" w:rsidRDefault="00FF4890">
      <w:pPr>
        <w:spacing w:after="0"/>
        <w:jc w:val="center"/>
        <w:rPr>
          <w:rFonts w:ascii="Verdana" w:hAnsi="Verdana" w:cs="Times-Roman"/>
          <w:sz w:val="20"/>
          <w:szCs w:val="20"/>
        </w:rPr>
      </w:pPr>
    </w:p>
    <w:p w14:paraId="1873685A" w14:textId="77777777" w:rsidR="00122D4A" w:rsidRPr="0086282C" w:rsidRDefault="00122D4A">
      <w:pPr>
        <w:spacing w:after="0"/>
        <w:jc w:val="center"/>
        <w:rPr>
          <w:rFonts w:ascii="Verdana" w:hAnsi="Verdana" w:cs="Times-Roman"/>
          <w:sz w:val="20"/>
          <w:szCs w:val="20"/>
        </w:rPr>
      </w:pPr>
    </w:p>
    <w:p w14:paraId="1E770F40" w14:textId="77777777" w:rsidR="00FF4890" w:rsidRDefault="00F81C32">
      <w:pPr>
        <w:spacing w:after="0"/>
        <w:jc w:val="center"/>
        <w:rPr>
          <w:rFonts w:ascii="Verdana" w:eastAsia="Times New Roman" w:hAnsi="Verdana" w:cs="Arial"/>
          <w:sz w:val="20"/>
          <w:szCs w:val="20"/>
        </w:rPr>
      </w:pPr>
      <w:r>
        <w:rPr>
          <w:rFonts w:ascii="Verdana" w:hAnsi="Verdana"/>
          <w:sz w:val="20"/>
          <w:szCs w:val="20"/>
        </w:rPr>
        <w:t xml:space="preserve">Flemish Minister for Mobility, Public Works, the Vlaamse Rand, Foreign Policy, Immovable Heritage and Animal Welfare, </w:t>
      </w:r>
    </w:p>
    <w:p w14:paraId="5890D9D3" w14:textId="77777777" w:rsidR="00122D4A" w:rsidRPr="0086282C" w:rsidRDefault="00F81C32">
      <w:pPr>
        <w:spacing w:after="0"/>
        <w:jc w:val="center"/>
        <w:rPr>
          <w:rFonts w:ascii="Verdana" w:hAnsi="Verdana" w:cs="Times-Roman"/>
          <w:sz w:val="20"/>
          <w:szCs w:val="20"/>
        </w:rPr>
      </w:pPr>
      <w:r>
        <w:rPr>
          <w:rFonts w:ascii="Verdana" w:hAnsi="Verdana"/>
          <w:sz w:val="20"/>
          <w:szCs w:val="20"/>
        </w:rPr>
        <w:t>Vice-Minister-President of the Government of Flanders</w:t>
      </w:r>
    </w:p>
    <w:p w14:paraId="480149BF" w14:textId="77777777" w:rsidR="00122D4A" w:rsidRPr="0086282C" w:rsidRDefault="00122D4A">
      <w:pPr>
        <w:spacing w:after="0"/>
        <w:jc w:val="center"/>
        <w:rPr>
          <w:rFonts w:ascii="Verdana" w:hAnsi="Verdana" w:cs="Times-Roman"/>
          <w:sz w:val="20"/>
          <w:szCs w:val="20"/>
        </w:rPr>
      </w:pPr>
    </w:p>
    <w:p w14:paraId="7476F2E9" w14:textId="77777777" w:rsidR="00122D4A" w:rsidRPr="0086282C" w:rsidRDefault="00122D4A">
      <w:pPr>
        <w:spacing w:after="0"/>
        <w:jc w:val="center"/>
        <w:rPr>
          <w:rFonts w:ascii="Verdana" w:hAnsi="Verdana" w:cs="Times-Roman"/>
          <w:sz w:val="20"/>
          <w:szCs w:val="20"/>
        </w:rPr>
      </w:pPr>
    </w:p>
    <w:p w14:paraId="1251BC46" w14:textId="77777777" w:rsidR="00122D4A" w:rsidRPr="0086282C" w:rsidRDefault="00122D4A">
      <w:pPr>
        <w:spacing w:after="0"/>
        <w:jc w:val="center"/>
        <w:rPr>
          <w:rFonts w:ascii="Verdana" w:hAnsi="Verdana" w:cs="Times-Roman"/>
          <w:sz w:val="20"/>
          <w:szCs w:val="20"/>
        </w:rPr>
      </w:pPr>
    </w:p>
    <w:p w14:paraId="64B084FF" w14:textId="77777777" w:rsidR="00122D4A" w:rsidRPr="0086282C" w:rsidRDefault="00122D4A">
      <w:pPr>
        <w:spacing w:after="0"/>
        <w:jc w:val="center"/>
        <w:rPr>
          <w:rFonts w:ascii="Verdana" w:hAnsi="Verdana" w:cs="Times-Roman"/>
          <w:sz w:val="20"/>
          <w:szCs w:val="20"/>
        </w:rPr>
      </w:pPr>
    </w:p>
    <w:p w14:paraId="62EB13FC" w14:textId="77777777" w:rsidR="00122D4A" w:rsidRPr="0086282C" w:rsidRDefault="00122D4A">
      <w:pPr>
        <w:spacing w:after="0"/>
        <w:jc w:val="center"/>
        <w:rPr>
          <w:rFonts w:ascii="Verdana" w:hAnsi="Verdana" w:cs="Times-Roman"/>
          <w:sz w:val="20"/>
          <w:szCs w:val="20"/>
        </w:rPr>
      </w:pPr>
    </w:p>
    <w:p w14:paraId="6F6A9338" w14:textId="77777777" w:rsidR="009B4133" w:rsidRPr="00F95BB6" w:rsidRDefault="00122D4A" w:rsidP="00F95BB6">
      <w:pPr>
        <w:spacing w:after="0"/>
        <w:jc w:val="center"/>
        <w:rPr>
          <w:rFonts w:ascii="Verdana" w:hAnsi="Verdana" w:cs="Arial"/>
          <w:sz w:val="20"/>
          <w:szCs w:val="20"/>
        </w:rPr>
      </w:pPr>
      <w:r>
        <w:rPr>
          <w:rFonts w:ascii="Verdana" w:hAnsi="Verdana"/>
          <w:sz w:val="20"/>
          <w:szCs w:val="20"/>
        </w:rPr>
        <w:t>Ben WEYTS</w:t>
      </w:r>
    </w:p>
    <w:sectPr w:rsidR="009B4133" w:rsidRPr="00F95BB6" w:rsidSect="00054D21">
      <w:headerReference w:type="even" r:id="rId13"/>
      <w:headerReference w:type="default" r:id="rId14"/>
      <w:footerReference w:type="even" r:id="rId15"/>
      <w:footerReference w:type="default" r:id="rId16"/>
      <w:headerReference w:type="first" r:id="rId17"/>
      <w:footerReference w:type="first" r:id="rId18"/>
      <w:pgSz w:w="11906" w:h="16838"/>
      <w:pgMar w:top="1247" w:right="1814" w:bottom="1247" w:left="18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BDCAA" w14:textId="77777777" w:rsidR="00C74927" w:rsidRDefault="00C74927" w:rsidP="0086282C">
      <w:pPr>
        <w:spacing w:after="0" w:line="240" w:lineRule="auto"/>
      </w:pPr>
      <w:r>
        <w:separator/>
      </w:r>
    </w:p>
  </w:endnote>
  <w:endnote w:type="continuationSeparator" w:id="0">
    <w:p w14:paraId="5DBF113D" w14:textId="77777777" w:rsidR="00C74927" w:rsidRDefault="00C74927" w:rsidP="00862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F4CA8" w14:textId="77777777" w:rsidR="000824B6" w:rsidRDefault="000824B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18"/>
        <w:szCs w:val="18"/>
      </w:rPr>
      <w:id w:val="-1172483663"/>
      <w:docPartObj>
        <w:docPartGallery w:val="Page Numbers (Bottom of Page)"/>
        <w:docPartUnique/>
      </w:docPartObj>
    </w:sdtPr>
    <w:sdtEndPr/>
    <w:sdtContent>
      <w:sdt>
        <w:sdtPr>
          <w:rPr>
            <w:rFonts w:ascii="Verdana" w:hAnsi="Verdana"/>
            <w:sz w:val="18"/>
            <w:szCs w:val="18"/>
          </w:rPr>
          <w:id w:val="-1769616900"/>
          <w:docPartObj>
            <w:docPartGallery w:val="Page Numbers (Top of Page)"/>
            <w:docPartUnique/>
          </w:docPartObj>
        </w:sdtPr>
        <w:sdtEndPr/>
        <w:sdtContent>
          <w:p w14:paraId="59AB4663" w14:textId="77777777" w:rsidR="0086282C" w:rsidRPr="00F95BB6" w:rsidRDefault="0086282C">
            <w:pPr>
              <w:pStyle w:val="Voettekst"/>
              <w:jc w:val="right"/>
              <w:rPr>
                <w:rFonts w:ascii="Verdana" w:hAnsi="Verdana"/>
                <w:sz w:val="18"/>
                <w:szCs w:val="18"/>
              </w:rPr>
            </w:pPr>
            <w:r>
              <w:rPr>
                <w:rFonts w:ascii="Verdana" w:hAnsi="Verdana"/>
                <w:sz w:val="18"/>
                <w:szCs w:val="18"/>
              </w:rPr>
              <w:t xml:space="preserve">Page </w:t>
            </w:r>
            <w:r w:rsidRPr="00F95BB6">
              <w:rPr>
                <w:rFonts w:ascii="Verdana" w:hAnsi="Verdana"/>
                <w:bCs/>
                <w:sz w:val="18"/>
                <w:szCs w:val="18"/>
              </w:rPr>
              <w:fldChar w:fldCharType="begin"/>
            </w:r>
            <w:r w:rsidRPr="00F95BB6">
              <w:rPr>
                <w:rFonts w:ascii="Verdana" w:hAnsi="Verdana"/>
                <w:bCs/>
                <w:sz w:val="18"/>
                <w:szCs w:val="18"/>
              </w:rPr>
              <w:instrText>PAGE</w:instrText>
            </w:r>
            <w:r w:rsidRPr="00F95BB6">
              <w:rPr>
                <w:rFonts w:ascii="Verdana" w:hAnsi="Verdana"/>
                <w:bCs/>
                <w:sz w:val="18"/>
                <w:szCs w:val="18"/>
              </w:rPr>
              <w:fldChar w:fldCharType="separate"/>
            </w:r>
            <w:r w:rsidR="00E6400D">
              <w:rPr>
                <w:rFonts w:ascii="Verdana" w:hAnsi="Verdana"/>
                <w:bCs/>
                <w:sz w:val="18"/>
                <w:szCs w:val="18"/>
              </w:rPr>
              <w:t>4</w:t>
            </w:r>
            <w:r w:rsidRPr="00F95BB6">
              <w:rPr>
                <w:rFonts w:ascii="Verdana" w:hAnsi="Verdana"/>
                <w:bCs/>
                <w:sz w:val="18"/>
                <w:szCs w:val="18"/>
              </w:rPr>
              <w:fldChar w:fldCharType="end"/>
            </w:r>
            <w:r>
              <w:rPr>
                <w:rFonts w:ascii="Verdana" w:hAnsi="Verdana"/>
                <w:sz w:val="18"/>
                <w:szCs w:val="18"/>
              </w:rPr>
              <w:t xml:space="preserve"> of </w:t>
            </w:r>
            <w:r w:rsidRPr="00F95BB6">
              <w:rPr>
                <w:rFonts w:ascii="Verdana" w:hAnsi="Verdana"/>
                <w:bCs/>
                <w:sz w:val="18"/>
                <w:szCs w:val="18"/>
              </w:rPr>
              <w:fldChar w:fldCharType="begin"/>
            </w:r>
            <w:r w:rsidRPr="00F95BB6">
              <w:rPr>
                <w:rFonts w:ascii="Verdana" w:hAnsi="Verdana"/>
                <w:bCs/>
                <w:sz w:val="18"/>
                <w:szCs w:val="18"/>
              </w:rPr>
              <w:instrText>NUMPAGES</w:instrText>
            </w:r>
            <w:r w:rsidRPr="00F95BB6">
              <w:rPr>
                <w:rFonts w:ascii="Verdana" w:hAnsi="Verdana"/>
                <w:bCs/>
                <w:sz w:val="18"/>
                <w:szCs w:val="18"/>
              </w:rPr>
              <w:fldChar w:fldCharType="separate"/>
            </w:r>
            <w:r w:rsidR="00E6400D">
              <w:rPr>
                <w:rFonts w:ascii="Verdana" w:hAnsi="Verdana"/>
                <w:bCs/>
                <w:sz w:val="18"/>
                <w:szCs w:val="18"/>
              </w:rPr>
              <w:t>5</w:t>
            </w:r>
            <w:r w:rsidRPr="00F95BB6">
              <w:rPr>
                <w:rFonts w:ascii="Verdana" w:hAnsi="Verdana"/>
                <w:bCs/>
                <w:sz w:val="18"/>
                <w:szCs w:val="18"/>
              </w:rPr>
              <w:fldChar w:fldCharType="end"/>
            </w:r>
          </w:p>
        </w:sdtContent>
      </w:sdt>
    </w:sdtContent>
  </w:sdt>
  <w:p w14:paraId="1AB82F31" w14:textId="77777777" w:rsidR="0086282C" w:rsidRDefault="0086282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5B37B" w14:textId="77777777" w:rsidR="000824B6" w:rsidRDefault="000824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6FFAB7" w14:textId="77777777" w:rsidR="00C74927" w:rsidRDefault="00C74927" w:rsidP="0086282C">
      <w:pPr>
        <w:spacing w:after="0" w:line="240" w:lineRule="auto"/>
      </w:pPr>
      <w:r>
        <w:separator/>
      </w:r>
    </w:p>
  </w:footnote>
  <w:footnote w:type="continuationSeparator" w:id="0">
    <w:p w14:paraId="0640031D" w14:textId="77777777" w:rsidR="00C74927" w:rsidRDefault="00C74927" w:rsidP="00862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E173F" w14:textId="77777777" w:rsidR="000824B6" w:rsidRDefault="000824B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74C50" w14:textId="77777777" w:rsidR="000824B6" w:rsidRDefault="000824B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7003F" w14:textId="77777777" w:rsidR="000824B6" w:rsidRDefault="000824B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302D6"/>
    <w:multiLevelType w:val="hybridMultilevel"/>
    <w:tmpl w:val="F72AC5C8"/>
    <w:lvl w:ilvl="0" w:tplc="F3BAE1D2">
      <w:start w:val="1"/>
      <w:numFmt w:val="decimal"/>
      <w:lvlText w:val="%1°"/>
      <w:lvlJc w:val="left"/>
      <w:pPr>
        <w:ind w:left="720" w:hanging="360"/>
      </w:pPr>
      <w:rPr>
        <w:rFonts w:ascii="Verdana" w:hAnsi="Verdana" w:hint="default"/>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19B4FDE"/>
    <w:multiLevelType w:val="hybridMultilevel"/>
    <w:tmpl w:val="0C9CFB7E"/>
    <w:lvl w:ilvl="0" w:tplc="F3BAE1D2">
      <w:start w:val="1"/>
      <w:numFmt w:val="decimal"/>
      <w:lvlText w:val="%1°"/>
      <w:lvlJc w:val="left"/>
      <w:pPr>
        <w:ind w:left="720" w:hanging="360"/>
      </w:pPr>
      <w:rPr>
        <w:rFonts w:ascii="Verdana" w:hAnsi="Verdana" w:hint="default"/>
        <w:b w:val="0"/>
        <w:i w:val="0"/>
        <w:sz w:val="20"/>
      </w:rPr>
    </w:lvl>
    <w:lvl w:ilvl="1" w:tplc="68B6699C">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67D232AE"/>
    <w:multiLevelType w:val="hybridMultilevel"/>
    <w:tmpl w:val="D7E024F0"/>
    <w:lvl w:ilvl="0" w:tplc="F3BAE1D2">
      <w:start w:val="1"/>
      <w:numFmt w:val="decimal"/>
      <w:lvlText w:val="%1°"/>
      <w:lvlJc w:val="left"/>
      <w:pPr>
        <w:ind w:left="720" w:hanging="360"/>
      </w:pPr>
      <w:rPr>
        <w:rFonts w:ascii="Verdana" w:hAnsi="Verdana" w:hint="default"/>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6CA24298"/>
    <w:multiLevelType w:val="hybridMultilevel"/>
    <w:tmpl w:val="23F6EA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FEA3975"/>
    <w:multiLevelType w:val="hybridMultilevel"/>
    <w:tmpl w:val="E6A0205E"/>
    <w:lvl w:ilvl="0" w:tplc="F3BAE1D2">
      <w:start w:val="1"/>
      <w:numFmt w:val="decimal"/>
      <w:lvlText w:val="%1°"/>
      <w:lvlJc w:val="left"/>
      <w:pPr>
        <w:ind w:left="720" w:hanging="360"/>
      </w:pPr>
      <w:rPr>
        <w:rFonts w:ascii="Verdana" w:hAnsi="Verdana" w:hint="default"/>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30428D8"/>
    <w:multiLevelType w:val="hybridMultilevel"/>
    <w:tmpl w:val="2D9AC1F0"/>
    <w:lvl w:ilvl="0" w:tplc="F3BAE1D2">
      <w:start w:val="1"/>
      <w:numFmt w:val="decimal"/>
      <w:lvlText w:val="%1°"/>
      <w:lvlJc w:val="left"/>
      <w:pPr>
        <w:ind w:left="720" w:hanging="360"/>
      </w:pPr>
      <w:rPr>
        <w:rFonts w:ascii="Verdana" w:hAnsi="Verdana" w:hint="default"/>
        <w:b w:val="0"/>
        <w:i w:val="0"/>
        <w:sz w:val="2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7C4C4CE0"/>
    <w:multiLevelType w:val="hybridMultilevel"/>
    <w:tmpl w:val="B3AC4D14"/>
    <w:lvl w:ilvl="0" w:tplc="F3BAE1D2">
      <w:start w:val="1"/>
      <w:numFmt w:val="decimal"/>
      <w:lvlText w:val="%1°"/>
      <w:lvlJc w:val="left"/>
      <w:pPr>
        <w:ind w:left="720" w:hanging="360"/>
      </w:pPr>
      <w:rPr>
        <w:rFonts w:ascii="Verdana" w:hAnsi="Verdana" w:hint="default"/>
        <w:b w:val="0"/>
        <w:i w:val="0"/>
        <w:sz w:val="20"/>
      </w:rPr>
    </w:lvl>
    <w:lvl w:ilvl="1" w:tplc="68B6699C">
      <w:start w:val="1"/>
      <w:numFmt w:val="lowerLetter"/>
      <w:lvlText w:val="%2)"/>
      <w:lvlJc w:val="left"/>
      <w:pPr>
        <w:ind w:left="1440" w:hanging="360"/>
      </w:pPr>
      <w:rPr>
        <w:rFonts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A2"/>
    <w:rsid w:val="00004C48"/>
    <w:rsid w:val="00022A4B"/>
    <w:rsid w:val="000360E3"/>
    <w:rsid w:val="000401D7"/>
    <w:rsid w:val="0004249B"/>
    <w:rsid w:val="00050083"/>
    <w:rsid w:val="00050745"/>
    <w:rsid w:val="00054D21"/>
    <w:rsid w:val="00066F07"/>
    <w:rsid w:val="000732EA"/>
    <w:rsid w:val="0007420F"/>
    <w:rsid w:val="000824B6"/>
    <w:rsid w:val="00084855"/>
    <w:rsid w:val="00093DB1"/>
    <w:rsid w:val="000B4527"/>
    <w:rsid w:val="000B5982"/>
    <w:rsid w:val="000E11CA"/>
    <w:rsid w:val="000F5E6F"/>
    <w:rsid w:val="001009BA"/>
    <w:rsid w:val="00114C3A"/>
    <w:rsid w:val="0012088F"/>
    <w:rsid w:val="00122D4A"/>
    <w:rsid w:val="00141550"/>
    <w:rsid w:val="001646A3"/>
    <w:rsid w:val="00174181"/>
    <w:rsid w:val="00180B3F"/>
    <w:rsid w:val="00195FB6"/>
    <w:rsid w:val="00196551"/>
    <w:rsid w:val="001B782A"/>
    <w:rsid w:val="001C44DE"/>
    <w:rsid w:val="001C4E5C"/>
    <w:rsid w:val="001F6084"/>
    <w:rsid w:val="00200419"/>
    <w:rsid w:val="00240EA7"/>
    <w:rsid w:val="002454FF"/>
    <w:rsid w:val="0024667F"/>
    <w:rsid w:val="0024775E"/>
    <w:rsid w:val="002615BE"/>
    <w:rsid w:val="002740C7"/>
    <w:rsid w:val="0028429E"/>
    <w:rsid w:val="002864F2"/>
    <w:rsid w:val="00287A33"/>
    <w:rsid w:val="00296580"/>
    <w:rsid w:val="002B1EA7"/>
    <w:rsid w:val="002B41AA"/>
    <w:rsid w:val="002C0351"/>
    <w:rsid w:val="002C317F"/>
    <w:rsid w:val="002D2318"/>
    <w:rsid w:val="002E5E82"/>
    <w:rsid w:val="002F77D9"/>
    <w:rsid w:val="00311D9C"/>
    <w:rsid w:val="003232E6"/>
    <w:rsid w:val="003413FF"/>
    <w:rsid w:val="00361CA7"/>
    <w:rsid w:val="00361CE3"/>
    <w:rsid w:val="00371AFB"/>
    <w:rsid w:val="0037487B"/>
    <w:rsid w:val="003B0AD0"/>
    <w:rsid w:val="003B7507"/>
    <w:rsid w:val="003C47FD"/>
    <w:rsid w:val="003E060F"/>
    <w:rsid w:val="003E77A1"/>
    <w:rsid w:val="003F3F7B"/>
    <w:rsid w:val="003F4CA2"/>
    <w:rsid w:val="003F4EF9"/>
    <w:rsid w:val="00400508"/>
    <w:rsid w:val="00430A5B"/>
    <w:rsid w:val="00443ACC"/>
    <w:rsid w:val="0045482A"/>
    <w:rsid w:val="004654AD"/>
    <w:rsid w:val="0047560C"/>
    <w:rsid w:val="004C33FB"/>
    <w:rsid w:val="004D1CA3"/>
    <w:rsid w:val="004D5E74"/>
    <w:rsid w:val="00500CBE"/>
    <w:rsid w:val="00507BBC"/>
    <w:rsid w:val="005318CA"/>
    <w:rsid w:val="00531A53"/>
    <w:rsid w:val="00551516"/>
    <w:rsid w:val="005571C7"/>
    <w:rsid w:val="0056037C"/>
    <w:rsid w:val="005701E5"/>
    <w:rsid w:val="00581CF9"/>
    <w:rsid w:val="00581EF0"/>
    <w:rsid w:val="00593473"/>
    <w:rsid w:val="005A1FA0"/>
    <w:rsid w:val="005A4145"/>
    <w:rsid w:val="005B3547"/>
    <w:rsid w:val="005F088F"/>
    <w:rsid w:val="00630523"/>
    <w:rsid w:val="00647CD4"/>
    <w:rsid w:val="006623B2"/>
    <w:rsid w:val="00667FC5"/>
    <w:rsid w:val="00693779"/>
    <w:rsid w:val="006A1CB5"/>
    <w:rsid w:val="006B2100"/>
    <w:rsid w:val="006B3550"/>
    <w:rsid w:val="006C06C9"/>
    <w:rsid w:val="006C3129"/>
    <w:rsid w:val="006D1845"/>
    <w:rsid w:val="006D4DF0"/>
    <w:rsid w:val="006E167A"/>
    <w:rsid w:val="006E7A6D"/>
    <w:rsid w:val="006F5C78"/>
    <w:rsid w:val="0070363D"/>
    <w:rsid w:val="0070573D"/>
    <w:rsid w:val="00711674"/>
    <w:rsid w:val="0073612C"/>
    <w:rsid w:val="00743F11"/>
    <w:rsid w:val="00756FFE"/>
    <w:rsid w:val="00764029"/>
    <w:rsid w:val="00781FFB"/>
    <w:rsid w:val="00786337"/>
    <w:rsid w:val="007915D0"/>
    <w:rsid w:val="007932AC"/>
    <w:rsid w:val="007B09B5"/>
    <w:rsid w:val="007C022F"/>
    <w:rsid w:val="007C41A7"/>
    <w:rsid w:val="007E39B9"/>
    <w:rsid w:val="007F155E"/>
    <w:rsid w:val="007F3E0E"/>
    <w:rsid w:val="008252A9"/>
    <w:rsid w:val="00845134"/>
    <w:rsid w:val="0085104C"/>
    <w:rsid w:val="0086180E"/>
    <w:rsid w:val="0086282C"/>
    <w:rsid w:val="00891212"/>
    <w:rsid w:val="008A4051"/>
    <w:rsid w:val="008B5DA1"/>
    <w:rsid w:val="008B760F"/>
    <w:rsid w:val="008D61A3"/>
    <w:rsid w:val="008F0150"/>
    <w:rsid w:val="00917D39"/>
    <w:rsid w:val="009342BE"/>
    <w:rsid w:val="00943B98"/>
    <w:rsid w:val="00950432"/>
    <w:rsid w:val="0095457E"/>
    <w:rsid w:val="00963419"/>
    <w:rsid w:val="00964405"/>
    <w:rsid w:val="00990FCA"/>
    <w:rsid w:val="0099316F"/>
    <w:rsid w:val="00994CF9"/>
    <w:rsid w:val="0099510E"/>
    <w:rsid w:val="00997B3E"/>
    <w:rsid w:val="009B4133"/>
    <w:rsid w:val="009B6F59"/>
    <w:rsid w:val="009C054A"/>
    <w:rsid w:val="009C094E"/>
    <w:rsid w:val="009F00D8"/>
    <w:rsid w:val="009F0357"/>
    <w:rsid w:val="009F07A9"/>
    <w:rsid w:val="00A12AD9"/>
    <w:rsid w:val="00A212BC"/>
    <w:rsid w:val="00A37801"/>
    <w:rsid w:val="00A410F3"/>
    <w:rsid w:val="00A73FB8"/>
    <w:rsid w:val="00A82B80"/>
    <w:rsid w:val="00A83FB1"/>
    <w:rsid w:val="00A85CD7"/>
    <w:rsid w:val="00A90D67"/>
    <w:rsid w:val="00A94DB9"/>
    <w:rsid w:val="00AA0DFF"/>
    <w:rsid w:val="00AA0F7A"/>
    <w:rsid w:val="00AB0214"/>
    <w:rsid w:val="00AE29F0"/>
    <w:rsid w:val="00AE62D7"/>
    <w:rsid w:val="00B34249"/>
    <w:rsid w:val="00B424EF"/>
    <w:rsid w:val="00B51CF8"/>
    <w:rsid w:val="00B57B3C"/>
    <w:rsid w:val="00B772CE"/>
    <w:rsid w:val="00B82D85"/>
    <w:rsid w:val="00B9736A"/>
    <w:rsid w:val="00BC4D4C"/>
    <w:rsid w:val="00BE22AC"/>
    <w:rsid w:val="00BE2A28"/>
    <w:rsid w:val="00BF0CC9"/>
    <w:rsid w:val="00BF4E0F"/>
    <w:rsid w:val="00C028C7"/>
    <w:rsid w:val="00C176C3"/>
    <w:rsid w:val="00C428A2"/>
    <w:rsid w:val="00C43AE5"/>
    <w:rsid w:val="00C609E8"/>
    <w:rsid w:val="00C66A72"/>
    <w:rsid w:val="00C74927"/>
    <w:rsid w:val="00C76DEB"/>
    <w:rsid w:val="00C914EC"/>
    <w:rsid w:val="00C95E8E"/>
    <w:rsid w:val="00CA1212"/>
    <w:rsid w:val="00CA214C"/>
    <w:rsid w:val="00CA3BA7"/>
    <w:rsid w:val="00CA718A"/>
    <w:rsid w:val="00CB42EB"/>
    <w:rsid w:val="00CB4540"/>
    <w:rsid w:val="00CB6080"/>
    <w:rsid w:val="00CD1A10"/>
    <w:rsid w:val="00CD3CD7"/>
    <w:rsid w:val="00D17D6A"/>
    <w:rsid w:val="00D23A33"/>
    <w:rsid w:val="00D47AED"/>
    <w:rsid w:val="00D76DB8"/>
    <w:rsid w:val="00D76F04"/>
    <w:rsid w:val="00D77F26"/>
    <w:rsid w:val="00D85C2C"/>
    <w:rsid w:val="00D9167B"/>
    <w:rsid w:val="00D96962"/>
    <w:rsid w:val="00DB0D05"/>
    <w:rsid w:val="00DD4C41"/>
    <w:rsid w:val="00DE1601"/>
    <w:rsid w:val="00DE29FE"/>
    <w:rsid w:val="00DF1D5F"/>
    <w:rsid w:val="00E0718E"/>
    <w:rsid w:val="00E13A95"/>
    <w:rsid w:val="00E2397C"/>
    <w:rsid w:val="00E46A76"/>
    <w:rsid w:val="00E6400D"/>
    <w:rsid w:val="00E7214C"/>
    <w:rsid w:val="00E724B7"/>
    <w:rsid w:val="00E851C8"/>
    <w:rsid w:val="00EA1DED"/>
    <w:rsid w:val="00ED0E32"/>
    <w:rsid w:val="00ED4A1C"/>
    <w:rsid w:val="00EF33C2"/>
    <w:rsid w:val="00EF36F2"/>
    <w:rsid w:val="00F138BF"/>
    <w:rsid w:val="00F216F2"/>
    <w:rsid w:val="00F56AE0"/>
    <w:rsid w:val="00F63F74"/>
    <w:rsid w:val="00F64863"/>
    <w:rsid w:val="00F81C32"/>
    <w:rsid w:val="00F83051"/>
    <w:rsid w:val="00F8382C"/>
    <w:rsid w:val="00F95BB6"/>
    <w:rsid w:val="00FC300D"/>
    <w:rsid w:val="00FE2A35"/>
    <w:rsid w:val="00FF489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5947BA"/>
  <w15:docId w15:val="{BEC81CDF-5BA5-4D23-88BE-244FECA2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F4C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9B41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4CA2"/>
    <w:rPr>
      <w:rFonts w:asciiTheme="majorHAnsi" w:eastAsiaTheme="majorEastAsia" w:hAnsiTheme="majorHAnsi"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7116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11674"/>
    <w:rPr>
      <w:rFonts w:ascii="Tahoma" w:hAnsi="Tahoma" w:cs="Tahoma"/>
      <w:sz w:val="16"/>
      <w:szCs w:val="16"/>
    </w:rPr>
  </w:style>
  <w:style w:type="character" w:styleId="Tekstvantijdelijkeaanduiding">
    <w:name w:val="Placeholder Text"/>
    <w:basedOn w:val="Standaardalinea-lettertype"/>
    <w:uiPriority w:val="99"/>
    <w:semiHidden/>
    <w:rsid w:val="00711674"/>
    <w:rPr>
      <w:color w:val="808080"/>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22A4B"/>
    <w:rPr>
      <w:sz w:val="20"/>
      <w:szCs w:val="20"/>
    </w:rPr>
  </w:style>
  <w:style w:type="paragraph" w:styleId="Onderwerpvanopmerking">
    <w:name w:val="annotation subject"/>
    <w:basedOn w:val="Tekstopmerking"/>
    <w:next w:val="Tekstopmerking"/>
    <w:link w:val="OnderwerpvanopmerkingChar"/>
    <w:uiPriority w:val="99"/>
    <w:semiHidden/>
    <w:unhideWhenUsed/>
    <w:rsid w:val="00022A4B"/>
    <w:rPr>
      <w:b/>
      <w:bCs/>
    </w:rPr>
  </w:style>
  <w:style w:type="character" w:customStyle="1" w:styleId="OnderwerpvanopmerkingChar">
    <w:name w:val="Onderwerp van opmerking Char"/>
    <w:basedOn w:val="TekstopmerkingChar"/>
    <w:link w:val="Onderwerpvanopmerking"/>
    <w:uiPriority w:val="99"/>
    <w:semiHidden/>
    <w:rsid w:val="00022A4B"/>
    <w:rPr>
      <w:b/>
      <w:bCs/>
      <w:sz w:val="20"/>
      <w:szCs w:val="20"/>
    </w:rPr>
  </w:style>
  <w:style w:type="character" w:customStyle="1" w:styleId="Kop2Char">
    <w:name w:val="Kop 2 Char"/>
    <w:basedOn w:val="Standaardalinea-lettertype"/>
    <w:link w:val="Kop2"/>
    <w:uiPriority w:val="9"/>
    <w:rsid w:val="00A94DB9"/>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nhideWhenUsed/>
    <w:rsid w:val="00114C3A"/>
    <w:rPr>
      <w:color w:val="0000FF"/>
      <w:u w:val="single"/>
    </w:rPr>
  </w:style>
  <w:style w:type="character" w:styleId="GevolgdeHyperlink">
    <w:name w:val="FollowedHyperlink"/>
    <w:basedOn w:val="Standaardalinea-lettertype"/>
    <w:uiPriority w:val="99"/>
    <w:semiHidden/>
    <w:unhideWhenUsed/>
    <w:rsid w:val="00756FFE"/>
    <w:rPr>
      <w:color w:val="800080" w:themeColor="followedHyperlink"/>
      <w:u w:val="single"/>
    </w:rPr>
  </w:style>
  <w:style w:type="paragraph" w:customStyle="1" w:styleId="Default">
    <w:name w:val="Default"/>
    <w:rsid w:val="00F64863"/>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EF33C2"/>
    <w:pPr>
      <w:ind w:left="720"/>
      <w:contextualSpacing/>
    </w:pPr>
  </w:style>
  <w:style w:type="character" w:customStyle="1" w:styleId="Kop3Char">
    <w:name w:val="Kop 3 Char"/>
    <w:basedOn w:val="Standaardalinea-lettertype"/>
    <w:link w:val="Kop3"/>
    <w:uiPriority w:val="9"/>
    <w:semiHidden/>
    <w:rsid w:val="009B4133"/>
    <w:rPr>
      <w:rFonts w:asciiTheme="majorHAnsi" w:eastAsiaTheme="majorEastAsia" w:hAnsiTheme="majorHAnsi" w:cstheme="majorBidi"/>
      <w:b/>
      <w:bCs/>
      <w:color w:val="4F81BD" w:themeColor="accent1"/>
    </w:rPr>
  </w:style>
  <w:style w:type="paragraph" w:styleId="Normaalweb">
    <w:name w:val="Normal (Web)"/>
    <w:basedOn w:val="Standaard"/>
    <w:uiPriority w:val="99"/>
    <w:semiHidden/>
    <w:unhideWhenUsed/>
    <w:rsid w:val="0004249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04249B"/>
    <w:rPr>
      <w:i/>
      <w:iCs/>
    </w:rPr>
  </w:style>
  <w:style w:type="paragraph" w:styleId="Koptekst">
    <w:name w:val="header"/>
    <w:basedOn w:val="Standaard"/>
    <w:link w:val="KoptekstChar"/>
    <w:uiPriority w:val="99"/>
    <w:unhideWhenUsed/>
    <w:rsid w:val="008628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282C"/>
  </w:style>
  <w:style w:type="paragraph" w:styleId="Voettekst">
    <w:name w:val="footer"/>
    <w:basedOn w:val="Standaard"/>
    <w:link w:val="VoettekstChar"/>
    <w:uiPriority w:val="99"/>
    <w:unhideWhenUsed/>
    <w:rsid w:val="008628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282C"/>
  </w:style>
  <w:style w:type="paragraph" w:styleId="Revisie">
    <w:name w:val="Revision"/>
    <w:hidden/>
    <w:uiPriority w:val="99"/>
    <w:semiHidden/>
    <w:rsid w:val="00196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28512">
      <w:bodyDiv w:val="1"/>
      <w:marLeft w:val="0"/>
      <w:marRight w:val="0"/>
      <w:marTop w:val="0"/>
      <w:marBottom w:val="0"/>
      <w:divBdr>
        <w:top w:val="none" w:sz="0" w:space="0" w:color="auto"/>
        <w:left w:val="none" w:sz="0" w:space="0" w:color="auto"/>
        <w:bottom w:val="none" w:sz="0" w:space="0" w:color="auto"/>
        <w:right w:val="none" w:sz="0" w:space="0" w:color="auto"/>
      </w:divBdr>
    </w:div>
    <w:div w:id="726805542">
      <w:bodyDiv w:val="1"/>
      <w:marLeft w:val="0"/>
      <w:marRight w:val="0"/>
      <w:marTop w:val="0"/>
      <w:marBottom w:val="0"/>
      <w:divBdr>
        <w:top w:val="none" w:sz="0" w:space="0" w:color="auto"/>
        <w:left w:val="none" w:sz="0" w:space="0" w:color="auto"/>
        <w:bottom w:val="none" w:sz="0" w:space="0" w:color="auto"/>
        <w:right w:val="none" w:sz="0" w:space="0" w:color="auto"/>
      </w:divBdr>
    </w:div>
    <w:div w:id="1387099137">
      <w:bodyDiv w:val="1"/>
      <w:marLeft w:val="0"/>
      <w:marRight w:val="0"/>
      <w:marTop w:val="0"/>
      <w:marBottom w:val="0"/>
      <w:divBdr>
        <w:top w:val="none" w:sz="0" w:space="0" w:color="auto"/>
        <w:left w:val="none" w:sz="0" w:space="0" w:color="auto"/>
        <w:bottom w:val="none" w:sz="0" w:space="0" w:color="auto"/>
        <w:right w:val="none" w:sz="0" w:space="0" w:color="auto"/>
      </w:divBdr>
    </w:div>
    <w:div w:id="1478184859">
      <w:bodyDiv w:val="1"/>
      <w:marLeft w:val="0"/>
      <w:marRight w:val="0"/>
      <w:marTop w:val="0"/>
      <w:marBottom w:val="0"/>
      <w:divBdr>
        <w:top w:val="none" w:sz="0" w:space="0" w:color="auto"/>
        <w:left w:val="none" w:sz="0" w:space="0" w:color="auto"/>
        <w:bottom w:val="none" w:sz="0" w:space="0" w:color="auto"/>
        <w:right w:val="none" w:sz="0" w:space="0" w:color="auto"/>
      </w:divBdr>
    </w:div>
    <w:div w:id="1763409195">
      <w:bodyDiv w:val="1"/>
      <w:marLeft w:val="0"/>
      <w:marRight w:val="0"/>
      <w:marTop w:val="0"/>
      <w:marBottom w:val="0"/>
      <w:divBdr>
        <w:top w:val="none" w:sz="0" w:space="0" w:color="auto"/>
        <w:left w:val="none" w:sz="0" w:space="0" w:color="auto"/>
        <w:bottom w:val="none" w:sz="0" w:space="0" w:color="auto"/>
        <w:right w:val="none" w:sz="0" w:space="0" w:color="auto"/>
      </w:divBdr>
    </w:div>
    <w:div w:id="177420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xius.nl/verdrag-betreffende-de-werking-van-de-europese-unie-rome-25-03-195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51CEE82478724BABB01DD6B7F8A03D" ma:contentTypeVersion="8" ma:contentTypeDescription="Een nieuw document maken." ma:contentTypeScope="" ma:versionID="394cd1aac068fbfd574833840ff086c8">
  <xsd:schema xmlns:xsd="http://www.w3.org/2001/XMLSchema" xmlns:xs="http://www.w3.org/2001/XMLSchema" xmlns:p="http://schemas.microsoft.com/office/2006/metadata/properties" xmlns:ns3="45ec233c-2598-4a1a-bce7-2e3bdd0cc746" targetNamespace="http://schemas.microsoft.com/office/2006/metadata/properties" ma:root="true" ma:fieldsID="5fa0d3b3beaf7673f2f9f6d1675b8b52" ns3:_="">
    <xsd:import namespace="45ec233c-2598-4a1a-bce7-2e3bdd0cc74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ec233c-2598-4a1a-bce7-2e3bdd0cc7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9237F-177F-4CDD-97AB-FEF0FEAD3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ec233c-2598-4a1a-bce7-2e3bdd0cc7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91EEA8-021F-4E23-86D0-F6A808387E5B}">
  <ds:schemaRefs>
    <ds:schemaRef ds:uri="http://schemas.microsoft.com/sharepoint/v3/contenttype/forms"/>
  </ds:schemaRefs>
</ds:datastoreItem>
</file>

<file path=customXml/itemProps3.xml><?xml version="1.0" encoding="utf-8"?>
<ds:datastoreItem xmlns:ds="http://schemas.openxmlformats.org/officeDocument/2006/customXml" ds:itemID="{56AA857B-783F-4819-AEF1-F50E323E11B1}">
  <ds:schemaRefs>
    <ds:schemaRef ds:uri="45ec233c-2598-4a1a-bce7-2e3bdd0cc746"/>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4BD0634-8AF6-4613-BD63-E398F08E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1329</Words>
  <Characters>7315</Characters>
  <Application>Microsoft Office Word</Application>
  <DocSecurity>4</DocSecurity>
  <Lines>60</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Vlaamse Overheid</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Rommel, Bernard</dc:creator>
  <cp:lastModifiedBy>De Schampheleire Glen</cp:lastModifiedBy>
  <cp:revision>2</cp:revision>
  <cp:lastPrinted>2019-07-12T12:19:00Z</cp:lastPrinted>
  <dcterms:created xsi:type="dcterms:W3CDTF">2019-10-09T13:05:00Z</dcterms:created>
  <dcterms:modified xsi:type="dcterms:W3CDTF">2019-10-09T13:05:00Z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0x010100CC51CEE82478724BABB01DD6B7F8A03D</vt:lpwstr>
  </property>
</Properties>
</file>