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149B5" w14:textId="77777777" w:rsidR="001009BA" w:rsidRPr="00416BB3" w:rsidRDefault="0086282C" w:rsidP="00F95BB6">
      <w:pPr>
        <w:spacing w:after="0"/>
        <w:rPr>
          <w:rFonts w:ascii="Verdana" w:hAnsi="Verdana" w:cs="Arial"/>
          <w:sz w:val="20"/>
          <w:szCs w:val="20"/>
        </w:rPr>
      </w:pPr>
      <w:r w:rsidRPr="00416BB3">
        <w:rPr>
          <w:rFonts w:ascii="Verdana" w:hAnsi="Verdana"/>
          <w:noProof/>
          <w:lang w:eastAsia="de-DE"/>
        </w:rPr>
        <w:drawing>
          <wp:inline distT="0" distB="0" distL="0" distR="0" wp14:anchorId="2BC48814" wp14:editId="2DA53A5D">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05C592AD" w14:textId="77777777" w:rsidR="00A37801" w:rsidRPr="00416BB3" w:rsidRDefault="00A37801">
      <w:pPr>
        <w:spacing w:after="0"/>
        <w:rPr>
          <w:rFonts w:ascii="Verdana" w:hAnsi="Verdana" w:cstheme="minorHAnsi"/>
          <w:bCs/>
          <w:sz w:val="20"/>
          <w:szCs w:val="20"/>
        </w:rPr>
      </w:pPr>
    </w:p>
    <w:p w14:paraId="0798BC3C" w14:textId="77777777" w:rsidR="0086282C" w:rsidRPr="00416BB3" w:rsidRDefault="0086282C">
      <w:pPr>
        <w:spacing w:after="0"/>
        <w:rPr>
          <w:rFonts w:ascii="Verdana" w:hAnsi="Verdana" w:cstheme="minorHAnsi"/>
          <w:bCs/>
          <w:sz w:val="20"/>
          <w:szCs w:val="20"/>
        </w:rPr>
      </w:pPr>
      <w:bookmarkStart w:id="0" w:name="_GoBack"/>
      <w:bookmarkEnd w:id="0"/>
    </w:p>
    <w:p w14:paraId="097A04EB" w14:textId="77777777" w:rsidR="00507BBC" w:rsidRPr="00416BB3" w:rsidRDefault="00A37801" w:rsidP="00507BBC">
      <w:pPr>
        <w:spacing w:after="0"/>
        <w:jc w:val="both"/>
        <w:rPr>
          <w:rFonts w:ascii="Verdana" w:hAnsi="Verdana" w:cstheme="minorHAnsi"/>
          <w:b/>
          <w:bCs/>
          <w:sz w:val="24"/>
          <w:szCs w:val="24"/>
        </w:rPr>
      </w:pPr>
      <w:r w:rsidRPr="00416BB3">
        <w:rPr>
          <w:rFonts w:ascii="Verdana" w:hAnsi="Verdana"/>
          <w:b/>
          <w:bCs/>
          <w:sz w:val="24"/>
          <w:szCs w:val="24"/>
        </w:rPr>
        <w:t xml:space="preserve">Erlass der Flämischen Regierung über eine fünfjährige Zuschussregelung zur Förderung der Hinterlandverbindung der flämischen Seehäfen durch Bündelung von Schienenverkehrsvolumen  </w:t>
      </w:r>
    </w:p>
    <w:p w14:paraId="291B6AE9" w14:textId="77777777" w:rsidR="00507BBC" w:rsidRPr="00416BB3" w:rsidRDefault="00507BBC">
      <w:pPr>
        <w:spacing w:after="0"/>
        <w:rPr>
          <w:rFonts w:ascii="Verdana" w:hAnsi="Verdana" w:cstheme="minorHAnsi"/>
          <w:b/>
          <w:bCs/>
          <w:sz w:val="24"/>
          <w:szCs w:val="24"/>
        </w:rPr>
      </w:pPr>
    </w:p>
    <w:p w14:paraId="1BE147AF" w14:textId="77777777" w:rsidR="00A37801" w:rsidRPr="00416BB3" w:rsidRDefault="00A37801">
      <w:pPr>
        <w:spacing w:after="0"/>
        <w:rPr>
          <w:rFonts w:ascii="Verdana" w:hAnsi="Verdana" w:cstheme="minorHAnsi"/>
          <w:sz w:val="20"/>
          <w:szCs w:val="20"/>
        </w:rPr>
      </w:pPr>
    </w:p>
    <w:p w14:paraId="2C87D2A7" w14:textId="77777777" w:rsidR="00A37801" w:rsidRPr="00416BB3" w:rsidRDefault="00A37801">
      <w:pPr>
        <w:spacing w:after="0"/>
        <w:rPr>
          <w:rFonts w:ascii="Verdana" w:hAnsi="Verdana" w:cstheme="minorHAnsi"/>
          <w:sz w:val="20"/>
          <w:szCs w:val="20"/>
        </w:rPr>
      </w:pPr>
    </w:p>
    <w:p w14:paraId="71A90E7B" w14:textId="77777777" w:rsidR="00A37801" w:rsidRPr="00416BB3" w:rsidRDefault="00A37801">
      <w:pPr>
        <w:spacing w:after="0"/>
        <w:jc w:val="center"/>
        <w:rPr>
          <w:rFonts w:ascii="Verdana" w:hAnsi="Verdana" w:cstheme="minorHAnsi"/>
          <w:sz w:val="20"/>
          <w:szCs w:val="20"/>
        </w:rPr>
      </w:pPr>
      <w:r w:rsidRPr="00416BB3">
        <w:rPr>
          <w:rFonts w:ascii="Verdana" w:hAnsi="Verdana"/>
          <w:sz w:val="20"/>
          <w:szCs w:val="20"/>
        </w:rPr>
        <w:t>DIE FLÄMISCHE REGIERUNG,</w:t>
      </w:r>
    </w:p>
    <w:p w14:paraId="7D9D7F43" w14:textId="77777777" w:rsidR="00845134" w:rsidRPr="00416BB3" w:rsidRDefault="00845134">
      <w:pPr>
        <w:spacing w:after="0"/>
        <w:jc w:val="center"/>
        <w:rPr>
          <w:rFonts w:ascii="Verdana" w:hAnsi="Verdana" w:cstheme="minorHAnsi"/>
          <w:sz w:val="20"/>
          <w:szCs w:val="20"/>
        </w:rPr>
      </w:pPr>
    </w:p>
    <w:p w14:paraId="1E2833D7" w14:textId="77777777" w:rsidR="00845134" w:rsidRPr="00416BB3" w:rsidRDefault="00845134">
      <w:pPr>
        <w:spacing w:after="0"/>
        <w:jc w:val="center"/>
        <w:rPr>
          <w:rFonts w:ascii="Verdana" w:hAnsi="Verdana" w:cstheme="minorHAnsi"/>
          <w:sz w:val="20"/>
          <w:szCs w:val="20"/>
        </w:rPr>
      </w:pPr>
    </w:p>
    <w:p w14:paraId="07597462" w14:textId="2515642B" w:rsidR="00A37801" w:rsidRPr="00416BB3" w:rsidRDefault="00A37801" w:rsidP="00845134">
      <w:pPr>
        <w:rPr>
          <w:rFonts w:ascii="Verdana" w:hAnsi="Verdana"/>
          <w:sz w:val="20"/>
          <w:szCs w:val="20"/>
        </w:rPr>
      </w:pPr>
      <w:bookmarkStart w:id="1" w:name="_Hlk5624863"/>
      <w:r w:rsidRPr="00416BB3">
        <w:rPr>
          <w:rFonts w:ascii="Verdana" w:hAnsi="Verdana"/>
          <w:sz w:val="20"/>
          <w:szCs w:val="20"/>
        </w:rPr>
        <w:t xml:space="preserve">Aufgrund des Dekrets vom 2. März 1999 über die Politik und das Management von Seehäfen, Artikel 35bis, eingefügt durch das verschiedene Bestimmungen umfassende Dekret vom 26. April über Mobilitätspolitik, öffentliche Arbeiten und Verkehr, Verkehrssicherheitspolitik und </w:t>
      </w:r>
      <w:r w:rsidR="00416BB3" w:rsidRPr="00416BB3">
        <w:rPr>
          <w:rFonts w:ascii="Verdana" w:hAnsi="Verdana"/>
          <w:sz w:val="20"/>
          <w:szCs w:val="20"/>
        </w:rPr>
        <w:t>„</w:t>
      </w:r>
      <w:r w:rsidRPr="00416BB3">
        <w:rPr>
          <w:rFonts w:ascii="Verdana" w:hAnsi="Verdana"/>
          <w:sz w:val="20"/>
          <w:szCs w:val="20"/>
        </w:rPr>
        <w:t>VVM - De Lijn</w:t>
      </w:r>
      <w:r w:rsidR="00416BB3" w:rsidRPr="00416BB3">
        <w:rPr>
          <w:rFonts w:ascii="Verdana" w:hAnsi="Verdana"/>
          <w:sz w:val="20"/>
          <w:szCs w:val="20"/>
        </w:rPr>
        <w:t>“</w:t>
      </w:r>
      <w:r w:rsidRPr="00416BB3">
        <w:rPr>
          <w:rFonts w:ascii="Verdana" w:hAnsi="Verdana"/>
          <w:sz w:val="20"/>
          <w:szCs w:val="20"/>
        </w:rPr>
        <w:t xml:space="preserve"> (Flämische Transportgesellschaft - De Lijn</w:t>
      </w:r>
      <w:r w:rsidR="00D52257" w:rsidRPr="00416BB3">
        <w:rPr>
          <w:rFonts w:ascii="Verdana" w:hAnsi="Verdana"/>
          <w:sz w:val="20"/>
          <w:szCs w:val="20"/>
        </w:rPr>
        <w:t>);</w:t>
      </w:r>
      <w:r w:rsidRPr="00416BB3">
        <w:rPr>
          <w:rFonts w:ascii="Verdana" w:hAnsi="Verdana"/>
          <w:sz w:val="20"/>
          <w:szCs w:val="20"/>
        </w:rPr>
        <w:t xml:space="preserve"> </w:t>
      </w:r>
      <w:bookmarkEnd w:id="1"/>
    </w:p>
    <w:p w14:paraId="0DD28CB3" w14:textId="5CC19A10" w:rsidR="00D23A33" w:rsidRPr="00416BB3" w:rsidRDefault="00416BB3" w:rsidP="00D23A33">
      <w:pPr>
        <w:spacing w:after="0"/>
        <w:rPr>
          <w:rFonts w:ascii="Verdana" w:hAnsi="Verdana"/>
          <w:sz w:val="20"/>
          <w:szCs w:val="20"/>
        </w:rPr>
      </w:pPr>
      <w:r w:rsidRPr="00416BB3">
        <w:rPr>
          <w:rFonts w:ascii="Verdana" w:hAnsi="Verdana"/>
          <w:sz w:val="20"/>
          <w:szCs w:val="20"/>
        </w:rPr>
        <w:t>a</w:t>
      </w:r>
      <w:r w:rsidR="00D23A33" w:rsidRPr="00416BB3">
        <w:rPr>
          <w:rFonts w:ascii="Verdana" w:hAnsi="Verdana"/>
          <w:sz w:val="20"/>
          <w:szCs w:val="20"/>
        </w:rPr>
        <w:t xml:space="preserve">ufgrund des am 2. April 2019 abgegebenen Gutachtens der </w:t>
      </w:r>
      <w:r w:rsidR="00D52257" w:rsidRPr="00416BB3">
        <w:rPr>
          <w:rFonts w:ascii="Verdana" w:hAnsi="Verdana"/>
          <w:sz w:val="20"/>
          <w:szCs w:val="20"/>
        </w:rPr>
        <w:t>Finanzinspektion;</w:t>
      </w:r>
    </w:p>
    <w:p w14:paraId="616C723C" w14:textId="77777777" w:rsidR="00D23A33" w:rsidRPr="00416BB3" w:rsidRDefault="00D23A33">
      <w:pPr>
        <w:spacing w:after="0"/>
        <w:rPr>
          <w:rFonts w:ascii="Verdana" w:hAnsi="Verdana" w:cstheme="minorHAnsi"/>
          <w:sz w:val="20"/>
          <w:szCs w:val="20"/>
        </w:rPr>
      </w:pPr>
    </w:p>
    <w:p w14:paraId="18676561" w14:textId="0A40436A" w:rsidR="00E13A95" w:rsidRPr="00416BB3" w:rsidRDefault="00416BB3" w:rsidP="00F95BB6">
      <w:pPr>
        <w:spacing w:after="0"/>
        <w:rPr>
          <w:rFonts w:ascii="Verdana" w:hAnsi="Verdana" w:cstheme="minorHAnsi"/>
          <w:sz w:val="20"/>
          <w:szCs w:val="20"/>
        </w:rPr>
      </w:pPr>
      <w:r w:rsidRPr="00416BB3">
        <w:rPr>
          <w:rFonts w:ascii="Verdana" w:hAnsi="Verdana"/>
          <w:sz w:val="20"/>
          <w:szCs w:val="20"/>
        </w:rPr>
        <w:t>a</w:t>
      </w:r>
      <w:r w:rsidR="00E13A95" w:rsidRPr="00416BB3">
        <w:rPr>
          <w:rFonts w:ascii="Verdana" w:hAnsi="Verdana"/>
          <w:sz w:val="20"/>
          <w:szCs w:val="20"/>
        </w:rPr>
        <w:t xml:space="preserve">ufgrund des am 30. April 2019 abgegebenen Einverständnisses des für den Haushalt zuständigen flämischen </w:t>
      </w:r>
      <w:r w:rsidR="00D52257" w:rsidRPr="00416BB3">
        <w:rPr>
          <w:rFonts w:ascii="Verdana" w:hAnsi="Verdana"/>
          <w:sz w:val="20"/>
          <w:szCs w:val="20"/>
        </w:rPr>
        <w:t>Ministers;</w:t>
      </w:r>
      <w:r w:rsidR="00E13A95" w:rsidRPr="00416BB3">
        <w:rPr>
          <w:rFonts w:ascii="Verdana" w:hAnsi="Verdana"/>
          <w:sz w:val="20"/>
          <w:szCs w:val="20"/>
        </w:rPr>
        <w:t xml:space="preserve"> </w:t>
      </w:r>
    </w:p>
    <w:p w14:paraId="51A8FE33" w14:textId="77777777" w:rsidR="00A37801" w:rsidRPr="00416BB3" w:rsidRDefault="00A37801" w:rsidP="00D85C2C">
      <w:pPr>
        <w:spacing w:after="0"/>
        <w:rPr>
          <w:rFonts w:ascii="Verdana" w:hAnsi="Verdana"/>
          <w:sz w:val="20"/>
          <w:szCs w:val="20"/>
        </w:rPr>
      </w:pPr>
    </w:p>
    <w:p w14:paraId="5B2CBAB3" w14:textId="5E66E6B0" w:rsidR="00A37801" w:rsidRPr="00416BB3" w:rsidRDefault="00416BB3">
      <w:pPr>
        <w:spacing w:after="0"/>
        <w:rPr>
          <w:rFonts w:ascii="Verdana" w:hAnsi="Verdana" w:cs="Times New Roman"/>
          <w:sz w:val="20"/>
          <w:szCs w:val="20"/>
        </w:rPr>
      </w:pPr>
      <w:r w:rsidRPr="00416BB3">
        <w:rPr>
          <w:rFonts w:ascii="Verdana" w:hAnsi="Verdana"/>
          <w:sz w:val="20"/>
          <w:szCs w:val="20"/>
        </w:rPr>
        <w:t>a</w:t>
      </w:r>
      <w:r w:rsidR="00A37801" w:rsidRPr="00416BB3">
        <w:rPr>
          <w:rFonts w:ascii="Verdana" w:hAnsi="Verdana"/>
          <w:sz w:val="20"/>
          <w:szCs w:val="20"/>
        </w:rPr>
        <w:t xml:space="preserve">ufgrund des am 7. Juni 2019 abgegebenen Gutachtens des Mobilitätsrats </w:t>
      </w:r>
      <w:r w:rsidR="00D52257" w:rsidRPr="00416BB3">
        <w:rPr>
          <w:rFonts w:ascii="Verdana" w:hAnsi="Verdana"/>
          <w:sz w:val="20"/>
          <w:szCs w:val="20"/>
        </w:rPr>
        <w:t>Flanderns;</w:t>
      </w:r>
    </w:p>
    <w:p w14:paraId="5E034C80" w14:textId="77777777" w:rsidR="00A37801" w:rsidRPr="00416BB3" w:rsidRDefault="00A37801">
      <w:pPr>
        <w:spacing w:after="0"/>
        <w:rPr>
          <w:rFonts w:ascii="Verdana" w:hAnsi="Verdana"/>
          <w:sz w:val="20"/>
          <w:szCs w:val="20"/>
        </w:rPr>
      </w:pPr>
    </w:p>
    <w:p w14:paraId="3F9AC4C9" w14:textId="7E83EBEA" w:rsidR="00A37801" w:rsidRPr="00416BB3" w:rsidRDefault="00416BB3">
      <w:pPr>
        <w:spacing w:after="0"/>
        <w:rPr>
          <w:rFonts w:ascii="Verdana" w:eastAsia="Times New Roman" w:hAnsi="Verdana" w:cs="Arial"/>
          <w:sz w:val="20"/>
          <w:szCs w:val="20"/>
        </w:rPr>
      </w:pPr>
      <w:r w:rsidRPr="00416BB3">
        <w:rPr>
          <w:rFonts w:ascii="Verdana" w:hAnsi="Verdana"/>
          <w:sz w:val="20"/>
          <w:szCs w:val="20"/>
        </w:rPr>
        <w:t>a</w:t>
      </w:r>
      <w:r w:rsidR="00A37801" w:rsidRPr="00416BB3">
        <w:rPr>
          <w:rFonts w:ascii="Verdana" w:hAnsi="Verdana"/>
          <w:sz w:val="20"/>
          <w:szCs w:val="20"/>
        </w:rPr>
        <w:t xml:space="preserve">ufgrund des am 10. Juli abgegebenen Gutachtens 66.340/3/V des Staatsrates, in Ausführung von Artikel 84, § 1, Absatz 1, 2° der am 12. Januar 1973 koordinierten Gesetze über den </w:t>
      </w:r>
      <w:r w:rsidR="00D52257" w:rsidRPr="00416BB3">
        <w:rPr>
          <w:rFonts w:ascii="Verdana" w:hAnsi="Verdana"/>
          <w:sz w:val="20"/>
          <w:szCs w:val="20"/>
        </w:rPr>
        <w:t>Staatsrat;</w:t>
      </w:r>
    </w:p>
    <w:p w14:paraId="2F7C1748" w14:textId="77777777" w:rsidR="00A37801" w:rsidRPr="00416BB3" w:rsidRDefault="00A37801">
      <w:pPr>
        <w:spacing w:after="0"/>
        <w:rPr>
          <w:rFonts w:ascii="Verdana" w:hAnsi="Verdana" w:cstheme="minorHAnsi"/>
          <w:sz w:val="20"/>
          <w:szCs w:val="20"/>
        </w:rPr>
      </w:pPr>
    </w:p>
    <w:p w14:paraId="4695EAD7" w14:textId="25FE6B7E" w:rsidR="00A37801" w:rsidRPr="00416BB3" w:rsidRDefault="00416BB3" w:rsidP="00F81C32">
      <w:pPr>
        <w:rPr>
          <w:rFonts w:ascii="Verdana" w:eastAsia="Times New Roman" w:hAnsi="Verdana" w:cs="Arial"/>
          <w:sz w:val="20"/>
          <w:szCs w:val="20"/>
        </w:rPr>
      </w:pPr>
      <w:r w:rsidRPr="00416BB3">
        <w:rPr>
          <w:rFonts w:ascii="Verdana" w:hAnsi="Verdana"/>
          <w:sz w:val="20"/>
          <w:szCs w:val="20"/>
        </w:rPr>
        <w:t>a</w:t>
      </w:r>
      <w:r w:rsidR="00A37801" w:rsidRPr="00416BB3">
        <w:rPr>
          <w:rFonts w:ascii="Verdana" w:hAnsi="Verdana"/>
          <w:sz w:val="20"/>
          <w:szCs w:val="20"/>
        </w:rPr>
        <w:t xml:space="preserve">uf Vorschlag des flämischen Ministers für Mobilität, Öffentliche Arbeiten, den Vlaamse Rand, Außenpolitik, Kulturerbe und Tierschutz, Vize-Ministerpräsident der Flämischen </w:t>
      </w:r>
      <w:r w:rsidR="00D52257" w:rsidRPr="00416BB3">
        <w:rPr>
          <w:rFonts w:ascii="Verdana" w:hAnsi="Verdana"/>
          <w:sz w:val="20"/>
          <w:szCs w:val="20"/>
        </w:rPr>
        <w:t>Regierung;</w:t>
      </w:r>
    </w:p>
    <w:p w14:paraId="005F111A" w14:textId="2C6E8170" w:rsidR="00E13A95" w:rsidRPr="00416BB3" w:rsidRDefault="00416BB3">
      <w:pPr>
        <w:spacing w:after="0"/>
        <w:rPr>
          <w:rFonts w:ascii="Verdana" w:hAnsi="Verdana" w:cstheme="minorHAnsi"/>
          <w:sz w:val="20"/>
          <w:szCs w:val="20"/>
        </w:rPr>
      </w:pPr>
      <w:r w:rsidRPr="00416BB3">
        <w:rPr>
          <w:rFonts w:ascii="Verdana" w:hAnsi="Verdana"/>
          <w:sz w:val="20"/>
          <w:szCs w:val="20"/>
        </w:rPr>
        <w:t>n</w:t>
      </w:r>
      <w:r w:rsidR="00E13A95" w:rsidRPr="00416BB3">
        <w:rPr>
          <w:rFonts w:ascii="Verdana" w:hAnsi="Verdana"/>
          <w:sz w:val="20"/>
          <w:szCs w:val="20"/>
        </w:rPr>
        <w:t>ach Beratung,</w:t>
      </w:r>
    </w:p>
    <w:p w14:paraId="5A1FC180" w14:textId="77777777" w:rsidR="00E13A95" w:rsidRPr="00416BB3" w:rsidRDefault="00E13A95">
      <w:pPr>
        <w:spacing w:after="0"/>
        <w:rPr>
          <w:rFonts w:ascii="Verdana" w:hAnsi="Verdana" w:cstheme="minorHAnsi"/>
          <w:sz w:val="20"/>
          <w:szCs w:val="20"/>
        </w:rPr>
      </w:pPr>
    </w:p>
    <w:p w14:paraId="0F4F280B" w14:textId="77777777" w:rsidR="00E13A95" w:rsidRPr="00416BB3" w:rsidRDefault="00E13A95">
      <w:pPr>
        <w:spacing w:after="0"/>
        <w:rPr>
          <w:rFonts w:ascii="Verdana" w:hAnsi="Verdana" w:cstheme="minorHAnsi"/>
          <w:sz w:val="20"/>
          <w:szCs w:val="20"/>
        </w:rPr>
      </w:pPr>
    </w:p>
    <w:p w14:paraId="6ABFD601" w14:textId="2668762A" w:rsidR="00E13A95" w:rsidRPr="00416BB3" w:rsidRDefault="00D52257">
      <w:pPr>
        <w:spacing w:after="0"/>
        <w:jc w:val="center"/>
        <w:rPr>
          <w:rFonts w:ascii="Verdana" w:hAnsi="Verdana" w:cstheme="minorHAnsi"/>
          <w:sz w:val="20"/>
          <w:szCs w:val="20"/>
        </w:rPr>
      </w:pPr>
      <w:r w:rsidRPr="00416BB3">
        <w:rPr>
          <w:rFonts w:ascii="Verdana" w:hAnsi="Verdana"/>
          <w:sz w:val="20"/>
          <w:szCs w:val="20"/>
        </w:rPr>
        <w:t>BESCHLIE</w:t>
      </w:r>
      <w:r w:rsidR="00BA32C0" w:rsidRPr="00416BB3">
        <w:rPr>
          <w:rFonts w:ascii="Verdana" w:hAnsi="Verdana"/>
          <w:sz w:val="20"/>
          <w:szCs w:val="20"/>
        </w:rPr>
        <w:t>SS</w:t>
      </w:r>
      <w:r w:rsidRPr="00416BB3">
        <w:rPr>
          <w:rFonts w:ascii="Verdana" w:hAnsi="Verdana"/>
          <w:sz w:val="20"/>
          <w:szCs w:val="20"/>
        </w:rPr>
        <w:t>T:</w:t>
      </w:r>
    </w:p>
    <w:p w14:paraId="5C81E46A" w14:textId="77777777" w:rsidR="00E13A95" w:rsidRPr="00416BB3" w:rsidRDefault="00E13A95">
      <w:pPr>
        <w:spacing w:after="0"/>
        <w:rPr>
          <w:rFonts w:ascii="Verdana" w:hAnsi="Verdana"/>
          <w:sz w:val="20"/>
          <w:szCs w:val="20"/>
        </w:rPr>
      </w:pPr>
    </w:p>
    <w:p w14:paraId="7E24A09A" w14:textId="77777777" w:rsidR="00E13A95" w:rsidRPr="00416BB3" w:rsidRDefault="00E13A95">
      <w:pPr>
        <w:spacing w:after="0"/>
        <w:rPr>
          <w:rFonts w:ascii="Verdana" w:hAnsi="Verdana"/>
          <w:sz w:val="20"/>
          <w:szCs w:val="20"/>
        </w:rPr>
      </w:pPr>
    </w:p>
    <w:p w14:paraId="5E323BF0" w14:textId="77777777" w:rsidR="00E13A95" w:rsidRPr="00416BB3" w:rsidRDefault="00E13A95">
      <w:pPr>
        <w:spacing w:after="0"/>
        <w:rPr>
          <w:rFonts w:ascii="Verdana" w:hAnsi="Verdana"/>
          <w:sz w:val="20"/>
          <w:szCs w:val="20"/>
        </w:rPr>
      </w:pPr>
      <w:r w:rsidRPr="00416BB3">
        <w:rPr>
          <w:rFonts w:ascii="Verdana" w:hAnsi="Verdana"/>
          <w:sz w:val="20"/>
          <w:szCs w:val="20"/>
        </w:rPr>
        <w:t>Kapitel 1. Begriffsbestimmungen</w:t>
      </w:r>
    </w:p>
    <w:p w14:paraId="48325A1A" w14:textId="77777777" w:rsidR="00E13A95" w:rsidRPr="00416BB3" w:rsidRDefault="00E13A95">
      <w:pPr>
        <w:spacing w:after="0"/>
        <w:rPr>
          <w:rFonts w:ascii="Verdana" w:hAnsi="Verdana"/>
          <w:sz w:val="20"/>
          <w:szCs w:val="20"/>
        </w:rPr>
      </w:pPr>
    </w:p>
    <w:p w14:paraId="4EB77135" w14:textId="77777777" w:rsidR="0095457E" w:rsidRPr="00416BB3" w:rsidRDefault="0095457E" w:rsidP="00F95BB6">
      <w:pPr>
        <w:spacing w:after="0"/>
        <w:rPr>
          <w:rFonts w:ascii="Verdana" w:hAnsi="Verdana" w:cs="Arial"/>
          <w:sz w:val="20"/>
          <w:szCs w:val="20"/>
        </w:rPr>
      </w:pPr>
      <w:r w:rsidRPr="00416BB3">
        <w:rPr>
          <w:rFonts w:ascii="Verdana" w:hAnsi="Verdana"/>
          <w:b/>
          <w:sz w:val="20"/>
          <w:szCs w:val="20"/>
        </w:rPr>
        <w:t>Artikel 1.</w:t>
      </w:r>
      <w:r w:rsidRPr="00416BB3">
        <w:rPr>
          <w:rFonts w:ascii="Verdana" w:hAnsi="Verdana"/>
          <w:sz w:val="20"/>
          <w:szCs w:val="20"/>
        </w:rPr>
        <w:t xml:space="preserve"> Im vorliegenden Erlass versteht man unter:</w:t>
      </w:r>
    </w:p>
    <w:p w14:paraId="6E7EEF51" w14:textId="77777777" w:rsidR="00A212BC" w:rsidRPr="00416BB3" w:rsidRDefault="00A212BC" w:rsidP="009C094E">
      <w:pPr>
        <w:pStyle w:val="Lijstalinea"/>
        <w:numPr>
          <w:ilvl w:val="0"/>
          <w:numId w:val="2"/>
        </w:numPr>
        <w:spacing w:after="0"/>
        <w:ind w:hanging="720"/>
        <w:rPr>
          <w:rFonts w:ascii="Verdana" w:hAnsi="Verdana" w:cs="Arial"/>
          <w:sz w:val="20"/>
          <w:szCs w:val="20"/>
        </w:rPr>
      </w:pPr>
      <w:r w:rsidRPr="00416BB3">
        <w:rPr>
          <w:rFonts w:ascii="Verdana" w:hAnsi="Verdana"/>
          <w:sz w:val="20"/>
          <w:szCs w:val="20"/>
        </w:rPr>
        <w:t>Verbindung: ein regelmäßiger Zugverkehr zwischen zwei intermodalen Terminals, wobei sich eines der beiden intermodalen Terminals außerhalb Belgiens befindet;</w:t>
      </w:r>
    </w:p>
    <w:p w14:paraId="16AFFA4D" w14:textId="145EA48A" w:rsidR="0086282C" w:rsidRPr="00416BB3" w:rsidRDefault="0086282C" w:rsidP="00F95BB6">
      <w:pPr>
        <w:pStyle w:val="Lijstalinea"/>
        <w:numPr>
          <w:ilvl w:val="0"/>
          <w:numId w:val="2"/>
        </w:numPr>
        <w:spacing w:after="0"/>
        <w:ind w:hanging="720"/>
        <w:rPr>
          <w:rFonts w:ascii="Verdana" w:hAnsi="Verdana" w:cs="Arial"/>
          <w:sz w:val="20"/>
          <w:szCs w:val="20"/>
        </w:rPr>
      </w:pPr>
      <w:r w:rsidRPr="00416BB3">
        <w:rPr>
          <w:rFonts w:ascii="Verdana" w:hAnsi="Verdana"/>
          <w:sz w:val="20"/>
          <w:szCs w:val="20"/>
        </w:rPr>
        <w:lastRenderedPageBreak/>
        <w:t>Departement: das Departement für Mobilität und Öffentliche Arbeiten, wie erwähnt i</w:t>
      </w:r>
      <w:r w:rsidR="00416BB3" w:rsidRPr="00416BB3">
        <w:rPr>
          <w:rFonts w:ascii="Verdana" w:hAnsi="Verdana"/>
          <w:sz w:val="20"/>
          <w:szCs w:val="20"/>
        </w:rPr>
        <w:t>n</w:t>
      </w:r>
      <w:r w:rsidRPr="00416BB3">
        <w:rPr>
          <w:rFonts w:ascii="Verdana" w:hAnsi="Verdana"/>
          <w:sz w:val="20"/>
          <w:szCs w:val="20"/>
        </w:rPr>
        <w:t xml:space="preserve"> Artikel 28, § 1 des Erlasses der Flämischen Regierung vom 3. Juni 2005 über die Organisation der Flämischen </w:t>
      </w:r>
      <w:r w:rsidR="00D52257" w:rsidRPr="00416BB3">
        <w:rPr>
          <w:rFonts w:ascii="Verdana" w:hAnsi="Verdana"/>
          <w:sz w:val="20"/>
          <w:szCs w:val="20"/>
        </w:rPr>
        <w:t>Verwaltung;</w:t>
      </w:r>
    </w:p>
    <w:p w14:paraId="782229D2" w14:textId="0DDB07E5" w:rsidR="00A94DB9" w:rsidRPr="00416BB3" w:rsidRDefault="00647CD4" w:rsidP="00F95BB6">
      <w:pPr>
        <w:pStyle w:val="Lijstalinea"/>
        <w:numPr>
          <w:ilvl w:val="0"/>
          <w:numId w:val="2"/>
        </w:numPr>
        <w:spacing w:after="0"/>
        <w:ind w:hanging="720"/>
        <w:rPr>
          <w:rFonts w:ascii="Verdana" w:hAnsi="Verdana" w:cs="Arial"/>
          <w:sz w:val="20"/>
          <w:szCs w:val="20"/>
        </w:rPr>
      </w:pPr>
      <w:r w:rsidRPr="00416BB3">
        <w:rPr>
          <w:rFonts w:ascii="Verdana" w:hAnsi="Verdana"/>
          <w:sz w:val="20"/>
          <w:szCs w:val="20"/>
        </w:rPr>
        <w:t>Hafengebiet: das Hafengebiet von Antwerpen, das Hafengebiet von Brügge-Zeebr</w:t>
      </w:r>
      <w:r w:rsidR="000E5B38">
        <w:rPr>
          <w:rFonts w:ascii="Verdana" w:hAnsi="Verdana"/>
          <w:sz w:val="20"/>
          <w:szCs w:val="20"/>
        </w:rPr>
        <w:t>u</w:t>
      </w:r>
      <w:r w:rsidRPr="00416BB3">
        <w:rPr>
          <w:rFonts w:ascii="Verdana" w:hAnsi="Verdana"/>
          <w:sz w:val="20"/>
          <w:szCs w:val="20"/>
        </w:rPr>
        <w:t>gge und das Hafengebiet von Gent gemäß Artikel 2, 5, 6 und 7° des Dekrets vom 2. März 1999 über die Politik und das Management von Seehäfen;</w:t>
      </w:r>
    </w:p>
    <w:p w14:paraId="51AB52ED" w14:textId="77777777" w:rsidR="007915D0" w:rsidRPr="00416BB3" w:rsidRDefault="007915D0" w:rsidP="00F95BB6">
      <w:pPr>
        <w:pStyle w:val="Lijstalinea"/>
        <w:numPr>
          <w:ilvl w:val="0"/>
          <w:numId w:val="2"/>
        </w:numPr>
        <w:spacing w:after="0"/>
        <w:ind w:hanging="720"/>
        <w:rPr>
          <w:rFonts w:ascii="Verdana" w:hAnsi="Verdana" w:cs="Arial"/>
          <w:sz w:val="20"/>
          <w:szCs w:val="20"/>
        </w:rPr>
      </w:pPr>
      <w:r w:rsidRPr="00416BB3">
        <w:rPr>
          <w:rFonts w:ascii="Verdana" w:hAnsi="Verdana"/>
          <w:sz w:val="20"/>
          <w:szCs w:val="20"/>
        </w:rPr>
        <w:t>intermodales Terminal: Lager- und Umschlagbereich für intermodale Transporteinheiten (ITE);</w:t>
      </w:r>
    </w:p>
    <w:p w14:paraId="34992ED5" w14:textId="77777777" w:rsidR="00647CD4" w:rsidRPr="00416BB3" w:rsidRDefault="00A212BC" w:rsidP="00F95BB6">
      <w:pPr>
        <w:pStyle w:val="Lijstalinea"/>
        <w:numPr>
          <w:ilvl w:val="0"/>
          <w:numId w:val="2"/>
        </w:numPr>
        <w:spacing w:after="0"/>
        <w:ind w:hanging="720"/>
        <w:rPr>
          <w:rFonts w:ascii="Verdana" w:hAnsi="Verdana" w:cs="Arial"/>
          <w:sz w:val="20"/>
          <w:szCs w:val="20"/>
        </w:rPr>
      </w:pPr>
      <w:r w:rsidRPr="00416BB3">
        <w:rPr>
          <w:rFonts w:ascii="Verdana" w:hAnsi="Verdana"/>
          <w:sz w:val="20"/>
          <w:szCs w:val="20"/>
        </w:rPr>
        <w:t>Shuttle: Linienverkehr oder Zugverkehr zwischen zwei intermodalen Terminals innerhalb eines Hafengebiets oder zwischen zwei intermodalen Terminals in zwei Hafengebieten;</w:t>
      </w:r>
      <w:r w:rsidRPr="00416BB3">
        <w:rPr>
          <w:rFonts w:ascii="Verdana" w:hAnsi="Verdana"/>
          <w:sz w:val="20"/>
          <w:szCs w:val="20"/>
        </w:rPr>
        <w:tab/>
      </w:r>
    </w:p>
    <w:p w14:paraId="73A667F5" w14:textId="77777777" w:rsidR="0086180E" w:rsidRPr="00416BB3" w:rsidRDefault="00A212BC" w:rsidP="00F95BB6">
      <w:pPr>
        <w:pStyle w:val="Lijstalinea"/>
        <w:numPr>
          <w:ilvl w:val="0"/>
          <w:numId w:val="2"/>
        </w:numPr>
        <w:spacing w:after="0"/>
        <w:ind w:hanging="720"/>
        <w:rPr>
          <w:rFonts w:ascii="Verdana" w:hAnsi="Verdana" w:cs="Arial"/>
          <w:sz w:val="20"/>
          <w:szCs w:val="20"/>
        </w:rPr>
      </w:pPr>
      <w:r w:rsidRPr="00416BB3">
        <w:rPr>
          <w:rFonts w:ascii="Verdana" w:hAnsi="Verdana"/>
          <w:sz w:val="20"/>
          <w:szCs w:val="20"/>
        </w:rPr>
        <w:t>Zug: Eisenbahnverkehr, der Gegenstand einer registrierten Strecke ist.</w:t>
      </w:r>
    </w:p>
    <w:p w14:paraId="51EF2640" w14:textId="77777777" w:rsidR="0086282C" w:rsidRPr="00416BB3" w:rsidRDefault="0086282C" w:rsidP="00F95BB6">
      <w:pPr>
        <w:pStyle w:val="Lijstalinea"/>
        <w:spacing w:after="0"/>
        <w:rPr>
          <w:rFonts w:ascii="Verdana" w:hAnsi="Verdana" w:cs="Arial"/>
          <w:sz w:val="20"/>
          <w:szCs w:val="20"/>
        </w:rPr>
      </w:pPr>
    </w:p>
    <w:p w14:paraId="5E9B5604" w14:textId="77777777" w:rsidR="00287A33" w:rsidRPr="00416BB3" w:rsidRDefault="00287A33" w:rsidP="00F95BB6">
      <w:pPr>
        <w:pStyle w:val="Lijstalinea"/>
        <w:spacing w:after="0"/>
        <w:ind w:left="0"/>
        <w:rPr>
          <w:rFonts w:ascii="Verdana" w:hAnsi="Verdana" w:cs="Arial"/>
          <w:sz w:val="20"/>
          <w:szCs w:val="20"/>
        </w:rPr>
      </w:pPr>
      <w:r w:rsidRPr="00416BB3">
        <w:rPr>
          <w:rFonts w:ascii="Verdana" w:hAnsi="Verdana"/>
          <w:sz w:val="20"/>
          <w:szCs w:val="20"/>
        </w:rPr>
        <w:t>Kapitel 2. Unterstützung der Bündelung des ITE-Schienenverkehrs für Verbindungen</w:t>
      </w:r>
    </w:p>
    <w:p w14:paraId="083FBF75" w14:textId="77777777" w:rsidR="0086282C" w:rsidRPr="00416BB3" w:rsidRDefault="0086282C" w:rsidP="00F95BB6">
      <w:pPr>
        <w:spacing w:after="0"/>
        <w:rPr>
          <w:rFonts w:ascii="Verdana" w:hAnsi="Verdana" w:cs="Arial"/>
          <w:sz w:val="20"/>
          <w:szCs w:val="20"/>
        </w:rPr>
      </w:pPr>
    </w:p>
    <w:p w14:paraId="10A0A37B" w14:textId="26CA93CA" w:rsidR="0086282C" w:rsidRPr="00416BB3" w:rsidRDefault="003F4EF9" w:rsidP="00F95BB6">
      <w:pPr>
        <w:spacing w:after="0"/>
        <w:rPr>
          <w:rFonts w:ascii="Verdana" w:hAnsi="Verdana" w:cs="Arial"/>
          <w:sz w:val="20"/>
          <w:szCs w:val="20"/>
        </w:rPr>
      </w:pPr>
      <w:r w:rsidRPr="00416BB3">
        <w:rPr>
          <w:rFonts w:ascii="Verdana" w:hAnsi="Verdana"/>
          <w:b/>
          <w:sz w:val="20"/>
          <w:szCs w:val="20"/>
        </w:rPr>
        <w:t>Art. 2.</w:t>
      </w:r>
      <w:r w:rsidRPr="00416BB3">
        <w:rPr>
          <w:rFonts w:ascii="Verdana" w:hAnsi="Verdana"/>
          <w:sz w:val="20"/>
          <w:szCs w:val="20"/>
        </w:rPr>
        <w:t xml:space="preserve"> Jeder Betreiber, der gruppierte ITE auf der Schiene zwischen einem intermodalen Terminal in einem Hafengebiet und einem intermodalen Terminal außerhalb Belgiens transportiert, kann im Rahmen des Budgets einen Zuschuss erhalten.</w:t>
      </w:r>
    </w:p>
    <w:p w14:paraId="7DAC4D18" w14:textId="77777777" w:rsidR="00287A33" w:rsidRPr="00416BB3" w:rsidRDefault="00287A33" w:rsidP="00F95BB6">
      <w:pPr>
        <w:spacing w:after="0"/>
        <w:rPr>
          <w:rFonts w:ascii="Verdana" w:hAnsi="Verdana" w:cs="Arial"/>
          <w:sz w:val="20"/>
          <w:szCs w:val="20"/>
        </w:rPr>
      </w:pPr>
    </w:p>
    <w:p w14:paraId="56168063" w14:textId="0FA65920" w:rsidR="00647CD4" w:rsidRPr="00416BB3" w:rsidRDefault="003F4EF9" w:rsidP="00F95BB6">
      <w:pPr>
        <w:spacing w:after="0"/>
        <w:rPr>
          <w:rFonts w:ascii="Verdana" w:hAnsi="Verdana" w:cs="Arial"/>
          <w:sz w:val="20"/>
          <w:szCs w:val="20"/>
        </w:rPr>
      </w:pPr>
      <w:r w:rsidRPr="00416BB3">
        <w:rPr>
          <w:rFonts w:ascii="Verdana" w:hAnsi="Verdana"/>
          <w:b/>
          <w:sz w:val="20"/>
          <w:szCs w:val="20"/>
        </w:rPr>
        <w:t>Art. 3.</w:t>
      </w:r>
      <w:r w:rsidRPr="00416BB3">
        <w:rPr>
          <w:rFonts w:ascii="Verdana" w:hAnsi="Verdana"/>
          <w:sz w:val="20"/>
          <w:szCs w:val="20"/>
        </w:rPr>
        <w:t xml:space="preserve"> Der in Artikel 2 </w:t>
      </w:r>
      <w:r w:rsidR="00416BB3" w:rsidRPr="00416BB3">
        <w:rPr>
          <w:rFonts w:ascii="Verdana" w:hAnsi="Verdana"/>
          <w:sz w:val="20"/>
          <w:szCs w:val="20"/>
        </w:rPr>
        <w:t xml:space="preserve">erwähnte Zuschuss </w:t>
      </w:r>
      <w:r w:rsidRPr="00416BB3">
        <w:rPr>
          <w:rFonts w:ascii="Verdana" w:hAnsi="Verdana"/>
          <w:sz w:val="20"/>
          <w:szCs w:val="20"/>
        </w:rPr>
        <w:t>wird für jeden Zug nach der folgenden Formel gewährt: 250 Euro pro Zug und pro Verbindung.</w:t>
      </w:r>
    </w:p>
    <w:p w14:paraId="38483ABF" w14:textId="77777777" w:rsidR="0086282C" w:rsidRPr="00416BB3" w:rsidRDefault="0086282C" w:rsidP="00F95BB6">
      <w:pPr>
        <w:spacing w:after="0"/>
        <w:rPr>
          <w:rFonts w:ascii="Verdana" w:eastAsiaTheme="minorEastAsia" w:hAnsi="Verdana" w:cs="Arial"/>
          <w:sz w:val="20"/>
          <w:szCs w:val="20"/>
        </w:rPr>
      </w:pPr>
    </w:p>
    <w:p w14:paraId="460270A0" w14:textId="7BB5DD17" w:rsidR="00963419" w:rsidRPr="00416BB3" w:rsidRDefault="00647CD4" w:rsidP="00F95BB6">
      <w:pPr>
        <w:spacing w:after="0"/>
        <w:rPr>
          <w:rFonts w:ascii="Verdana" w:hAnsi="Verdana" w:cs="Arial"/>
          <w:sz w:val="20"/>
          <w:szCs w:val="20"/>
        </w:rPr>
      </w:pPr>
      <w:r w:rsidRPr="00416BB3">
        <w:rPr>
          <w:rFonts w:ascii="Verdana" w:hAnsi="Verdana"/>
          <w:sz w:val="20"/>
          <w:szCs w:val="20"/>
        </w:rPr>
        <w:t xml:space="preserve">Der Zuschuss wird für maximal ein Jahr </w:t>
      </w:r>
      <w:r w:rsidR="00416BB3" w:rsidRPr="00416BB3">
        <w:rPr>
          <w:rFonts w:ascii="Verdana" w:hAnsi="Verdana"/>
          <w:sz w:val="20"/>
          <w:szCs w:val="20"/>
        </w:rPr>
        <w:t>b</w:t>
      </w:r>
      <w:r w:rsidRPr="00416BB3">
        <w:rPr>
          <w:rFonts w:ascii="Verdana" w:hAnsi="Verdana"/>
          <w:sz w:val="20"/>
          <w:szCs w:val="20"/>
        </w:rPr>
        <w:t>ezahlt.</w:t>
      </w:r>
    </w:p>
    <w:p w14:paraId="66A78FA7" w14:textId="77777777" w:rsidR="0086282C" w:rsidRPr="00416BB3" w:rsidRDefault="0086282C" w:rsidP="00F95BB6">
      <w:pPr>
        <w:spacing w:after="0"/>
        <w:rPr>
          <w:rFonts w:ascii="Verdana" w:eastAsiaTheme="minorEastAsia" w:hAnsi="Verdana" w:cs="Arial"/>
          <w:sz w:val="20"/>
          <w:szCs w:val="20"/>
        </w:rPr>
      </w:pPr>
    </w:p>
    <w:p w14:paraId="453ED83A" w14:textId="77777777" w:rsidR="00963419" w:rsidRPr="00416BB3" w:rsidRDefault="00DB0D05" w:rsidP="00F95BB6">
      <w:pPr>
        <w:spacing w:after="0"/>
        <w:rPr>
          <w:rFonts w:ascii="Verdana" w:hAnsi="Verdana" w:cs="Arial"/>
          <w:sz w:val="20"/>
          <w:szCs w:val="20"/>
        </w:rPr>
      </w:pPr>
      <w:r w:rsidRPr="00416BB3">
        <w:rPr>
          <w:rFonts w:ascii="Verdana" w:hAnsi="Verdana"/>
          <w:b/>
          <w:sz w:val="20"/>
          <w:szCs w:val="20"/>
        </w:rPr>
        <w:t>Art. 4.</w:t>
      </w:r>
      <w:r w:rsidRPr="00416BB3">
        <w:rPr>
          <w:rFonts w:ascii="Verdana" w:hAnsi="Verdana"/>
          <w:sz w:val="20"/>
          <w:szCs w:val="20"/>
        </w:rPr>
        <w:t xml:space="preserve"> Im vorliegenden Artikel gelten folgende Begriffsbestimmungen:</w:t>
      </w:r>
    </w:p>
    <w:p w14:paraId="16FA0BC1" w14:textId="0AEFAB9A" w:rsidR="00054D21" w:rsidRPr="00416BB3" w:rsidRDefault="00054D21" w:rsidP="00054D21">
      <w:pPr>
        <w:pStyle w:val="Lijstalinea"/>
        <w:numPr>
          <w:ilvl w:val="0"/>
          <w:numId w:val="4"/>
        </w:numPr>
        <w:spacing w:after="0"/>
        <w:ind w:hanging="720"/>
        <w:rPr>
          <w:rFonts w:ascii="Verdana" w:hAnsi="Verdana" w:cs="Arial"/>
          <w:sz w:val="20"/>
          <w:szCs w:val="20"/>
        </w:rPr>
      </w:pPr>
      <w:r w:rsidRPr="00416BB3">
        <w:rPr>
          <w:rFonts w:ascii="Verdana" w:hAnsi="Verdana"/>
          <w:sz w:val="20"/>
          <w:szCs w:val="20"/>
        </w:rPr>
        <w:t>bestehender Eisenbahndienst: ein im Verzeichnis der Eisenbahndienste enthaltener Eisenbahndienst, bei dem Herkunft</w:t>
      </w:r>
      <w:r w:rsidR="00416BB3" w:rsidRPr="00416BB3">
        <w:rPr>
          <w:rFonts w:ascii="Verdana" w:hAnsi="Verdana"/>
          <w:sz w:val="20"/>
          <w:szCs w:val="20"/>
        </w:rPr>
        <w:t>s-</w:t>
      </w:r>
      <w:r w:rsidRPr="00416BB3">
        <w:rPr>
          <w:rFonts w:ascii="Verdana" w:hAnsi="Verdana"/>
          <w:sz w:val="20"/>
          <w:szCs w:val="20"/>
        </w:rPr>
        <w:t xml:space="preserve"> und Ziel</w:t>
      </w:r>
      <w:r w:rsidR="00416BB3" w:rsidRPr="00416BB3">
        <w:rPr>
          <w:rFonts w:ascii="Verdana" w:hAnsi="Verdana"/>
          <w:sz w:val="20"/>
          <w:szCs w:val="20"/>
        </w:rPr>
        <w:t>ort</w:t>
      </w:r>
      <w:r w:rsidRPr="00416BB3">
        <w:rPr>
          <w:rFonts w:ascii="Verdana" w:hAnsi="Verdana"/>
          <w:sz w:val="20"/>
          <w:szCs w:val="20"/>
        </w:rPr>
        <w:t xml:space="preserve"> Bahnh</w:t>
      </w:r>
      <w:r w:rsidR="00BA32C0" w:rsidRPr="00416BB3">
        <w:rPr>
          <w:rFonts w:ascii="Verdana" w:hAnsi="Verdana"/>
          <w:sz w:val="20"/>
          <w:szCs w:val="20"/>
        </w:rPr>
        <w:t>ofsterminals</w:t>
      </w:r>
      <w:r w:rsidRPr="00416BB3">
        <w:rPr>
          <w:rFonts w:ascii="Verdana" w:hAnsi="Verdana"/>
          <w:sz w:val="20"/>
          <w:szCs w:val="20"/>
        </w:rPr>
        <w:t xml:space="preserve"> sind;</w:t>
      </w:r>
    </w:p>
    <w:p w14:paraId="11A1A70F" w14:textId="77777777" w:rsidR="00054D21" w:rsidRPr="00416BB3" w:rsidRDefault="00054D21" w:rsidP="00F95BB6">
      <w:pPr>
        <w:pStyle w:val="Lijstalinea"/>
        <w:numPr>
          <w:ilvl w:val="0"/>
          <w:numId w:val="4"/>
        </w:numPr>
        <w:spacing w:after="0"/>
        <w:ind w:hanging="720"/>
        <w:rPr>
          <w:rFonts w:ascii="Verdana" w:hAnsi="Verdana" w:cs="Arial"/>
          <w:sz w:val="20"/>
          <w:szCs w:val="20"/>
        </w:rPr>
      </w:pPr>
      <w:r w:rsidRPr="00416BB3">
        <w:rPr>
          <w:rFonts w:ascii="Verdana" w:hAnsi="Verdana"/>
          <w:sz w:val="20"/>
          <w:szCs w:val="20"/>
        </w:rPr>
        <w:t>Region eines bestehenden Eisenbahndienstes: für Regionen innerhalb der Europäischen Union ist dies die NUTS 2-Region und für Regionen außerhalb der Europäischen Union ist dies die Statistische Region 2, wie von Eurostat definiert;</w:t>
      </w:r>
    </w:p>
    <w:p w14:paraId="0192A9EB" w14:textId="2796EA52" w:rsidR="00F216F2" w:rsidRPr="00416BB3" w:rsidRDefault="00E7214C" w:rsidP="00F95BB6">
      <w:pPr>
        <w:pStyle w:val="Lijstalinea"/>
        <w:numPr>
          <w:ilvl w:val="0"/>
          <w:numId w:val="4"/>
        </w:numPr>
        <w:spacing w:after="0"/>
        <w:ind w:hanging="720"/>
        <w:rPr>
          <w:rFonts w:ascii="Verdana" w:hAnsi="Verdana" w:cs="Arial"/>
          <w:iCs/>
          <w:sz w:val="20"/>
          <w:szCs w:val="20"/>
        </w:rPr>
      </w:pPr>
      <w:r w:rsidRPr="00416BB3">
        <w:rPr>
          <w:rFonts w:ascii="Verdana" w:hAnsi="Verdana"/>
          <w:iCs/>
          <w:sz w:val="20"/>
          <w:szCs w:val="20"/>
        </w:rPr>
        <w:t xml:space="preserve">Eisenbahndienst mit neuem </w:t>
      </w:r>
      <w:r w:rsidR="00416BB3" w:rsidRPr="00416BB3">
        <w:rPr>
          <w:rFonts w:ascii="Verdana" w:hAnsi="Verdana"/>
          <w:iCs/>
          <w:sz w:val="20"/>
          <w:szCs w:val="20"/>
        </w:rPr>
        <w:t>Herkunfts-</w:t>
      </w:r>
      <w:r w:rsidRPr="00416BB3">
        <w:rPr>
          <w:rFonts w:ascii="Verdana" w:hAnsi="Verdana"/>
          <w:iCs/>
          <w:sz w:val="20"/>
          <w:szCs w:val="20"/>
        </w:rPr>
        <w:t xml:space="preserve"> oder Ziel</w:t>
      </w:r>
      <w:r w:rsidR="00416BB3" w:rsidRPr="00416BB3">
        <w:rPr>
          <w:rFonts w:ascii="Verdana" w:hAnsi="Verdana"/>
          <w:iCs/>
          <w:sz w:val="20"/>
          <w:szCs w:val="20"/>
        </w:rPr>
        <w:t>ort</w:t>
      </w:r>
      <w:r w:rsidRPr="00416BB3">
        <w:rPr>
          <w:rFonts w:ascii="Verdana" w:hAnsi="Verdana"/>
          <w:iCs/>
          <w:sz w:val="20"/>
          <w:szCs w:val="20"/>
        </w:rPr>
        <w:t xml:space="preserve"> im Hinterland:</w:t>
      </w:r>
    </w:p>
    <w:p w14:paraId="728D4A13" w14:textId="63A8082E" w:rsidR="00B51CF8" w:rsidRPr="00416BB3" w:rsidRDefault="00950432" w:rsidP="00F95BB6">
      <w:pPr>
        <w:pStyle w:val="Lijstalinea"/>
        <w:numPr>
          <w:ilvl w:val="1"/>
          <w:numId w:val="4"/>
        </w:numPr>
        <w:spacing w:after="0"/>
        <w:ind w:hanging="720"/>
        <w:rPr>
          <w:rFonts w:ascii="Verdana" w:hAnsi="Verdana" w:cs="Arial"/>
          <w:iCs/>
          <w:sz w:val="20"/>
          <w:szCs w:val="20"/>
        </w:rPr>
      </w:pPr>
      <w:r w:rsidRPr="00416BB3">
        <w:rPr>
          <w:rFonts w:ascii="Verdana" w:hAnsi="Verdana"/>
          <w:iCs/>
          <w:sz w:val="20"/>
          <w:szCs w:val="20"/>
        </w:rPr>
        <w:t>ein Eisenbahndienst, der kein bestehender Eisenbahndienst ist und dessen Ziel</w:t>
      </w:r>
      <w:r w:rsidR="00416BB3" w:rsidRPr="00416BB3">
        <w:rPr>
          <w:rFonts w:ascii="Verdana" w:hAnsi="Verdana"/>
          <w:iCs/>
          <w:sz w:val="20"/>
          <w:szCs w:val="20"/>
        </w:rPr>
        <w:t>-</w:t>
      </w:r>
      <w:r w:rsidRPr="00416BB3">
        <w:rPr>
          <w:rFonts w:ascii="Verdana" w:hAnsi="Verdana"/>
          <w:iCs/>
          <w:sz w:val="20"/>
          <w:szCs w:val="20"/>
        </w:rPr>
        <w:t xml:space="preserve"> oder </w:t>
      </w:r>
      <w:r w:rsidR="00416BB3" w:rsidRPr="00416BB3">
        <w:rPr>
          <w:rFonts w:ascii="Verdana" w:hAnsi="Verdana"/>
          <w:iCs/>
          <w:sz w:val="20"/>
          <w:szCs w:val="20"/>
        </w:rPr>
        <w:t>Herkunftsort</w:t>
      </w:r>
      <w:r w:rsidRPr="00416BB3">
        <w:rPr>
          <w:rFonts w:ascii="Verdana" w:hAnsi="Verdana"/>
          <w:iCs/>
          <w:sz w:val="20"/>
          <w:szCs w:val="20"/>
        </w:rPr>
        <w:t xml:space="preserve"> im Hinterland nicht zur Region eines bestehenden Eisenbahndienstes gehört, der vor weniger als drei Monaten eingestellt wurde;</w:t>
      </w:r>
    </w:p>
    <w:p w14:paraId="315FB377" w14:textId="77777777" w:rsidR="00054D21" w:rsidRPr="00416BB3" w:rsidRDefault="00B51CF8" w:rsidP="00F95BB6">
      <w:pPr>
        <w:pStyle w:val="Lijstalinea"/>
        <w:numPr>
          <w:ilvl w:val="1"/>
          <w:numId w:val="4"/>
        </w:numPr>
        <w:spacing w:after="0"/>
        <w:ind w:hanging="720"/>
        <w:rPr>
          <w:rFonts w:ascii="Verdana" w:hAnsi="Verdana" w:cs="Arial"/>
          <w:iCs/>
          <w:sz w:val="20"/>
          <w:szCs w:val="20"/>
        </w:rPr>
      </w:pPr>
      <w:r w:rsidRPr="00416BB3">
        <w:rPr>
          <w:rFonts w:ascii="Verdana" w:hAnsi="Verdana"/>
          <w:iCs/>
          <w:sz w:val="20"/>
          <w:szCs w:val="20"/>
        </w:rPr>
        <w:t>ein bestehender Eisenbahndienst, der vor mindestens drei Monaten eingestellt wurde;</w:t>
      </w:r>
    </w:p>
    <w:p w14:paraId="3F74A549" w14:textId="404EB5FC" w:rsidR="00054D21" w:rsidRPr="00416BB3" w:rsidRDefault="00054D21" w:rsidP="00F95BB6">
      <w:pPr>
        <w:pStyle w:val="Lijstalinea"/>
        <w:numPr>
          <w:ilvl w:val="0"/>
          <w:numId w:val="4"/>
        </w:numPr>
        <w:spacing w:after="0"/>
        <w:ind w:hanging="720"/>
        <w:rPr>
          <w:rFonts w:ascii="Verdana" w:hAnsi="Verdana" w:cs="Arial"/>
          <w:sz w:val="20"/>
          <w:szCs w:val="20"/>
        </w:rPr>
      </w:pPr>
      <w:r w:rsidRPr="00416BB3">
        <w:rPr>
          <w:rFonts w:ascii="Verdana" w:hAnsi="Verdana"/>
          <w:sz w:val="20"/>
          <w:szCs w:val="20"/>
        </w:rPr>
        <w:t xml:space="preserve">erhöhte </w:t>
      </w:r>
      <w:r w:rsidR="00416BB3" w:rsidRPr="00416BB3">
        <w:rPr>
          <w:rFonts w:ascii="Verdana" w:hAnsi="Verdana"/>
          <w:sz w:val="20"/>
          <w:szCs w:val="20"/>
        </w:rPr>
        <w:t>Häufigkeit</w:t>
      </w:r>
      <w:r w:rsidRPr="00416BB3">
        <w:rPr>
          <w:rFonts w:ascii="Verdana" w:hAnsi="Verdana"/>
          <w:sz w:val="20"/>
          <w:szCs w:val="20"/>
        </w:rPr>
        <w:t xml:space="preserve"> eines Eisenbahndienstes: ein zusätzlicher wöchentlicher Zug einer Verbindung.</w:t>
      </w:r>
    </w:p>
    <w:p w14:paraId="78F5BF2D" w14:textId="77777777" w:rsidR="00054D21" w:rsidRPr="00416BB3" w:rsidRDefault="00054D21" w:rsidP="00F95BB6">
      <w:pPr>
        <w:spacing w:after="0"/>
        <w:rPr>
          <w:rFonts w:ascii="Verdana" w:hAnsi="Verdana" w:cs="Arial"/>
          <w:sz w:val="20"/>
          <w:szCs w:val="20"/>
        </w:rPr>
      </w:pPr>
    </w:p>
    <w:p w14:paraId="06B42380" w14:textId="77777777" w:rsidR="00054D21" w:rsidRPr="00416BB3" w:rsidRDefault="00054D21" w:rsidP="004D1CA3">
      <w:pPr>
        <w:spacing w:after="0"/>
        <w:ind w:left="705"/>
        <w:rPr>
          <w:rFonts w:ascii="Verdana" w:hAnsi="Verdana" w:cs="Arial"/>
          <w:sz w:val="20"/>
          <w:szCs w:val="20"/>
        </w:rPr>
      </w:pPr>
      <w:r w:rsidRPr="00416BB3">
        <w:rPr>
          <w:rFonts w:ascii="Verdana" w:hAnsi="Verdana"/>
          <w:sz w:val="20"/>
          <w:szCs w:val="20"/>
        </w:rPr>
        <w:t>Ein Zug wird subventioniert, wenn folgende Bedingungen erfüllt sind:</w:t>
      </w:r>
    </w:p>
    <w:p w14:paraId="47C2AC9B" w14:textId="2567A00F" w:rsidR="00054D21" w:rsidRPr="00416BB3" w:rsidRDefault="00054D21" w:rsidP="00054D21">
      <w:pPr>
        <w:pStyle w:val="Lijstalinea"/>
        <w:numPr>
          <w:ilvl w:val="0"/>
          <w:numId w:val="3"/>
        </w:numPr>
        <w:spacing w:after="0"/>
        <w:ind w:hanging="720"/>
        <w:rPr>
          <w:rFonts w:ascii="Verdana" w:hAnsi="Verdana" w:cs="Arial"/>
          <w:sz w:val="20"/>
          <w:szCs w:val="20"/>
        </w:rPr>
      </w:pPr>
      <w:r w:rsidRPr="00416BB3">
        <w:rPr>
          <w:rFonts w:ascii="Verdana" w:hAnsi="Verdana"/>
          <w:sz w:val="20"/>
          <w:szCs w:val="20"/>
        </w:rPr>
        <w:t>﻿</w:t>
      </w:r>
      <w:r w:rsidR="00BA32C0" w:rsidRPr="00416BB3">
        <w:rPr>
          <w:rFonts w:ascii="Verdana" w:hAnsi="Verdana"/>
          <w:sz w:val="20"/>
          <w:szCs w:val="20"/>
        </w:rPr>
        <w:t>I</w:t>
      </w:r>
      <w:r w:rsidRPr="00416BB3">
        <w:rPr>
          <w:rFonts w:ascii="Verdana" w:hAnsi="Verdana"/>
          <w:sz w:val="20"/>
          <w:szCs w:val="20"/>
        </w:rPr>
        <w:t>m Durchschnitt über ein Quartal beziehen sich mindestens 20 % des Gesamtzugvolumens, ausgedrückt in Anzahl der Wagen, auf ITE</w:t>
      </w:r>
      <w:r w:rsidR="00BA32C0" w:rsidRPr="00416BB3">
        <w:rPr>
          <w:rFonts w:ascii="Verdana" w:hAnsi="Verdana"/>
          <w:sz w:val="20"/>
          <w:szCs w:val="20"/>
        </w:rPr>
        <w:t>.</w:t>
      </w:r>
      <w:r w:rsidRPr="00416BB3">
        <w:rPr>
          <w:rFonts w:ascii="Verdana" w:hAnsi="Verdana"/>
          <w:sz w:val="20"/>
          <w:szCs w:val="20"/>
        </w:rPr>
        <w:t xml:space="preserve"> </w:t>
      </w:r>
    </w:p>
    <w:p w14:paraId="12649E9D" w14:textId="50D14553" w:rsidR="00054D21" w:rsidRPr="00416BB3" w:rsidRDefault="00BA32C0" w:rsidP="00054D21">
      <w:pPr>
        <w:pStyle w:val="Lijstalinea"/>
        <w:numPr>
          <w:ilvl w:val="0"/>
          <w:numId w:val="3"/>
        </w:numPr>
        <w:spacing w:after="0"/>
        <w:ind w:hanging="720"/>
        <w:rPr>
          <w:rFonts w:ascii="Verdana" w:hAnsi="Verdana" w:cs="Arial"/>
          <w:sz w:val="20"/>
          <w:szCs w:val="20"/>
        </w:rPr>
      </w:pPr>
      <w:r w:rsidRPr="00416BB3">
        <w:rPr>
          <w:rFonts w:ascii="Verdana" w:hAnsi="Verdana"/>
          <w:sz w:val="20"/>
          <w:szCs w:val="20"/>
        </w:rPr>
        <w:t>I</w:t>
      </w:r>
      <w:r w:rsidR="00054D21" w:rsidRPr="00416BB3">
        <w:rPr>
          <w:rFonts w:ascii="Verdana" w:hAnsi="Verdana"/>
          <w:sz w:val="20"/>
          <w:szCs w:val="20"/>
        </w:rPr>
        <w:t xml:space="preserve">m Durchschnitt über ein Quartal </w:t>
      </w:r>
      <w:r w:rsidRPr="00416BB3">
        <w:rPr>
          <w:rFonts w:ascii="Verdana" w:hAnsi="Verdana"/>
          <w:sz w:val="20"/>
          <w:szCs w:val="20"/>
        </w:rPr>
        <w:t>ist</w:t>
      </w:r>
      <w:r w:rsidR="00054D21" w:rsidRPr="00416BB3">
        <w:rPr>
          <w:rFonts w:ascii="Verdana" w:hAnsi="Verdana"/>
          <w:sz w:val="20"/>
          <w:szCs w:val="20"/>
        </w:rPr>
        <w:t xml:space="preserve"> der </w:t>
      </w:r>
      <w:r w:rsidR="00416BB3" w:rsidRPr="00416BB3">
        <w:rPr>
          <w:rFonts w:ascii="Verdana" w:hAnsi="Verdana"/>
          <w:sz w:val="20"/>
          <w:szCs w:val="20"/>
        </w:rPr>
        <w:t>Herkunfts-</w:t>
      </w:r>
      <w:r w:rsidR="00054D21" w:rsidRPr="00416BB3">
        <w:rPr>
          <w:rFonts w:ascii="Verdana" w:hAnsi="Verdana"/>
          <w:sz w:val="20"/>
          <w:szCs w:val="20"/>
        </w:rPr>
        <w:t xml:space="preserve"> bzw. d</w:t>
      </w:r>
      <w:r w:rsidRPr="00416BB3">
        <w:rPr>
          <w:rFonts w:ascii="Verdana" w:hAnsi="Verdana"/>
          <w:sz w:val="20"/>
          <w:szCs w:val="20"/>
        </w:rPr>
        <w:t>er</w:t>
      </w:r>
      <w:r w:rsidR="00054D21" w:rsidRPr="00416BB3">
        <w:rPr>
          <w:rFonts w:ascii="Verdana" w:hAnsi="Verdana"/>
          <w:sz w:val="20"/>
          <w:szCs w:val="20"/>
        </w:rPr>
        <w:t xml:space="preserve"> </w:t>
      </w:r>
      <w:r w:rsidRPr="00416BB3">
        <w:rPr>
          <w:rFonts w:ascii="Verdana" w:hAnsi="Verdana"/>
          <w:sz w:val="20"/>
          <w:szCs w:val="20"/>
        </w:rPr>
        <w:t>Zielort</w:t>
      </w:r>
      <w:r w:rsidR="00054D21" w:rsidRPr="00416BB3">
        <w:rPr>
          <w:rFonts w:ascii="Verdana" w:hAnsi="Verdana"/>
          <w:sz w:val="20"/>
          <w:szCs w:val="20"/>
        </w:rPr>
        <w:t xml:space="preserve"> von mindestens 20 % der ITE, ausgedrückt in TEU, ein zweites intermodales Terminal in einem Hafengebiet</w:t>
      </w:r>
      <w:r w:rsidRPr="00416BB3">
        <w:rPr>
          <w:rFonts w:ascii="Verdana" w:hAnsi="Verdana"/>
          <w:sz w:val="20"/>
          <w:szCs w:val="20"/>
        </w:rPr>
        <w:t>.</w:t>
      </w:r>
      <w:r w:rsidR="00054D21" w:rsidRPr="00416BB3">
        <w:rPr>
          <w:rFonts w:ascii="Verdana" w:hAnsi="Verdana"/>
          <w:sz w:val="20"/>
          <w:szCs w:val="20"/>
        </w:rPr>
        <w:t xml:space="preserve"> </w:t>
      </w:r>
    </w:p>
    <w:p w14:paraId="39259A84" w14:textId="22536123" w:rsidR="00054D21" w:rsidRPr="00416BB3" w:rsidRDefault="00BA32C0" w:rsidP="00054D21">
      <w:pPr>
        <w:pStyle w:val="Lijstalinea"/>
        <w:numPr>
          <w:ilvl w:val="0"/>
          <w:numId w:val="3"/>
        </w:numPr>
        <w:spacing w:after="0"/>
        <w:ind w:hanging="720"/>
        <w:rPr>
          <w:rFonts w:ascii="Verdana" w:hAnsi="Verdana" w:cs="Arial"/>
          <w:sz w:val="20"/>
          <w:szCs w:val="20"/>
        </w:rPr>
      </w:pPr>
      <w:r w:rsidRPr="00416BB3">
        <w:rPr>
          <w:rFonts w:ascii="Verdana" w:hAnsi="Verdana"/>
          <w:sz w:val="20"/>
          <w:szCs w:val="20"/>
        </w:rPr>
        <w:lastRenderedPageBreak/>
        <w:t>D</w:t>
      </w:r>
      <w:r w:rsidR="00054D21" w:rsidRPr="00416BB3">
        <w:rPr>
          <w:rFonts w:ascii="Verdana" w:hAnsi="Verdana"/>
          <w:sz w:val="20"/>
          <w:szCs w:val="20"/>
        </w:rPr>
        <w:t>er Zug gehört zu einem direkten Eisenbahndienst für die Hauptstrecke zu oder aus einem Hafengebiet</w:t>
      </w:r>
      <w:r w:rsidR="00416BB3" w:rsidRPr="00416BB3">
        <w:rPr>
          <w:rFonts w:ascii="Verdana" w:hAnsi="Verdana"/>
          <w:sz w:val="20"/>
          <w:szCs w:val="20"/>
        </w:rPr>
        <w:t>.</w:t>
      </w:r>
      <w:r w:rsidR="00054D21" w:rsidRPr="00416BB3">
        <w:rPr>
          <w:rFonts w:ascii="Verdana" w:hAnsi="Verdana"/>
          <w:sz w:val="20"/>
          <w:szCs w:val="20"/>
        </w:rPr>
        <w:t xml:space="preserve"> </w:t>
      </w:r>
    </w:p>
    <w:p w14:paraId="72A59D9B" w14:textId="3DD1FA94" w:rsidR="00054D21" w:rsidRPr="00416BB3" w:rsidRDefault="00BA32C0" w:rsidP="00054D21">
      <w:pPr>
        <w:pStyle w:val="Lijstalinea"/>
        <w:numPr>
          <w:ilvl w:val="0"/>
          <w:numId w:val="3"/>
        </w:numPr>
        <w:spacing w:after="0"/>
        <w:ind w:hanging="720"/>
        <w:rPr>
          <w:rFonts w:ascii="Verdana" w:hAnsi="Verdana" w:cs="Arial"/>
          <w:sz w:val="20"/>
          <w:szCs w:val="20"/>
        </w:rPr>
      </w:pPr>
      <w:r w:rsidRPr="00416BB3">
        <w:rPr>
          <w:rFonts w:ascii="Verdana" w:hAnsi="Verdana"/>
          <w:sz w:val="20"/>
          <w:szCs w:val="20"/>
        </w:rPr>
        <w:t>E</w:t>
      </w:r>
      <w:r w:rsidR="00054D21" w:rsidRPr="00416BB3">
        <w:rPr>
          <w:rFonts w:ascii="Verdana" w:hAnsi="Verdana"/>
          <w:sz w:val="20"/>
          <w:szCs w:val="20"/>
        </w:rPr>
        <w:t xml:space="preserve">s wird eine erhöhte Häufigkeit von Eisenbahndiensten oder Eisenbahndiensten mit neuem </w:t>
      </w:r>
      <w:r w:rsidR="00416BB3" w:rsidRPr="00416BB3">
        <w:rPr>
          <w:rFonts w:ascii="Verdana" w:hAnsi="Verdana"/>
          <w:sz w:val="20"/>
          <w:szCs w:val="20"/>
        </w:rPr>
        <w:t>Herkunfts-</w:t>
      </w:r>
      <w:r w:rsidR="00054D21" w:rsidRPr="00416BB3">
        <w:rPr>
          <w:rFonts w:ascii="Verdana" w:hAnsi="Verdana"/>
          <w:sz w:val="20"/>
          <w:szCs w:val="20"/>
        </w:rPr>
        <w:t xml:space="preserve"> oder neue</w:t>
      </w:r>
      <w:r w:rsidRPr="00416BB3">
        <w:rPr>
          <w:rFonts w:ascii="Verdana" w:hAnsi="Verdana"/>
          <w:sz w:val="20"/>
          <w:szCs w:val="20"/>
        </w:rPr>
        <w:t>m</w:t>
      </w:r>
      <w:r w:rsidR="00054D21" w:rsidRPr="00416BB3">
        <w:rPr>
          <w:rFonts w:ascii="Verdana" w:hAnsi="Verdana"/>
          <w:sz w:val="20"/>
          <w:szCs w:val="20"/>
        </w:rPr>
        <w:t xml:space="preserve"> Zielort im Hinterland erreicht.</w:t>
      </w:r>
    </w:p>
    <w:p w14:paraId="569C337A" w14:textId="77777777" w:rsidR="0086282C" w:rsidRPr="00416BB3" w:rsidRDefault="0086282C" w:rsidP="00F95BB6">
      <w:pPr>
        <w:spacing w:after="0"/>
        <w:rPr>
          <w:rFonts w:ascii="Verdana" w:hAnsi="Verdana" w:cs="Arial"/>
          <w:sz w:val="20"/>
          <w:szCs w:val="20"/>
        </w:rPr>
      </w:pPr>
    </w:p>
    <w:p w14:paraId="416FA603" w14:textId="3B86D170" w:rsidR="0086282C" w:rsidRPr="00416BB3" w:rsidRDefault="00DB0D05" w:rsidP="00F95BB6">
      <w:pPr>
        <w:spacing w:after="0"/>
        <w:rPr>
          <w:rFonts w:ascii="Verdana" w:hAnsi="Verdana" w:cs="Arial"/>
          <w:sz w:val="20"/>
          <w:szCs w:val="20"/>
        </w:rPr>
      </w:pPr>
      <w:r w:rsidRPr="00416BB3">
        <w:rPr>
          <w:rFonts w:ascii="Verdana" w:hAnsi="Verdana"/>
          <w:b/>
          <w:sz w:val="20"/>
          <w:szCs w:val="20"/>
        </w:rPr>
        <w:t>Art. 5.</w:t>
      </w:r>
      <w:r w:rsidRPr="00416BB3">
        <w:rPr>
          <w:rFonts w:ascii="Verdana" w:hAnsi="Verdana"/>
          <w:sz w:val="20"/>
          <w:szCs w:val="20"/>
        </w:rPr>
        <w:t xml:space="preserve"> ﻿Wird ein Zug, der gemäß diesem Erlass </w:t>
      </w:r>
      <w:r w:rsidR="00BA32C0" w:rsidRPr="00416BB3">
        <w:rPr>
          <w:rFonts w:ascii="Verdana" w:hAnsi="Verdana"/>
          <w:sz w:val="20"/>
          <w:szCs w:val="20"/>
        </w:rPr>
        <w:t>maximal</w:t>
      </w:r>
      <w:r w:rsidRPr="00416BB3">
        <w:rPr>
          <w:rFonts w:ascii="Verdana" w:hAnsi="Verdana"/>
          <w:sz w:val="20"/>
          <w:szCs w:val="20"/>
        </w:rPr>
        <w:t xml:space="preserve"> subventioniert wurde, eingestellt und der Zug erneut von demselben oder einem anderen Betreiber gestartet, so wird dieser Zug nicht mehr für einen Zuschuss auf der Grundlage dieses Erlasses in Frage kommen.</w:t>
      </w:r>
    </w:p>
    <w:p w14:paraId="7340A0FF" w14:textId="77777777" w:rsidR="00CB4540" w:rsidRPr="00416BB3" w:rsidRDefault="00CB4540" w:rsidP="00F95BB6">
      <w:pPr>
        <w:spacing w:after="0"/>
        <w:rPr>
          <w:rFonts w:ascii="Verdana" w:hAnsi="Verdana" w:cs="Arial"/>
          <w:sz w:val="20"/>
          <w:szCs w:val="20"/>
        </w:rPr>
      </w:pPr>
    </w:p>
    <w:p w14:paraId="116D43A9" w14:textId="77777777" w:rsidR="006A1CB5" w:rsidRPr="00416BB3" w:rsidRDefault="00711674" w:rsidP="00F95BB6">
      <w:pPr>
        <w:spacing w:after="0"/>
        <w:rPr>
          <w:rFonts w:ascii="Verdana" w:hAnsi="Verdana" w:cs="Arial"/>
          <w:sz w:val="20"/>
          <w:szCs w:val="20"/>
        </w:rPr>
      </w:pPr>
      <w:r w:rsidRPr="00416BB3">
        <w:rPr>
          <w:rFonts w:ascii="Verdana" w:hAnsi="Verdana"/>
          <w:sz w:val="20"/>
          <w:szCs w:val="20"/>
        </w:rPr>
        <w:t>Kapitel 3. Unterstützung der Bündelung des ITE-Eisenbahnverkehrs für Shuttles</w:t>
      </w:r>
    </w:p>
    <w:p w14:paraId="27C968F6" w14:textId="77777777" w:rsidR="0086282C" w:rsidRPr="00416BB3" w:rsidRDefault="0086282C" w:rsidP="00F95BB6">
      <w:pPr>
        <w:spacing w:after="0"/>
        <w:rPr>
          <w:rFonts w:ascii="Verdana" w:hAnsi="Verdana" w:cs="Arial"/>
          <w:sz w:val="20"/>
          <w:szCs w:val="20"/>
        </w:rPr>
      </w:pPr>
    </w:p>
    <w:p w14:paraId="74CC728A" w14:textId="77777777" w:rsidR="0086282C" w:rsidRPr="00416BB3" w:rsidRDefault="00CA3BA7" w:rsidP="00F95BB6">
      <w:pPr>
        <w:spacing w:after="0"/>
        <w:rPr>
          <w:rFonts w:ascii="Verdana" w:hAnsi="Verdana" w:cs="Arial"/>
          <w:sz w:val="20"/>
          <w:szCs w:val="20"/>
        </w:rPr>
      </w:pPr>
      <w:r w:rsidRPr="00416BB3">
        <w:rPr>
          <w:rFonts w:ascii="Verdana" w:hAnsi="Verdana"/>
          <w:b/>
          <w:sz w:val="20"/>
          <w:szCs w:val="20"/>
        </w:rPr>
        <w:t>Art. 6.</w:t>
      </w:r>
      <w:r w:rsidRPr="00416BB3">
        <w:rPr>
          <w:rFonts w:ascii="Verdana" w:hAnsi="Verdana"/>
          <w:sz w:val="20"/>
          <w:szCs w:val="20"/>
        </w:rPr>
        <w:t xml:space="preserve"> Jeder Betreiber, der mit einem Zug ITE zwischen zwei in einem oder zwei Hafengebieten gelegenen intermodalen Terminals befördert, kann im Rahmen des Budgets einen Zuschuss erhalten.</w:t>
      </w:r>
    </w:p>
    <w:p w14:paraId="62531BC8" w14:textId="77777777" w:rsidR="00CA3BA7" w:rsidRPr="00416BB3" w:rsidRDefault="00CA3BA7" w:rsidP="00F95BB6">
      <w:pPr>
        <w:spacing w:after="0"/>
        <w:rPr>
          <w:rFonts w:ascii="Verdana" w:hAnsi="Verdana" w:cs="Arial"/>
          <w:sz w:val="20"/>
          <w:szCs w:val="20"/>
        </w:rPr>
      </w:pPr>
    </w:p>
    <w:p w14:paraId="295DA70B" w14:textId="77777777" w:rsidR="0086282C" w:rsidRPr="00416BB3" w:rsidRDefault="00CA3BA7" w:rsidP="00F95BB6">
      <w:pPr>
        <w:spacing w:after="0"/>
        <w:rPr>
          <w:rFonts w:ascii="Verdana" w:hAnsi="Verdana" w:cs="Arial"/>
          <w:sz w:val="20"/>
          <w:szCs w:val="20"/>
        </w:rPr>
      </w:pPr>
      <w:r w:rsidRPr="00416BB3">
        <w:rPr>
          <w:rFonts w:ascii="Verdana" w:hAnsi="Verdana"/>
          <w:b/>
          <w:sz w:val="20"/>
          <w:szCs w:val="20"/>
        </w:rPr>
        <w:t>Art. 7.</w:t>
      </w:r>
      <w:r w:rsidRPr="00416BB3">
        <w:rPr>
          <w:rFonts w:ascii="Verdana" w:hAnsi="Verdana"/>
          <w:sz w:val="20"/>
          <w:szCs w:val="20"/>
        </w:rPr>
        <w:t xml:space="preserve"> Der Zuschuss nach Artikel 7 wird für jeden Zug nach der folgenden Formel gewährt: 250 Euro pro Zug und pro Shuttle.</w:t>
      </w:r>
    </w:p>
    <w:p w14:paraId="08DE0D3E" w14:textId="77777777" w:rsidR="006C3129" w:rsidRPr="00416BB3" w:rsidRDefault="006C3129" w:rsidP="00F95BB6">
      <w:pPr>
        <w:spacing w:after="0"/>
        <w:rPr>
          <w:rFonts w:ascii="Verdana" w:hAnsi="Verdana" w:cs="Arial"/>
          <w:sz w:val="20"/>
          <w:szCs w:val="20"/>
        </w:rPr>
      </w:pPr>
    </w:p>
    <w:p w14:paraId="49AEB87F" w14:textId="3E1D9A8B" w:rsidR="00F64863" w:rsidRPr="00416BB3" w:rsidRDefault="0086282C" w:rsidP="00F95BB6">
      <w:pPr>
        <w:spacing w:after="0"/>
        <w:rPr>
          <w:rFonts w:ascii="Verdana" w:eastAsiaTheme="minorEastAsia" w:hAnsi="Verdana" w:cs="Arial"/>
          <w:sz w:val="20"/>
          <w:szCs w:val="20"/>
        </w:rPr>
      </w:pPr>
      <w:r w:rsidRPr="00416BB3">
        <w:rPr>
          <w:rFonts w:ascii="Verdana" w:hAnsi="Verdana"/>
          <w:sz w:val="20"/>
          <w:szCs w:val="20"/>
        </w:rPr>
        <w:tab/>
        <w:t xml:space="preserve">Der Zuschuss wird für maximal zwei Jahre </w:t>
      </w:r>
      <w:r w:rsidR="00416BB3" w:rsidRPr="00416BB3">
        <w:rPr>
          <w:rFonts w:ascii="Verdana" w:hAnsi="Verdana"/>
          <w:sz w:val="20"/>
          <w:szCs w:val="20"/>
        </w:rPr>
        <w:t>b</w:t>
      </w:r>
      <w:r w:rsidRPr="00416BB3">
        <w:rPr>
          <w:rFonts w:ascii="Verdana" w:hAnsi="Verdana"/>
          <w:sz w:val="20"/>
          <w:szCs w:val="20"/>
        </w:rPr>
        <w:t>ezahlt.</w:t>
      </w:r>
    </w:p>
    <w:p w14:paraId="4EE8CA16" w14:textId="77777777" w:rsidR="0086282C" w:rsidRPr="00416BB3" w:rsidRDefault="0086282C" w:rsidP="00F95BB6">
      <w:pPr>
        <w:spacing w:after="0"/>
        <w:rPr>
          <w:rFonts w:ascii="Verdana" w:eastAsiaTheme="minorEastAsia" w:hAnsi="Verdana" w:cs="Arial"/>
          <w:sz w:val="20"/>
          <w:szCs w:val="20"/>
        </w:rPr>
      </w:pPr>
    </w:p>
    <w:p w14:paraId="539D81B0" w14:textId="77777777" w:rsidR="002F77D9" w:rsidRPr="00416BB3" w:rsidRDefault="00DB0D05" w:rsidP="00F95BB6">
      <w:pPr>
        <w:spacing w:after="0"/>
        <w:rPr>
          <w:rFonts w:ascii="Verdana" w:eastAsiaTheme="minorEastAsia" w:hAnsi="Verdana" w:cs="Arial"/>
          <w:sz w:val="20"/>
          <w:szCs w:val="20"/>
        </w:rPr>
      </w:pPr>
      <w:r w:rsidRPr="00416BB3">
        <w:rPr>
          <w:rFonts w:ascii="Verdana" w:hAnsi="Verdana"/>
          <w:b/>
          <w:sz w:val="20"/>
          <w:szCs w:val="20"/>
        </w:rPr>
        <w:t>Art. 8.</w:t>
      </w:r>
      <w:r w:rsidRPr="00416BB3">
        <w:rPr>
          <w:rFonts w:ascii="Verdana" w:hAnsi="Verdana"/>
          <w:sz w:val="20"/>
          <w:szCs w:val="20"/>
        </w:rPr>
        <w:t xml:space="preserve"> Ein Zug wird subventioniert, sofern im Durchschnitt über ein Vierteljahr mindestens 20</w:t>
      </w:r>
      <w:r w:rsidR="00BA32C0" w:rsidRPr="00416BB3">
        <w:rPr>
          <w:rFonts w:ascii="Verdana" w:hAnsi="Verdana"/>
          <w:sz w:val="20"/>
          <w:szCs w:val="20"/>
        </w:rPr>
        <w:t xml:space="preserve"> </w:t>
      </w:r>
      <w:r w:rsidRPr="00416BB3">
        <w:rPr>
          <w:rFonts w:ascii="Verdana" w:hAnsi="Verdana"/>
          <w:sz w:val="20"/>
          <w:szCs w:val="20"/>
        </w:rPr>
        <w:t xml:space="preserve">% der in TEU ausgedrückten ITE auf einen anderen Zug umgeladen werden oder von einem anderen Zug kommen, wobei der andere Zug entweder ein ganzer Zug oder ein losgekoppelter Teil eines Zuges sein kann.  </w:t>
      </w:r>
    </w:p>
    <w:p w14:paraId="5C8512A7" w14:textId="77777777" w:rsidR="002F77D9" w:rsidRPr="00416BB3" w:rsidRDefault="002F77D9" w:rsidP="00F95BB6">
      <w:pPr>
        <w:spacing w:after="0"/>
        <w:rPr>
          <w:rFonts w:ascii="Verdana" w:eastAsiaTheme="minorEastAsia" w:hAnsi="Verdana" w:cs="Arial"/>
          <w:sz w:val="20"/>
          <w:szCs w:val="20"/>
        </w:rPr>
      </w:pPr>
    </w:p>
    <w:p w14:paraId="78298913" w14:textId="7928B6CB" w:rsidR="0086282C" w:rsidRPr="00416BB3" w:rsidRDefault="002F77D9" w:rsidP="00F95BB6">
      <w:pPr>
        <w:spacing w:after="0"/>
        <w:rPr>
          <w:rFonts w:ascii="Verdana" w:eastAsiaTheme="minorEastAsia" w:hAnsi="Verdana" w:cs="Arial"/>
          <w:sz w:val="20"/>
          <w:szCs w:val="20"/>
        </w:rPr>
      </w:pPr>
      <w:r w:rsidRPr="00416BB3">
        <w:rPr>
          <w:rFonts w:ascii="Verdana" w:hAnsi="Verdana"/>
          <w:sz w:val="20"/>
          <w:szCs w:val="20"/>
        </w:rPr>
        <w:tab/>
        <w:t>Erfolgt der Transport zwischen zwei intermodalen Terminals im Hafengebiet von Antwerpen oder Brügge-Zeebr</w:t>
      </w:r>
      <w:r w:rsidR="00416BB3" w:rsidRPr="00416BB3">
        <w:rPr>
          <w:rFonts w:ascii="Verdana" w:hAnsi="Verdana"/>
          <w:sz w:val="20"/>
          <w:szCs w:val="20"/>
        </w:rPr>
        <w:t>u</w:t>
      </w:r>
      <w:r w:rsidRPr="00416BB3">
        <w:rPr>
          <w:rFonts w:ascii="Verdana" w:hAnsi="Verdana"/>
          <w:sz w:val="20"/>
          <w:szCs w:val="20"/>
        </w:rPr>
        <w:t>gge oder zwischen zwei intermodalen Terminals, eines im Hafengebiet von Antwerpen und eines im Hafengebiet von Brügge-Zeebr</w:t>
      </w:r>
      <w:r w:rsidR="00416BB3">
        <w:rPr>
          <w:rFonts w:ascii="Verdana" w:hAnsi="Verdana"/>
          <w:sz w:val="20"/>
          <w:szCs w:val="20"/>
        </w:rPr>
        <w:t>u</w:t>
      </w:r>
      <w:r w:rsidRPr="00416BB3">
        <w:rPr>
          <w:rFonts w:ascii="Verdana" w:hAnsi="Verdana"/>
          <w:sz w:val="20"/>
          <w:szCs w:val="20"/>
        </w:rPr>
        <w:t>gge, wird der Zug subventioniert, wenn die auf dem Shuttle transportierten Container bei Abfahrt oder Ankunft ein Seeterminal haben.</w:t>
      </w:r>
    </w:p>
    <w:p w14:paraId="6C7C9A22" w14:textId="77777777" w:rsidR="00CA3BA7" w:rsidRPr="00416BB3" w:rsidRDefault="00CA3BA7" w:rsidP="00F95BB6">
      <w:pPr>
        <w:spacing w:after="0"/>
        <w:rPr>
          <w:rFonts w:ascii="Verdana" w:eastAsiaTheme="minorEastAsia" w:hAnsi="Verdana" w:cs="Arial"/>
          <w:sz w:val="20"/>
          <w:szCs w:val="20"/>
        </w:rPr>
      </w:pPr>
    </w:p>
    <w:p w14:paraId="0331EA7D" w14:textId="65F1783A" w:rsidR="0086282C" w:rsidRPr="00416BB3" w:rsidRDefault="00DB0D05" w:rsidP="00F95BB6">
      <w:pPr>
        <w:spacing w:after="0"/>
        <w:rPr>
          <w:rFonts w:ascii="Verdana" w:eastAsiaTheme="minorEastAsia" w:hAnsi="Verdana" w:cs="Arial"/>
          <w:sz w:val="20"/>
          <w:szCs w:val="20"/>
        </w:rPr>
      </w:pPr>
      <w:r w:rsidRPr="00416BB3">
        <w:rPr>
          <w:rFonts w:ascii="Verdana" w:hAnsi="Verdana"/>
          <w:b/>
          <w:sz w:val="20"/>
          <w:szCs w:val="20"/>
        </w:rPr>
        <w:t>Art. 9.</w:t>
      </w:r>
      <w:r w:rsidRPr="00416BB3">
        <w:rPr>
          <w:rFonts w:ascii="Verdana" w:hAnsi="Verdana"/>
          <w:sz w:val="20"/>
          <w:szCs w:val="20"/>
        </w:rPr>
        <w:t xml:space="preserve"> ﻿Wird ein Zug, der auf der Grundlage des vorliegenden Erlasses </w:t>
      </w:r>
      <w:r w:rsidR="00BA32C0" w:rsidRPr="00416BB3">
        <w:rPr>
          <w:rFonts w:ascii="Verdana" w:hAnsi="Verdana"/>
          <w:sz w:val="20"/>
          <w:szCs w:val="20"/>
        </w:rPr>
        <w:t>maximal</w:t>
      </w:r>
      <w:r w:rsidRPr="00416BB3">
        <w:rPr>
          <w:rFonts w:ascii="Verdana" w:hAnsi="Verdana"/>
          <w:sz w:val="20"/>
          <w:szCs w:val="20"/>
        </w:rPr>
        <w:t xml:space="preserve"> subventioniert wurde, eingestellt und der Zug erneut von demselben oder einem anderen Betreiber gestartet, wird dieser Zug nicht mehr förderfähig auf der Grundlage des vorliegenden Erlasses.</w:t>
      </w:r>
    </w:p>
    <w:p w14:paraId="2CFD72B0" w14:textId="77777777" w:rsidR="00E724B7" w:rsidRPr="00416BB3" w:rsidRDefault="00E724B7" w:rsidP="00F95BB6">
      <w:pPr>
        <w:spacing w:after="0"/>
        <w:rPr>
          <w:rFonts w:ascii="Verdana" w:eastAsiaTheme="minorEastAsia" w:hAnsi="Verdana" w:cs="Arial"/>
          <w:sz w:val="20"/>
          <w:szCs w:val="20"/>
        </w:rPr>
      </w:pPr>
    </w:p>
    <w:p w14:paraId="1225830A" w14:textId="77777777" w:rsidR="00667FC5" w:rsidRPr="00416BB3" w:rsidRDefault="00E724B7" w:rsidP="00F95BB6">
      <w:pPr>
        <w:spacing w:after="0"/>
        <w:rPr>
          <w:rFonts w:ascii="Verdana" w:eastAsiaTheme="minorEastAsia" w:hAnsi="Verdana" w:cs="Arial"/>
          <w:sz w:val="20"/>
          <w:szCs w:val="20"/>
        </w:rPr>
      </w:pPr>
      <w:r w:rsidRPr="00416BB3">
        <w:rPr>
          <w:rFonts w:ascii="Verdana" w:hAnsi="Verdana"/>
          <w:sz w:val="20"/>
          <w:szCs w:val="20"/>
        </w:rPr>
        <w:t>Kapitel 4. Vergabeverfahren der Zuschüsse</w:t>
      </w:r>
    </w:p>
    <w:p w14:paraId="4420CA7C" w14:textId="77777777" w:rsidR="0086282C" w:rsidRPr="00416BB3" w:rsidRDefault="0086282C" w:rsidP="00F95BB6">
      <w:pPr>
        <w:spacing w:after="0"/>
        <w:rPr>
          <w:rFonts w:ascii="Verdana" w:eastAsiaTheme="minorEastAsia" w:hAnsi="Verdana" w:cs="Arial"/>
          <w:sz w:val="20"/>
          <w:szCs w:val="20"/>
        </w:rPr>
      </w:pPr>
    </w:p>
    <w:p w14:paraId="3904C533" w14:textId="77777777" w:rsidR="0086282C" w:rsidRPr="00416BB3" w:rsidRDefault="00667FC5" w:rsidP="00F95BB6">
      <w:pPr>
        <w:spacing w:after="0"/>
        <w:rPr>
          <w:rFonts w:ascii="Verdana" w:eastAsiaTheme="minorEastAsia" w:hAnsi="Verdana" w:cs="Arial"/>
          <w:sz w:val="20"/>
          <w:szCs w:val="20"/>
        </w:rPr>
      </w:pPr>
      <w:r w:rsidRPr="00416BB3">
        <w:rPr>
          <w:rFonts w:ascii="Verdana" w:hAnsi="Verdana"/>
          <w:b/>
          <w:sz w:val="20"/>
          <w:szCs w:val="20"/>
        </w:rPr>
        <w:t>Art. 10.</w:t>
      </w:r>
      <w:r w:rsidRPr="00416BB3">
        <w:rPr>
          <w:rFonts w:ascii="Verdana" w:hAnsi="Verdana"/>
          <w:sz w:val="20"/>
          <w:szCs w:val="20"/>
        </w:rPr>
        <w:t xml:space="preserve"> D﻿er Eisenbahnbetreiber erstattet dem Departement vierteljährlich Bericht über die Liste der Züge, die Anspruch auf eine Subvention gemäß den Kapiteln 2 und 3 haben, über die durchschnittlichen TEU pro Zug, die Anspruch auf diese Subvention haben, und über die durchschnittlichen Transportkosten pro Zug, die diesen Zuschuss erhalten.</w:t>
      </w:r>
    </w:p>
    <w:p w14:paraId="070DFA51" w14:textId="77777777" w:rsidR="002F77D9" w:rsidRPr="00416BB3" w:rsidRDefault="002F77D9" w:rsidP="00F95BB6">
      <w:pPr>
        <w:spacing w:after="0"/>
        <w:rPr>
          <w:rFonts w:ascii="Verdana" w:eastAsiaTheme="minorEastAsia" w:hAnsi="Verdana" w:cs="Arial"/>
          <w:sz w:val="20"/>
          <w:szCs w:val="20"/>
        </w:rPr>
      </w:pPr>
    </w:p>
    <w:p w14:paraId="3E489F29" w14:textId="77777777" w:rsidR="002F77D9" w:rsidRPr="00416BB3" w:rsidRDefault="002F77D9" w:rsidP="00F95BB6">
      <w:pPr>
        <w:spacing w:after="0"/>
        <w:rPr>
          <w:rFonts w:ascii="Verdana" w:eastAsiaTheme="minorEastAsia" w:hAnsi="Verdana" w:cs="Arial"/>
          <w:sz w:val="20"/>
          <w:szCs w:val="20"/>
        </w:rPr>
      </w:pPr>
      <w:r w:rsidRPr="00416BB3">
        <w:rPr>
          <w:rFonts w:ascii="Verdana" w:hAnsi="Verdana"/>
          <w:sz w:val="20"/>
          <w:szCs w:val="20"/>
        </w:rPr>
        <w:tab/>
        <w:t xml:space="preserve">I﻿m Sinne von Absatz 1 gelten als Transportkosten: </w:t>
      </w:r>
    </w:p>
    <w:p w14:paraId="030EC868" w14:textId="77777777" w:rsidR="002F77D9" w:rsidRPr="00416BB3" w:rsidRDefault="002F77D9" w:rsidP="00F95BB6">
      <w:pPr>
        <w:pStyle w:val="Lijstalinea"/>
        <w:numPr>
          <w:ilvl w:val="0"/>
          <w:numId w:val="6"/>
        </w:numPr>
        <w:spacing w:after="0"/>
        <w:ind w:hanging="720"/>
        <w:rPr>
          <w:rFonts w:ascii="Verdana" w:eastAsiaTheme="minorEastAsia" w:hAnsi="Verdana" w:cs="Arial"/>
          <w:sz w:val="20"/>
          <w:szCs w:val="20"/>
        </w:rPr>
      </w:pPr>
      <w:r w:rsidRPr="00416BB3">
        <w:rPr>
          <w:rFonts w:ascii="Verdana" w:hAnsi="Verdana"/>
          <w:sz w:val="20"/>
          <w:szCs w:val="20"/>
        </w:rPr>
        <w:t>die Schienenverkehrskosten;</w:t>
      </w:r>
    </w:p>
    <w:p w14:paraId="692AEF75" w14:textId="77777777" w:rsidR="002F77D9" w:rsidRPr="00416BB3" w:rsidRDefault="002F77D9" w:rsidP="00F95BB6">
      <w:pPr>
        <w:pStyle w:val="Lijstalinea"/>
        <w:numPr>
          <w:ilvl w:val="0"/>
          <w:numId w:val="6"/>
        </w:numPr>
        <w:spacing w:after="0"/>
        <w:ind w:hanging="720"/>
        <w:rPr>
          <w:rFonts w:ascii="Verdana" w:eastAsiaTheme="minorEastAsia" w:hAnsi="Verdana" w:cs="Arial"/>
          <w:sz w:val="20"/>
          <w:szCs w:val="20"/>
        </w:rPr>
      </w:pPr>
      <w:r w:rsidRPr="00416BB3">
        <w:rPr>
          <w:rFonts w:ascii="Verdana" w:hAnsi="Verdana"/>
          <w:sz w:val="20"/>
          <w:szCs w:val="20"/>
        </w:rPr>
        <w:t>die Verwaltungskosten;</w:t>
      </w:r>
    </w:p>
    <w:p w14:paraId="2F3145C2" w14:textId="77777777" w:rsidR="002F77D9" w:rsidRPr="00416BB3" w:rsidRDefault="002F77D9" w:rsidP="00F95BB6">
      <w:pPr>
        <w:pStyle w:val="Lijstalinea"/>
        <w:numPr>
          <w:ilvl w:val="0"/>
          <w:numId w:val="6"/>
        </w:numPr>
        <w:spacing w:after="0"/>
        <w:ind w:hanging="720"/>
        <w:rPr>
          <w:rFonts w:ascii="Verdana" w:eastAsiaTheme="minorEastAsia" w:hAnsi="Verdana" w:cs="Arial"/>
          <w:sz w:val="20"/>
          <w:szCs w:val="20"/>
        </w:rPr>
      </w:pPr>
      <w:r w:rsidRPr="00416BB3">
        <w:rPr>
          <w:rFonts w:ascii="Verdana" w:hAnsi="Verdana"/>
          <w:sz w:val="20"/>
          <w:szCs w:val="20"/>
        </w:rPr>
        <w:lastRenderedPageBreak/>
        <w:t>die Umladekosten der Container zwischen den Transportmitteln desselben Verkehrsträgers;</w:t>
      </w:r>
    </w:p>
    <w:p w14:paraId="104DDD53" w14:textId="77777777" w:rsidR="002F77D9" w:rsidRPr="00416BB3" w:rsidRDefault="002F77D9" w:rsidP="00F95BB6">
      <w:pPr>
        <w:pStyle w:val="Lijstalinea"/>
        <w:numPr>
          <w:ilvl w:val="0"/>
          <w:numId w:val="6"/>
        </w:numPr>
        <w:spacing w:after="0"/>
        <w:ind w:hanging="720"/>
        <w:rPr>
          <w:rFonts w:ascii="Verdana" w:eastAsiaTheme="minorEastAsia" w:hAnsi="Verdana" w:cs="Arial"/>
          <w:sz w:val="20"/>
          <w:szCs w:val="20"/>
        </w:rPr>
      </w:pPr>
      <w:r w:rsidRPr="00416BB3">
        <w:rPr>
          <w:rFonts w:ascii="Verdana" w:hAnsi="Verdana"/>
          <w:sz w:val="20"/>
          <w:szCs w:val="20"/>
        </w:rPr>
        <w:t>die Kosten für den Straßentransport zwischen dem Abgangsort und dem intermodalen Terminal oder zwischen dem intermodalen Terminal und dem Ziel</w:t>
      </w:r>
      <w:r w:rsidR="00416BB3">
        <w:rPr>
          <w:rFonts w:ascii="Verdana" w:hAnsi="Verdana"/>
          <w:sz w:val="20"/>
          <w:szCs w:val="20"/>
        </w:rPr>
        <w:t>ort</w:t>
      </w:r>
      <w:r w:rsidRPr="00416BB3">
        <w:rPr>
          <w:rFonts w:ascii="Verdana" w:hAnsi="Verdana"/>
          <w:sz w:val="20"/>
          <w:szCs w:val="20"/>
        </w:rPr>
        <w:t>.</w:t>
      </w:r>
    </w:p>
    <w:p w14:paraId="16307553" w14:textId="77777777" w:rsidR="009B4133" w:rsidRPr="00416BB3" w:rsidRDefault="009B4133" w:rsidP="00F95BB6">
      <w:pPr>
        <w:spacing w:after="0"/>
        <w:rPr>
          <w:rFonts w:ascii="Verdana" w:eastAsiaTheme="minorEastAsia" w:hAnsi="Verdana" w:cs="Arial"/>
          <w:sz w:val="20"/>
          <w:szCs w:val="20"/>
        </w:rPr>
      </w:pPr>
    </w:p>
    <w:p w14:paraId="5C119F28" w14:textId="77777777" w:rsidR="00C609E8" w:rsidRPr="00416BB3" w:rsidRDefault="0086282C" w:rsidP="00F95BB6">
      <w:pPr>
        <w:spacing w:after="0"/>
        <w:rPr>
          <w:rFonts w:ascii="Verdana" w:eastAsiaTheme="minorEastAsia" w:hAnsi="Verdana" w:cs="Arial"/>
          <w:sz w:val="20"/>
          <w:szCs w:val="20"/>
        </w:rPr>
      </w:pPr>
      <w:r w:rsidRPr="00416BB3">
        <w:rPr>
          <w:rFonts w:ascii="Verdana" w:hAnsi="Verdana"/>
          <w:sz w:val="20"/>
          <w:szCs w:val="20"/>
        </w:rPr>
        <w:tab/>
        <w:t xml:space="preserve">Jeder Eisenbahnbetreiber unterrichtet das Departement über die anderen Beihilfen in Übereinstimmung mit Artikel 107 des Vertrags über die Arbeitsweise der Europäischen Union und die ihm gewährten Gemeinschaftsmittel. Diese Beihilfebeträge werden pro Zug gemeldet. </w:t>
      </w:r>
    </w:p>
    <w:p w14:paraId="2B13AF9A" w14:textId="77777777" w:rsidR="0086282C" w:rsidRPr="00416BB3" w:rsidRDefault="0086282C" w:rsidP="00F95BB6">
      <w:pPr>
        <w:spacing w:after="0"/>
        <w:rPr>
          <w:rFonts w:ascii="Verdana" w:eastAsiaTheme="minorEastAsia" w:hAnsi="Verdana" w:cs="Arial"/>
          <w:sz w:val="20"/>
          <w:szCs w:val="20"/>
        </w:rPr>
      </w:pPr>
    </w:p>
    <w:p w14:paraId="2D447A44" w14:textId="7B9E4419" w:rsidR="004C33FB" w:rsidRPr="00416BB3" w:rsidRDefault="00786337" w:rsidP="00F95BB6">
      <w:pPr>
        <w:spacing w:after="0"/>
        <w:rPr>
          <w:rFonts w:ascii="Verdana" w:eastAsiaTheme="minorEastAsia" w:hAnsi="Verdana" w:cs="Arial"/>
          <w:sz w:val="20"/>
          <w:szCs w:val="20"/>
        </w:rPr>
      </w:pPr>
      <w:r w:rsidRPr="00416BB3">
        <w:rPr>
          <w:rFonts w:ascii="Verdana" w:hAnsi="Verdana"/>
          <w:b/>
          <w:sz w:val="20"/>
          <w:szCs w:val="20"/>
        </w:rPr>
        <w:t>Art. 11.</w:t>
      </w:r>
      <w:r w:rsidRPr="00416BB3">
        <w:rPr>
          <w:rFonts w:ascii="Verdana" w:hAnsi="Verdana"/>
          <w:sz w:val="20"/>
          <w:szCs w:val="20"/>
        </w:rPr>
        <w:t xml:space="preserve"> </w:t>
      </w:r>
      <w:r w:rsidRPr="00416BB3">
        <w:rPr>
          <w:rFonts w:ascii="Verdana" w:hAnsi="Verdana"/>
          <w:bCs/>
          <w:sz w:val="20"/>
          <w:szCs w:val="20"/>
        </w:rPr>
        <w:t>Die in den Kapiteln 2 und 3 genannten Zuschüsse sind auf 30</w:t>
      </w:r>
      <w:r w:rsidR="00BA32C0" w:rsidRPr="00416BB3">
        <w:rPr>
          <w:rFonts w:ascii="Verdana" w:hAnsi="Verdana"/>
          <w:bCs/>
          <w:sz w:val="20"/>
          <w:szCs w:val="20"/>
        </w:rPr>
        <w:t xml:space="preserve"> </w:t>
      </w:r>
      <w:r w:rsidRPr="00416BB3">
        <w:rPr>
          <w:rFonts w:ascii="Verdana" w:hAnsi="Verdana"/>
          <w:bCs/>
          <w:sz w:val="20"/>
          <w:szCs w:val="20"/>
        </w:rPr>
        <w:t>% der Transportkosten begrenzt.</w:t>
      </w:r>
      <w:r w:rsidRPr="00416BB3">
        <w:rPr>
          <w:rFonts w:ascii="Verdana" w:hAnsi="Verdana"/>
          <w:bCs/>
          <w:sz w:val="20"/>
          <w:szCs w:val="20"/>
        </w:rPr>
        <w:cr/>
      </w:r>
      <w:r w:rsidRPr="00416BB3">
        <w:rPr>
          <w:rFonts w:ascii="Verdana" w:hAnsi="Verdana"/>
          <w:sz w:val="20"/>
          <w:szCs w:val="20"/>
        </w:rPr>
        <w:t>Das Departement überprüft die Einhaltung der Obergrenze von 30</w:t>
      </w:r>
      <w:r w:rsidR="00BA32C0" w:rsidRPr="00416BB3">
        <w:rPr>
          <w:rFonts w:ascii="Verdana" w:hAnsi="Verdana"/>
          <w:sz w:val="20"/>
          <w:szCs w:val="20"/>
        </w:rPr>
        <w:t xml:space="preserve"> </w:t>
      </w:r>
      <w:r w:rsidRPr="00416BB3">
        <w:rPr>
          <w:rFonts w:ascii="Verdana" w:hAnsi="Verdana"/>
          <w:sz w:val="20"/>
          <w:szCs w:val="20"/>
        </w:rPr>
        <w:t>% der Transportkosten.</w:t>
      </w:r>
    </w:p>
    <w:p w14:paraId="37135BF2" w14:textId="77777777" w:rsidR="0086282C" w:rsidRPr="00416BB3" w:rsidRDefault="0086282C" w:rsidP="00F95BB6">
      <w:pPr>
        <w:spacing w:after="0"/>
        <w:rPr>
          <w:rFonts w:ascii="Verdana" w:eastAsiaTheme="minorEastAsia" w:hAnsi="Verdana" w:cs="Arial"/>
          <w:sz w:val="20"/>
          <w:szCs w:val="20"/>
        </w:rPr>
      </w:pPr>
    </w:p>
    <w:p w14:paraId="7CBB1333" w14:textId="77777777" w:rsidR="002F77D9" w:rsidRPr="00416BB3" w:rsidRDefault="0086282C" w:rsidP="00F95BB6">
      <w:pPr>
        <w:spacing w:after="0"/>
        <w:rPr>
          <w:rFonts w:ascii="Verdana" w:eastAsiaTheme="minorEastAsia" w:hAnsi="Verdana" w:cs="Arial"/>
          <w:sz w:val="20"/>
          <w:szCs w:val="20"/>
        </w:rPr>
      </w:pPr>
      <w:r w:rsidRPr="00416BB3">
        <w:rPr>
          <w:rFonts w:ascii="Verdana" w:hAnsi="Verdana"/>
          <w:sz w:val="20"/>
          <w:szCs w:val="20"/>
        </w:rPr>
        <w:tab/>
        <w:t xml:space="preserve">I﻿m Sinne von Absatz 1 gelten als Transportkosten: </w:t>
      </w:r>
    </w:p>
    <w:p w14:paraId="2FDC85E3" w14:textId="11743875" w:rsidR="00BA32C0" w:rsidRPr="00ED5A09" w:rsidRDefault="00D52257" w:rsidP="003371BB">
      <w:pPr>
        <w:pStyle w:val="Lijstalinea"/>
        <w:numPr>
          <w:ilvl w:val="0"/>
          <w:numId w:val="7"/>
        </w:numPr>
        <w:spacing w:after="0"/>
        <w:ind w:hanging="720"/>
        <w:rPr>
          <w:rFonts w:ascii="Verdana" w:eastAsiaTheme="minorEastAsia" w:hAnsi="Verdana" w:cs="Arial"/>
          <w:sz w:val="20"/>
          <w:szCs w:val="20"/>
        </w:rPr>
      </w:pPr>
      <w:r w:rsidRPr="00416BB3">
        <w:rPr>
          <w:rFonts w:ascii="Verdana" w:hAnsi="Verdana"/>
          <w:sz w:val="20"/>
          <w:szCs w:val="20"/>
        </w:rPr>
        <w:t>d</w:t>
      </w:r>
      <w:r w:rsidR="00667FC5" w:rsidRPr="00416BB3">
        <w:rPr>
          <w:rFonts w:ascii="Verdana" w:hAnsi="Verdana"/>
          <w:sz w:val="20"/>
          <w:szCs w:val="20"/>
        </w:rPr>
        <w:t xml:space="preserve">ie </w:t>
      </w:r>
      <w:r w:rsidRPr="00416BB3">
        <w:rPr>
          <w:rFonts w:ascii="Verdana" w:hAnsi="Verdana"/>
          <w:sz w:val="20"/>
          <w:szCs w:val="20"/>
        </w:rPr>
        <w:t>E</w:t>
      </w:r>
      <w:r w:rsidR="00667FC5" w:rsidRPr="00416BB3">
        <w:rPr>
          <w:rFonts w:ascii="Verdana" w:hAnsi="Verdana"/>
          <w:sz w:val="20"/>
          <w:szCs w:val="20"/>
        </w:rPr>
        <w:t>isenbahnkosten;</w:t>
      </w:r>
    </w:p>
    <w:p w14:paraId="3A0920C5" w14:textId="77777777" w:rsidR="002F77D9" w:rsidRPr="00416BB3" w:rsidRDefault="00BA32C0" w:rsidP="003371BB">
      <w:pPr>
        <w:pStyle w:val="Lijstalinea"/>
        <w:numPr>
          <w:ilvl w:val="0"/>
          <w:numId w:val="7"/>
        </w:numPr>
        <w:spacing w:after="0"/>
        <w:ind w:hanging="720"/>
        <w:rPr>
          <w:rFonts w:ascii="Verdana" w:eastAsiaTheme="minorEastAsia" w:hAnsi="Verdana" w:cs="Arial"/>
          <w:sz w:val="20"/>
          <w:szCs w:val="20"/>
        </w:rPr>
      </w:pPr>
      <w:r w:rsidRPr="00416BB3">
        <w:rPr>
          <w:rFonts w:ascii="Verdana" w:hAnsi="Verdana"/>
          <w:sz w:val="20"/>
          <w:szCs w:val="20"/>
        </w:rPr>
        <w:t>d</w:t>
      </w:r>
      <w:r w:rsidR="00667FC5" w:rsidRPr="00416BB3">
        <w:rPr>
          <w:rFonts w:ascii="Verdana" w:hAnsi="Verdana"/>
          <w:sz w:val="20"/>
          <w:szCs w:val="20"/>
        </w:rPr>
        <w:t>ie Kosten für die Umladung durch das ITE zwischen den Transportmitteln der verschiedenen Verkehrsträger;</w:t>
      </w:r>
    </w:p>
    <w:p w14:paraId="0B3AEE1A" w14:textId="77777777" w:rsidR="00667FC5" w:rsidRPr="00416BB3" w:rsidRDefault="00667FC5" w:rsidP="00F95BB6">
      <w:pPr>
        <w:pStyle w:val="Lijstalinea"/>
        <w:numPr>
          <w:ilvl w:val="0"/>
          <w:numId w:val="7"/>
        </w:numPr>
        <w:spacing w:after="0"/>
        <w:ind w:hanging="720"/>
        <w:rPr>
          <w:rFonts w:ascii="Verdana" w:eastAsiaTheme="minorEastAsia" w:hAnsi="Verdana" w:cs="Arial"/>
          <w:sz w:val="20"/>
          <w:szCs w:val="20"/>
        </w:rPr>
      </w:pPr>
      <w:r w:rsidRPr="00416BB3">
        <w:rPr>
          <w:rFonts w:ascii="Verdana" w:hAnsi="Verdana"/>
          <w:sz w:val="20"/>
          <w:szCs w:val="20"/>
        </w:rPr>
        <w:t>die möglichen Kosten für den Straßentransport zwischen dem Abgangsort und dem intermodalen Terminal oder zwischen dem intermodalen Terminal und dem Ziel</w:t>
      </w:r>
      <w:r w:rsidR="00416BB3">
        <w:rPr>
          <w:rFonts w:ascii="Verdana" w:hAnsi="Verdana"/>
          <w:sz w:val="20"/>
          <w:szCs w:val="20"/>
        </w:rPr>
        <w:t>ort</w:t>
      </w:r>
      <w:r w:rsidRPr="00416BB3">
        <w:rPr>
          <w:rFonts w:ascii="Verdana" w:hAnsi="Verdana"/>
          <w:sz w:val="20"/>
          <w:szCs w:val="20"/>
        </w:rPr>
        <w:t>.</w:t>
      </w:r>
    </w:p>
    <w:p w14:paraId="6ECD0853" w14:textId="77777777" w:rsidR="0086282C" w:rsidRPr="00416BB3" w:rsidRDefault="0086282C" w:rsidP="00F95BB6">
      <w:pPr>
        <w:spacing w:after="0"/>
        <w:rPr>
          <w:rFonts w:ascii="Verdana" w:eastAsiaTheme="minorEastAsia" w:hAnsi="Verdana" w:cs="Arial"/>
          <w:sz w:val="20"/>
          <w:szCs w:val="20"/>
        </w:rPr>
      </w:pPr>
    </w:p>
    <w:p w14:paraId="4AC550C9" w14:textId="77777777" w:rsidR="000B5982" w:rsidRPr="00416BB3" w:rsidRDefault="0086282C" w:rsidP="00F95BB6">
      <w:pPr>
        <w:spacing w:after="0"/>
        <w:rPr>
          <w:rFonts w:ascii="Verdana" w:eastAsiaTheme="minorEastAsia" w:hAnsi="Verdana" w:cs="Arial"/>
          <w:sz w:val="20"/>
          <w:szCs w:val="20"/>
        </w:rPr>
      </w:pPr>
      <w:r w:rsidRPr="00416BB3">
        <w:rPr>
          <w:rFonts w:ascii="Verdana" w:hAnsi="Verdana"/>
          <w:sz w:val="20"/>
          <w:szCs w:val="20"/>
        </w:rPr>
        <w:tab/>
        <w:t>Die in den Kapiteln 2 und 3 dieses Erlasses genannten Zuschüsse dürfen nicht mit anderen staatlichen Beihilfen gemäß Artikel 107 des Vertrags über die Arbeitsweise der Europäischen Union oder mit anderen Gemeinschaftsmitteln kombiniert werden, wenn diese Kombination dazu führen würde, dass die Beihilfen die im Punkt 6 des Gemeinschaftsrahmens für staatliche Beihilfen an Eisenbahnunternehmen (ABl. 22. Juli 2008, C 184) festgelegten Obergrenzen überschreiten.</w:t>
      </w:r>
      <w:r w:rsidRPr="00416BB3">
        <w:rPr>
          <w:rFonts w:ascii="Verdana" w:hAnsi="Verdana"/>
          <w:sz w:val="20"/>
          <w:szCs w:val="20"/>
        </w:rPr>
        <w:cr/>
      </w:r>
    </w:p>
    <w:p w14:paraId="0EB919F2" w14:textId="3CB5B3C7" w:rsidR="000B5982" w:rsidRPr="00416BB3" w:rsidRDefault="000B5982" w:rsidP="00D47AED">
      <w:pPr>
        <w:spacing w:after="0"/>
        <w:rPr>
          <w:rFonts w:ascii="Verdana" w:eastAsiaTheme="minorEastAsia" w:hAnsi="Verdana"/>
          <w:sz w:val="20"/>
          <w:szCs w:val="20"/>
        </w:rPr>
      </w:pPr>
      <w:r w:rsidRPr="00416BB3">
        <w:rPr>
          <w:rFonts w:ascii="Verdana" w:hAnsi="Verdana"/>
          <w:sz w:val="20"/>
          <w:szCs w:val="20"/>
        </w:rPr>
        <w:t>Die in den Artikeln 3 und 7 genannten Zuschüsse dürfen nicht mit den Zuschüssen kumuliert werden, die im Rahmen der offenen Projektaufrufe „Hinterlandvernetzung: neue und innovative Impulse für das flämische Hinterland“ (6.11.2017) und „Logistik und Häfen: Neue Impulse für die Logistikregion Flandern“ (4</w:t>
      </w:r>
      <w:r w:rsidR="00BA32C0" w:rsidRPr="00416BB3">
        <w:rPr>
          <w:rFonts w:ascii="Verdana" w:hAnsi="Verdana"/>
          <w:sz w:val="20"/>
          <w:szCs w:val="20"/>
        </w:rPr>
        <w:t>.</w:t>
      </w:r>
      <w:r w:rsidRPr="00416BB3">
        <w:rPr>
          <w:rFonts w:ascii="Verdana" w:hAnsi="Verdana"/>
          <w:sz w:val="20"/>
          <w:szCs w:val="20"/>
        </w:rPr>
        <w:t>06</w:t>
      </w:r>
      <w:r w:rsidR="00BA32C0" w:rsidRPr="00416BB3">
        <w:rPr>
          <w:rFonts w:ascii="Verdana" w:hAnsi="Verdana"/>
          <w:sz w:val="20"/>
          <w:szCs w:val="20"/>
        </w:rPr>
        <w:t>.</w:t>
      </w:r>
      <w:r w:rsidRPr="00416BB3">
        <w:rPr>
          <w:rFonts w:ascii="Verdana" w:hAnsi="Verdana"/>
          <w:sz w:val="20"/>
          <w:szCs w:val="20"/>
        </w:rPr>
        <w:t>2019) gewährt werden.</w:t>
      </w:r>
    </w:p>
    <w:p w14:paraId="6E25141B" w14:textId="77777777" w:rsidR="000824B6" w:rsidRPr="00416BB3" w:rsidRDefault="000824B6" w:rsidP="00D47AED">
      <w:pPr>
        <w:spacing w:after="0"/>
        <w:rPr>
          <w:rFonts w:ascii="Verdana" w:eastAsiaTheme="minorEastAsia" w:hAnsi="Verdana" w:cs="Arial"/>
          <w:sz w:val="20"/>
          <w:szCs w:val="20"/>
        </w:rPr>
      </w:pPr>
    </w:p>
    <w:p w14:paraId="1F813CAF" w14:textId="21BEB69E" w:rsidR="000824B6" w:rsidRPr="00416BB3" w:rsidRDefault="000824B6" w:rsidP="000824B6">
      <w:pPr>
        <w:spacing w:after="0"/>
        <w:rPr>
          <w:rFonts w:ascii="Verdana" w:eastAsiaTheme="minorEastAsia" w:hAnsi="Verdana" w:cs="Arial"/>
          <w:b/>
          <w:sz w:val="20"/>
          <w:szCs w:val="20"/>
        </w:rPr>
      </w:pPr>
      <w:r w:rsidRPr="00416BB3">
        <w:rPr>
          <w:rFonts w:ascii="Verdana" w:hAnsi="Verdana"/>
          <w:b/>
          <w:bCs/>
          <w:sz w:val="20"/>
          <w:szCs w:val="20"/>
        </w:rPr>
        <w:t xml:space="preserve">Art. 12. </w:t>
      </w:r>
      <w:r w:rsidRPr="00416BB3">
        <w:rPr>
          <w:rFonts w:ascii="Verdana" w:hAnsi="Verdana"/>
          <w:sz w:val="20"/>
          <w:szCs w:val="20"/>
        </w:rPr>
        <w:t>Das Departement ist dazu ermächtigt,</w:t>
      </w:r>
      <w:r w:rsidR="000E5B38">
        <w:rPr>
          <w:rFonts w:ascii="Verdana" w:hAnsi="Verdana"/>
          <w:sz w:val="20"/>
          <w:szCs w:val="20"/>
        </w:rPr>
        <w:t xml:space="preserve"> </w:t>
      </w:r>
      <w:r w:rsidRPr="00416BB3">
        <w:rPr>
          <w:rFonts w:ascii="Verdana" w:hAnsi="Verdana"/>
          <w:sz w:val="20"/>
          <w:szCs w:val="20"/>
        </w:rPr>
        <w:t>﻿für jeden Zug, der für die in den Kapiteln 2 und 3 des vorliegenden Erlasses genannten Finanzhilfen in Betracht kommt, detaillierte Informationen anzufordern.</w:t>
      </w:r>
    </w:p>
    <w:p w14:paraId="3C01B634" w14:textId="77777777" w:rsidR="00FE2A35" w:rsidRPr="00416BB3" w:rsidRDefault="00FE2A35" w:rsidP="00F95BB6">
      <w:pPr>
        <w:spacing w:after="0"/>
        <w:rPr>
          <w:rFonts w:ascii="Verdana" w:eastAsiaTheme="minorEastAsia" w:hAnsi="Verdana" w:cs="Arial"/>
          <w:sz w:val="20"/>
          <w:szCs w:val="20"/>
        </w:rPr>
      </w:pPr>
    </w:p>
    <w:p w14:paraId="28B7BE50" w14:textId="77777777" w:rsidR="00FE2A35" w:rsidRPr="00416BB3" w:rsidRDefault="00FE2A35" w:rsidP="00F95BB6">
      <w:pPr>
        <w:spacing w:after="0"/>
        <w:rPr>
          <w:rFonts w:ascii="Verdana" w:eastAsiaTheme="minorEastAsia" w:hAnsi="Verdana" w:cs="Arial"/>
          <w:sz w:val="20"/>
          <w:szCs w:val="20"/>
        </w:rPr>
      </w:pPr>
      <w:r w:rsidRPr="00416BB3">
        <w:rPr>
          <w:rFonts w:ascii="Verdana" w:hAnsi="Verdana"/>
          <w:sz w:val="20"/>
          <w:szCs w:val="20"/>
        </w:rPr>
        <w:t>Kapitel 5. Schlussbestimmungen</w:t>
      </w:r>
    </w:p>
    <w:p w14:paraId="2C0CB93D" w14:textId="77777777" w:rsidR="00D17D6A" w:rsidRPr="00416BB3" w:rsidRDefault="00D17D6A" w:rsidP="00F95BB6">
      <w:pPr>
        <w:spacing w:after="0"/>
        <w:rPr>
          <w:rFonts w:ascii="Verdana" w:eastAsiaTheme="minorEastAsia" w:hAnsi="Verdana" w:cs="Arial"/>
          <w:b/>
          <w:sz w:val="20"/>
          <w:szCs w:val="20"/>
        </w:rPr>
      </w:pPr>
    </w:p>
    <w:p w14:paraId="7F2B1925" w14:textId="77777777" w:rsidR="0086282C" w:rsidRPr="00416BB3" w:rsidRDefault="005B3547" w:rsidP="00F95BB6">
      <w:pPr>
        <w:spacing w:after="0"/>
        <w:rPr>
          <w:rFonts w:ascii="Verdana" w:eastAsiaTheme="minorEastAsia" w:hAnsi="Verdana" w:cs="Arial"/>
          <w:sz w:val="20"/>
          <w:szCs w:val="20"/>
        </w:rPr>
      </w:pPr>
      <w:r w:rsidRPr="00416BB3">
        <w:rPr>
          <w:rFonts w:ascii="Verdana" w:hAnsi="Verdana"/>
          <w:b/>
          <w:sz w:val="20"/>
          <w:szCs w:val="20"/>
        </w:rPr>
        <w:t>Art. 13.</w:t>
      </w:r>
      <w:r w:rsidRPr="00416BB3">
        <w:rPr>
          <w:rFonts w:ascii="Verdana" w:hAnsi="Verdana"/>
          <w:sz w:val="20"/>
          <w:szCs w:val="20"/>
        </w:rPr>
        <w:t xml:space="preserve"> Der vorliegende Erlass tritt am 1. Oktober 2019 in Kraft und tritt am 31. Oktober 2013 außer Kraft. </w:t>
      </w:r>
    </w:p>
    <w:p w14:paraId="3370A54A" w14:textId="77777777" w:rsidR="00891212" w:rsidRPr="00416BB3" w:rsidRDefault="00891212" w:rsidP="00D85C2C">
      <w:pPr>
        <w:spacing w:after="0"/>
        <w:rPr>
          <w:rFonts w:ascii="Verdana" w:eastAsiaTheme="minorEastAsia" w:hAnsi="Verdana" w:cs="Arial"/>
          <w:sz w:val="20"/>
          <w:szCs w:val="20"/>
        </w:rPr>
      </w:pPr>
    </w:p>
    <w:p w14:paraId="0381E3AD" w14:textId="77777777" w:rsidR="00FF4890" w:rsidRPr="00416BB3" w:rsidRDefault="00FF4890" w:rsidP="00D85C2C">
      <w:pPr>
        <w:spacing w:after="0"/>
        <w:rPr>
          <w:rFonts w:ascii="Verdana" w:hAnsi="Verdana" w:cs="Times-Bold"/>
          <w:b/>
          <w:bCs/>
          <w:sz w:val="20"/>
          <w:szCs w:val="20"/>
        </w:rPr>
      </w:pPr>
    </w:p>
    <w:p w14:paraId="29080485" w14:textId="77777777" w:rsidR="00122D4A" w:rsidRPr="00416BB3" w:rsidRDefault="00122D4A" w:rsidP="00D85C2C">
      <w:pPr>
        <w:spacing w:after="0"/>
        <w:rPr>
          <w:rFonts w:ascii="Verdana" w:hAnsi="Verdana" w:cs="Times-Bold"/>
          <w:bCs/>
          <w:sz w:val="20"/>
          <w:szCs w:val="20"/>
        </w:rPr>
      </w:pPr>
      <w:r w:rsidRPr="00416BB3">
        <w:rPr>
          <w:rFonts w:ascii="Verdana" w:hAnsi="Verdana"/>
          <w:b/>
          <w:bCs/>
          <w:sz w:val="20"/>
          <w:szCs w:val="20"/>
        </w:rPr>
        <w:t>Art. 14.</w:t>
      </w:r>
      <w:r w:rsidRPr="00416BB3">
        <w:rPr>
          <w:rFonts w:ascii="Verdana" w:hAnsi="Verdana"/>
          <w:bCs/>
          <w:sz w:val="20"/>
          <w:szCs w:val="20"/>
        </w:rPr>
        <w:t xml:space="preserve"> </w:t>
      </w:r>
      <w:r w:rsidRPr="00416BB3">
        <w:rPr>
          <w:rFonts w:ascii="Verdana" w:hAnsi="Verdana"/>
          <w:sz w:val="20"/>
          <w:szCs w:val="20"/>
        </w:rPr>
        <w:t>﻿Der flämische Minister, der für die Mobilitätspolitik, die öffentliche</w:t>
      </w:r>
      <w:r w:rsidR="00416BB3">
        <w:rPr>
          <w:rFonts w:ascii="Verdana" w:hAnsi="Verdana"/>
          <w:sz w:val="20"/>
          <w:szCs w:val="20"/>
        </w:rPr>
        <w:t>n</w:t>
      </w:r>
      <w:r w:rsidRPr="00416BB3">
        <w:rPr>
          <w:rFonts w:ascii="Verdana" w:hAnsi="Verdana"/>
          <w:sz w:val="20"/>
          <w:szCs w:val="20"/>
        </w:rPr>
        <w:t xml:space="preserve"> Arbeiten und den Transport zuständig ist, ist für die Durchführung dieses Erlasses zuständig.</w:t>
      </w:r>
    </w:p>
    <w:p w14:paraId="33A21D49" w14:textId="77777777" w:rsidR="00122D4A" w:rsidRPr="00416BB3" w:rsidRDefault="00122D4A" w:rsidP="00F95BB6">
      <w:pPr>
        <w:spacing w:after="0"/>
        <w:rPr>
          <w:rFonts w:ascii="Verdana" w:eastAsiaTheme="minorEastAsia" w:hAnsi="Verdana" w:cs="Arial"/>
          <w:sz w:val="20"/>
          <w:szCs w:val="20"/>
        </w:rPr>
      </w:pPr>
    </w:p>
    <w:p w14:paraId="6D4A517C" w14:textId="77777777" w:rsidR="00122D4A" w:rsidRPr="00416BB3" w:rsidRDefault="00122D4A" w:rsidP="00F95BB6">
      <w:pPr>
        <w:spacing w:after="0"/>
        <w:rPr>
          <w:rFonts w:ascii="Verdana" w:eastAsiaTheme="minorEastAsia" w:hAnsi="Verdana" w:cs="Arial"/>
          <w:sz w:val="20"/>
          <w:szCs w:val="20"/>
        </w:rPr>
      </w:pPr>
    </w:p>
    <w:p w14:paraId="5724E553" w14:textId="77777777" w:rsidR="00122D4A" w:rsidRPr="00416BB3" w:rsidRDefault="00122D4A" w:rsidP="00D85C2C">
      <w:pPr>
        <w:spacing w:after="0"/>
        <w:rPr>
          <w:rFonts w:ascii="Verdana" w:hAnsi="Verdana" w:cs="Times-Roman"/>
          <w:sz w:val="20"/>
          <w:szCs w:val="20"/>
        </w:rPr>
      </w:pPr>
      <w:r w:rsidRPr="00416BB3">
        <w:rPr>
          <w:rFonts w:ascii="Verdana" w:hAnsi="Verdana"/>
          <w:sz w:val="20"/>
          <w:szCs w:val="20"/>
        </w:rPr>
        <w:t>Brüssel, den, 19. Juli 2019</w:t>
      </w:r>
    </w:p>
    <w:p w14:paraId="3D7E94EB" w14:textId="77777777" w:rsidR="00122D4A" w:rsidRPr="00416BB3" w:rsidRDefault="00122D4A">
      <w:pPr>
        <w:spacing w:after="0"/>
        <w:rPr>
          <w:rFonts w:ascii="Verdana" w:hAnsi="Verdana" w:cs="Times-Roman"/>
          <w:sz w:val="20"/>
          <w:szCs w:val="20"/>
        </w:rPr>
      </w:pPr>
    </w:p>
    <w:p w14:paraId="3C23C733" w14:textId="77777777" w:rsidR="00122D4A" w:rsidRPr="00416BB3" w:rsidRDefault="00122D4A">
      <w:pPr>
        <w:spacing w:after="0"/>
        <w:rPr>
          <w:rFonts w:ascii="Verdana" w:hAnsi="Verdana" w:cs="Times-Roman"/>
          <w:sz w:val="20"/>
          <w:szCs w:val="20"/>
        </w:rPr>
      </w:pPr>
    </w:p>
    <w:p w14:paraId="439DC279" w14:textId="77777777" w:rsidR="00FF4890" w:rsidRPr="00416BB3" w:rsidRDefault="00FF4890">
      <w:pPr>
        <w:spacing w:after="0"/>
        <w:jc w:val="center"/>
        <w:rPr>
          <w:rFonts w:ascii="Verdana" w:hAnsi="Verdana" w:cs="Times-Roman"/>
          <w:sz w:val="20"/>
          <w:szCs w:val="20"/>
        </w:rPr>
      </w:pPr>
      <w:r w:rsidRPr="00416BB3">
        <w:rPr>
          <w:rFonts w:ascii="Verdana" w:hAnsi="Verdana"/>
          <w:sz w:val="20"/>
          <w:szCs w:val="20"/>
        </w:rPr>
        <w:t xml:space="preserve">Die Ministerpräsidentin der Flämischen Regierung, </w:t>
      </w:r>
    </w:p>
    <w:p w14:paraId="163A78B9" w14:textId="77777777" w:rsidR="00122D4A" w:rsidRPr="00416BB3" w:rsidRDefault="00FF4890">
      <w:pPr>
        <w:spacing w:after="0"/>
        <w:jc w:val="center"/>
        <w:rPr>
          <w:rFonts w:ascii="Verdana" w:hAnsi="Verdana" w:cs="Times-Roman"/>
          <w:sz w:val="20"/>
          <w:szCs w:val="20"/>
        </w:rPr>
      </w:pPr>
      <w:r w:rsidRPr="00416BB3">
        <w:rPr>
          <w:rFonts w:ascii="Verdana" w:hAnsi="Verdana"/>
          <w:sz w:val="20"/>
          <w:szCs w:val="20"/>
        </w:rPr>
        <w:t>Flämische Ministerin für Lokale Verwaltung, Zivilintegration, Wohnungswesen, Chancengleichheit und Armutsbekämpfung,</w:t>
      </w:r>
    </w:p>
    <w:p w14:paraId="5C35FFBC" w14:textId="77777777" w:rsidR="00122D4A" w:rsidRPr="00416BB3" w:rsidRDefault="00122D4A">
      <w:pPr>
        <w:spacing w:after="0"/>
        <w:jc w:val="center"/>
        <w:rPr>
          <w:rFonts w:ascii="Verdana" w:hAnsi="Verdana" w:cs="Times-Roman"/>
          <w:sz w:val="20"/>
          <w:szCs w:val="20"/>
        </w:rPr>
      </w:pPr>
    </w:p>
    <w:p w14:paraId="1EA0C7C9" w14:textId="77777777" w:rsidR="00122D4A" w:rsidRPr="00416BB3" w:rsidRDefault="00122D4A">
      <w:pPr>
        <w:spacing w:after="0"/>
        <w:jc w:val="center"/>
        <w:rPr>
          <w:rFonts w:ascii="Verdana" w:hAnsi="Verdana" w:cs="Times-Roman"/>
          <w:sz w:val="20"/>
          <w:szCs w:val="20"/>
        </w:rPr>
      </w:pPr>
    </w:p>
    <w:p w14:paraId="191D207F" w14:textId="77777777" w:rsidR="00122D4A" w:rsidRPr="00416BB3" w:rsidRDefault="00122D4A">
      <w:pPr>
        <w:spacing w:after="0"/>
        <w:jc w:val="center"/>
        <w:rPr>
          <w:rFonts w:ascii="Verdana" w:hAnsi="Verdana" w:cs="Times-Roman"/>
          <w:sz w:val="20"/>
          <w:szCs w:val="20"/>
        </w:rPr>
      </w:pPr>
    </w:p>
    <w:p w14:paraId="0D745DA4" w14:textId="77777777" w:rsidR="00122D4A" w:rsidRPr="00416BB3" w:rsidRDefault="00122D4A">
      <w:pPr>
        <w:spacing w:after="0"/>
        <w:jc w:val="center"/>
        <w:rPr>
          <w:rFonts w:ascii="Verdana" w:hAnsi="Verdana" w:cs="Times-Roman"/>
          <w:sz w:val="20"/>
          <w:szCs w:val="20"/>
        </w:rPr>
      </w:pPr>
    </w:p>
    <w:p w14:paraId="44390437" w14:textId="77777777" w:rsidR="00122D4A" w:rsidRPr="00416BB3" w:rsidRDefault="00122D4A">
      <w:pPr>
        <w:spacing w:after="0"/>
        <w:jc w:val="center"/>
        <w:rPr>
          <w:rFonts w:ascii="Verdana" w:hAnsi="Verdana" w:cs="Times-Roman"/>
          <w:sz w:val="20"/>
          <w:szCs w:val="20"/>
        </w:rPr>
      </w:pPr>
    </w:p>
    <w:p w14:paraId="5A638F31" w14:textId="77777777" w:rsidR="00122D4A" w:rsidRPr="00416BB3" w:rsidRDefault="00F81C32">
      <w:pPr>
        <w:spacing w:after="0"/>
        <w:jc w:val="center"/>
        <w:rPr>
          <w:rFonts w:ascii="Verdana" w:hAnsi="Verdana" w:cs="Times-Roman"/>
          <w:sz w:val="20"/>
          <w:szCs w:val="20"/>
        </w:rPr>
      </w:pPr>
      <w:r w:rsidRPr="00416BB3">
        <w:rPr>
          <w:rFonts w:ascii="Verdana" w:hAnsi="Verdana"/>
          <w:sz w:val="20"/>
          <w:szCs w:val="20"/>
        </w:rPr>
        <w:t>Liesbeth HOMANS,</w:t>
      </w:r>
    </w:p>
    <w:p w14:paraId="38792324" w14:textId="77777777" w:rsidR="00122D4A" w:rsidRPr="00416BB3" w:rsidRDefault="00122D4A">
      <w:pPr>
        <w:spacing w:after="0"/>
        <w:jc w:val="center"/>
        <w:rPr>
          <w:rFonts w:ascii="Verdana" w:hAnsi="Verdana" w:cs="Times-Roman"/>
          <w:sz w:val="20"/>
          <w:szCs w:val="20"/>
        </w:rPr>
      </w:pPr>
    </w:p>
    <w:p w14:paraId="1A45FBD7" w14:textId="77777777" w:rsidR="00FF4890" w:rsidRPr="00416BB3" w:rsidRDefault="00FF4890">
      <w:pPr>
        <w:spacing w:after="0"/>
        <w:jc w:val="center"/>
        <w:rPr>
          <w:rFonts w:ascii="Verdana" w:hAnsi="Verdana" w:cs="Times-Roman"/>
          <w:sz w:val="20"/>
          <w:szCs w:val="20"/>
        </w:rPr>
      </w:pPr>
    </w:p>
    <w:p w14:paraId="09DB1FD4" w14:textId="77777777" w:rsidR="00122D4A" w:rsidRPr="00416BB3" w:rsidRDefault="00122D4A">
      <w:pPr>
        <w:spacing w:after="0"/>
        <w:jc w:val="center"/>
        <w:rPr>
          <w:rFonts w:ascii="Verdana" w:hAnsi="Verdana" w:cs="Times-Roman"/>
          <w:sz w:val="20"/>
          <w:szCs w:val="20"/>
        </w:rPr>
      </w:pPr>
    </w:p>
    <w:p w14:paraId="3660CEC0" w14:textId="77777777" w:rsidR="00FF4890" w:rsidRPr="00416BB3" w:rsidRDefault="00F81C32">
      <w:pPr>
        <w:spacing w:after="0"/>
        <w:jc w:val="center"/>
        <w:rPr>
          <w:rFonts w:ascii="Verdana" w:eastAsia="Times New Roman" w:hAnsi="Verdana" w:cs="Arial"/>
          <w:sz w:val="20"/>
          <w:szCs w:val="20"/>
        </w:rPr>
      </w:pPr>
      <w:r w:rsidRPr="00416BB3">
        <w:rPr>
          <w:rFonts w:ascii="Verdana" w:hAnsi="Verdana"/>
          <w:sz w:val="20"/>
          <w:szCs w:val="20"/>
        </w:rPr>
        <w:t xml:space="preserve">Flämischer Minister für Mobilität, Öffentliche Arbeiten, Vlaamse Rand, Außenpolitik, Kulturerbe und Tierschutz, </w:t>
      </w:r>
    </w:p>
    <w:p w14:paraId="3AE86136" w14:textId="77777777" w:rsidR="00122D4A" w:rsidRPr="00416BB3" w:rsidRDefault="00F81C32">
      <w:pPr>
        <w:spacing w:after="0"/>
        <w:jc w:val="center"/>
        <w:rPr>
          <w:rFonts w:ascii="Verdana" w:hAnsi="Verdana" w:cs="Times-Roman"/>
          <w:sz w:val="20"/>
          <w:szCs w:val="20"/>
        </w:rPr>
      </w:pPr>
      <w:r w:rsidRPr="00416BB3">
        <w:rPr>
          <w:rFonts w:ascii="Verdana" w:hAnsi="Verdana"/>
          <w:sz w:val="20"/>
          <w:szCs w:val="20"/>
        </w:rPr>
        <w:t>Vizeministerpräsident der Flämischen Regierung,</w:t>
      </w:r>
    </w:p>
    <w:p w14:paraId="7FE616B3" w14:textId="77777777" w:rsidR="00122D4A" w:rsidRPr="00416BB3" w:rsidRDefault="00122D4A">
      <w:pPr>
        <w:spacing w:after="0"/>
        <w:jc w:val="center"/>
        <w:rPr>
          <w:rFonts w:ascii="Verdana" w:hAnsi="Verdana" w:cs="Times-Roman"/>
          <w:sz w:val="20"/>
          <w:szCs w:val="20"/>
        </w:rPr>
      </w:pPr>
    </w:p>
    <w:p w14:paraId="3901D92C" w14:textId="77777777" w:rsidR="00122D4A" w:rsidRPr="00416BB3" w:rsidRDefault="00122D4A">
      <w:pPr>
        <w:spacing w:after="0"/>
        <w:jc w:val="center"/>
        <w:rPr>
          <w:rFonts w:ascii="Verdana" w:hAnsi="Verdana" w:cs="Times-Roman"/>
          <w:sz w:val="20"/>
          <w:szCs w:val="20"/>
        </w:rPr>
      </w:pPr>
    </w:p>
    <w:p w14:paraId="16F5487A" w14:textId="77777777" w:rsidR="00122D4A" w:rsidRPr="00416BB3" w:rsidRDefault="00122D4A">
      <w:pPr>
        <w:spacing w:after="0"/>
        <w:jc w:val="center"/>
        <w:rPr>
          <w:rFonts w:ascii="Verdana" w:hAnsi="Verdana" w:cs="Times-Roman"/>
          <w:sz w:val="20"/>
          <w:szCs w:val="20"/>
        </w:rPr>
      </w:pPr>
    </w:p>
    <w:p w14:paraId="5AEA1B7A" w14:textId="77777777" w:rsidR="00122D4A" w:rsidRPr="00416BB3" w:rsidRDefault="00122D4A">
      <w:pPr>
        <w:spacing w:after="0"/>
        <w:jc w:val="center"/>
        <w:rPr>
          <w:rFonts w:ascii="Verdana" w:hAnsi="Verdana" w:cs="Times-Roman"/>
          <w:sz w:val="20"/>
          <w:szCs w:val="20"/>
        </w:rPr>
      </w:pPr>
    </w:p>
    <w:p w14:paraId="622D0922" w14:textId="77777777" w:rsidR="00122D4A" w:rsidRPr="00416BB3" w:rsidRDefault="00122D4A">
      <w:pPr>
        <w:spacing w:after="0"/>
        <w:jc w:val="center"/>
        <w:rPr>
          <w:rFonts w:ascii="Verdana" w:hAnsi="Verdana" w:cs="Times-Roman"/>
          <w:sz w:val="20"/>
          <w:szCs w:val="20"/>
        </w:rPr>
      </w:pPr>
    </w:p>
    <w:p w14:paraId="74C45A2E" w14:textId="77777777" w:rsidR="009B4133" w:rsidRPr="00416BB3" w:rsidRDefault="00122D4A" w:rsidP="00F95BB6">
      <w:pPr>
        <w:spacing w:after="0"/>
        <w:jc w:val="center"/>
        <w:rPr>
          <w:rFonts w:ascii="Verdana" w:hAnsi="Verdana" w:cs="Arial"/>
          <w:sz w:val="20"/>
          <w:szCs w:val="20"/>
        </w:rPr>
      </w:pPr>
      <w:r w:rsidRPr="00416BB3">
        <w:rPr>
          <w:rFonts w:ascii="Verdana" w:hAnsi="Verdana"/>
          <w:sz w:val="20"/>
          <w:szCs w:val="20"/>
        </w:rPr>
        <w:t>Ben WEYTS</w:t>
      </w:r>
    </w:p>
    <w:sectPr w:rsidR="009B4133" w:rsidRPr="00416BB3" w:rsidSect="00054D21">
      <w:headerReference w:type="even" r:id="rId9"/>
      <w:headerReference w:type="default" r:id="rId10"/>
      <w:footerReference w:type="even" r:id="rId11"/>
      <w:footerReference w:type="default" r:id="rId12"/>
      <w:headerReference w:type="first" r:id="rId13"/>
      <w:foot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604C" w14:textId="77777777" w:rsidR="00C9455C" w:rsidRDefault="00C9455C" w:rsidP="0086282C">
      <w:pPr>
        <w:spacing w:after="0" w:line="240" w:lineRule="auto"/>
      </w:pPr>
      <w:r>
        <w:separator/>
      </w:r>
    </w:p>
  </w:endnote>
  <w:endnote w:type="continuationSeparator" w:id="0">
    <w:p w14:paraId="746711AD" w14:textId="77777777" w:rsidR="00C9455C" w:rsidRDefault="00C9455C" w:rsidP="0086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D51B" w14:textId="77777777" w:rsidR="000824B6" w:rsidRDefault="000824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172483663"/>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0693796D" w14:textId="77777777" w:rsidR="0086282C" w:rsidRPr="00F95BB6" w:rsidRDefault="0086282C">
            <w:pPr>
              <w:pStyle w:val="Voettekst"/>
              <w:jc w:val="right"/>
              <w:rPr>
                <w:rFonts w:ascii="Verdana" w:hAnsi="Verdana"/>
                <w:sz w:val="18"/>
                <w:szCs w:val="18"/>
              </w:rPr>
            </w:pPr>
            <w:r>
              <w:rPr>
                <w:rFonts w:ascii="Verdana" w:hAnsi="Verdana"/>
                <w:sz w:val="18"/>
                <w:szCs w:val="18"/>
              </w:rPr>
              <w:t xml:space="preserve">Seite </w:t>
            </w:r>
            <w:r w:rsidRPr="00F95BB6">
              <w:rPr>
                <w:rFonts w:ascii="Verdana" w:hAnsi="Verdana"/>
                <w:bCs/>
                <w:sz w:val="18"/>
                <w:szCs w:val="18"/>
              </w:rPr>
              <w:fldChar w:fldCharType="begin"/>
            </w:r>
            <w:r w:rsidRPr="00F95BB6">
              <w:rPr>
                <w:rFonts w:ascii="Verdana" w:hAnsi="Verdana"/>
                <w:bCs/>
                <w:sz w:val="18"/>
                <w:szCs w:val="18"/>
              </w:rPr>
              <w:instrText>PAGE</w:instrText>
            </w:r>
            <w:r w:rsidRPr="00F95BB6">
              <w:rPr>
                <w:rFonts w:ascii="Verdana" w:hAnsi="Verdana"/>
                <w:bCs/>
                <w:sz w:val="18"/>
                <w:szCs w:val="18"/>
              </w:rPr>
              <w:fldChar w:fldCharType="separate"/>
            </w:r>
            <w:r w:rsidR="003C770C">
              <w:rPr>
                <w:rFonts w:ascii="Verdana" w:hAnsi="Verdana"/>
                <w:bCs/>
                <w:noProof/>
                <w:sz w:val="18"/>
                <w:szCs w:val="18"/>
              </w:rPr>
              <w:t>2</w:t>
            </w:r>
            <w:r w:rsidRPr="00F95BB6">
              <w:rPr>
                <w:rFonts w:ascii="Verdana" w:hAnsi="Verdana"/>
                <w:bCs/>
                <w:sz w:val="18"/>
                <w:szCs w:val="18"/>
              </w:rPr>
              <w:fldChar w:fldCharType="end"/>
            </w:r>
            <w:r>
              <w:rPr>
                <w:rFonts w:ascii="Verdana" w:hAnsi="Verdana"/>
                <w:sz w:val="18"/>
                <w:szCs w:val="18"/>
              </w:rPr>
              <w:t xml:space="preserve"> von </w:t>
            </w:r>
            <w:r w:rsidRPr="00F95BB6">
              <w:rPr>
                <w:rFonts w:ascii="Verdana" w:hAnsi="Verdana"/>
                <w:bCs/>
                <w:sz w:val="18"/>
                <w:szCs w:val="18"/>
              </w:rPr>
              <w:fldChar w:fldCharType="begin"/>
            </w:r>
            <w:r w:rsidRPr="00F95BB6">
              <w:rPr>
                <w:rFonts w:ascii="Verdana" w:hAnsi="Verdana"/>
                <w:bCs/>
                <w:sz w:val="18"/>
                <w:szCs w:val="18"/>
              </w:rPr>
              <w:instrText>NUMPAGES</w:instrText>
            </w:r>
            <w:r w:rsidRPr="00F95BB6">
              <w:rPr>
                <w:rFonts w:ascii="Verdana" w:hAnsi="Verdana"/>
                <w:bCs/>
                <w:sz w:val="18"/>
                <w:szCs w:val="18"/>
              </w:rPr>
              <w:fldChar w:fldCharType="separate"/>
            </w:r>
            <w:r w:rsidR="003C770C">
              <w:rPr>
                <w:rFonts w:ascii="Verdana" w:hAnsi="Verdana"/>
                <w:bCs/>
                <w:noProof/>
                <w:sz w:val="18"/>
                <w:szCs w:val="18"/>
              </w:rPr>
              <w:t>5</w:t>
            </w:r>
            <w:r w:rsidRPr="00F95BB6">
              <w:rPr>
                <w:rFonts w:ascii="Verdana" w:hAnsi="Verdana"/>
                <w:bCs/>
                <w:sz w:val="18"/>
                <w:szCs w:val="18"/>
              </w:rPr>
              <w:fldChar w:fldCharType="end"/>
            </w:r>
          </w:p>
        </w:sdtContent>
      </w:sdt>
    </w:sdtContent>
  </w:sdt>
  <w:p w14:paraId="62A5EF76" w14:textId="77777777" w:rsidR="0086282C" w:rsidRDefault="008628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5441" w14:textId="77777777" w:rsidR="000824B6" w:rsidRDefault="000824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827F" w14:textId="77777777" w:rsidR="00C9455C" w:rsidRDefault="00C9455C" w:rsidP="0086282C">
      <w:pPr>
        <w:spacing w:after="0" w:line="240" w:lineRule="auto"/>
      </w:pPr>
      <w:r>
        <w:separator/>
      </w:r>
    </w:p>
  </w:footnote>
  <w:footnote w:type="continuationSeparator" w:id="0">
    <w:p w14:paraId="64480F1A" w14:textId="77777777" w:rsidR="00C9455C" w:rsidRDefault="00C9455C" w:rsidP="0086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6A3A" w14:textId="77777777" w:rsidR="000824B6" w:rsidRDefault="000824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3653" w14:textId="77777777" w:rsidR="000824B6" w:rsidRDefault="000824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681D" w14:textId="77777777" w:rsidR="000824B6" w:rsidRDefault="000824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2D6"/>
    <w:multiLevelType w:val="hybridMultilevel"/>
    <w:tmpl w:val="F72AC5C8"/>
    <w:lvl w:ilvl="0" w:tplc="F3BAE1D2">
      <w:start w:val="1"/>
      <w:numFmt w:val="decimal"/>
      <w:lvlText w:val="%1°"/>
      <w:lvlJc w:val="left"/>
      <w:pPr>
        <w:ind w:left="720" w:hanging="360"/>
      </w:pPr>
      <w:rPr>
        <w:rFonts w:ascii="Verdana" w:hAnsi="Verdana"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19B4FDE"/>
    <w:multiLevelType w:val="hybridMultilevel"/>
    <w:tmpl w:val="0C9CFB7E"/>
    <w:lvl w:ilvl="0" w:tplc="F3BAE1D2">
      <w:start w:val="1"/>
      <w:numFmt w:val="decimal"/>
      <w:lvlText w:val="%1°"/>
      <w:lvlJc w:val="left"/>
      <w:pPr>
        <w:ind w:left="720" w:hanging="360"/>
      </w:pPr>
      <w:rPr>
        <w:rFonts w:ascii="Verdana" w:hAnsi="Verdana" w:hint="default"/>
        <w:b w:val="0"/>
        <w:i w:val="0"/>
        <w:sz w:val="20"/>
      </w:rPr>
    </w:lvl>
    <w:lvl w:ilvl="1" w:tplc="68B6699C">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7D232AE"/>
    <w:multiLevelType w:val="hybridMultilevel"/>
    <w:tmpl w:val="D7E024F0"/>
    <w:lvl w:ilvl="0" w:tplc="F3BAE1D2">
      <w:start w:val="1"/>
      <w:numFmt w:val="decimal"/>
      <w:lvlText w:val="%1°"/>
      <w:lvlJc w:val="left"/>
      <w:pPr>
        <w:ind w:left="720" w:hanging="360"/>
      </w:pPr>
      <w:rPr>
        <w:rFonts w:ascii="Verdana" w:hAnsi="Verdana"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CA24298"/>
    <w:multiLevelType w:val="hybridMultilevel"/>
    <w:tmpl w:val="23F6E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EA3975"/>
    <w:multiLevelType w:val="hybridMultilevel"/>
    <w:tmpl w:val="E6A0205E"/>
    <w:lvl w:ilvl="0" w:tplc="F3BAE1D2">
      <w:start w:val="1"/>
      <w:numFmt w:val="decimal"/>
      <w:lvlText w:val="%1°"/>
      <w:lvlJc w:val="left"/>
      <w:pPr>
        <w:ind w:left="720" w:hanging="360"/>
      </w:pPr>
      <w:rPr>
        <w:rFonts w:ascii="Verdana" w:hAnsi="Verdana"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30428D8"/>
    <w:multiLevelType w:val="hybridMultilevel"/>
    <w:tmpl w:val="2D9AC1F0"/>
    <w:lvl w:ilvl="0" w:tplc="F3BAE1D2">
      <w:start w:val="1"/>
      <w:numFmt w:val="decimal"/>
      <w:lvlText w:val="%1°"/>
      <w:lvlJc w:val="left"/>
      <w:pPr>
        <w:ind w:left="720" w:hanging="360"/>
      </w:pPr>
      <w:rPr>
        <w:rFonts w:ascii="Verdana" w:hAnsi="Verdana"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C4C4CE0"/>
    <w:multiLevelType w:val="hybridMultilevel"/>
    <w:tmpl w:val="B3AC4D14"/>
    <w:lvl w:ilvl="0" w:tplc="F3BAE1D2">
      <w:start w:val="1"/>
      <w:numFmt w:val="decimal"/>
      <w:lvlText w:val="%1°"/>
      <w:lvlJc w:val="left"/>
      <w:pPr>
        <w:ind w:left="720" w:hanging="360"/>
      </w:pPr>
      <w:rPr>
        <w:rFonts w:ascii="Verdana" w:hAnsi="Verdana" w:hint="default"/>
        <w:b w:val="0"/>
        <w:i w:val="0"/>
        <w:sz w:val="20"/>
      </w:rPr>
    </w:lvl>
    <w:lvl w:ilvl="1" w:tplc="68B6699C">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CA2"/>
    <w:rsid w:val="00004C48"/>
    <w:rsid w:val="00022A4B"/>
    <w:rsid w:val="000360E3"/>
    <w:rsid w:val="000401D7"/>
    <w:rsid w:val="0004249B"/>
    <w:rsid w:val="00050083"/>
    <w:rsid w:val="00050745"/>
    <w:rsid w:val="00054D21"/>
    <w:rsid w:val="00066F07"/>
    <w:rsid w:val="000732EA"/>
    <w:rsid w:val="0007420F"/>
    <w:rsid w:val="000824B6"/>
    <w:rsid w:val="00084855"/>
    <w:rsid w:val="00093DB1"/>
    <w:rsid w:val="000B4527"/>
    <w:rsid w:val="000B5982"/>
    <w:rsid w:val="000E11CA"/>
    <w:rsid w:val="000E5B38"/>
    <w:rsid w:val="000F5E6F"/>
    <w:rsid w:val="001009BA"/>
    <w:rsid w:val="00114C3A"/>
    <w:rsid w:val="0012088F"/>
    <w:rsid w:val="00122D4A"/>
    <w:rsid w:val="00141550"/>
    <w:rsid w:val="001646A3"/>
    <w:rsid w:val="00174181"/>
    <w:rsid w:val="00180B3F"/>
    <w:rsid w:val="00195FB6"/>
    <w:rsid w:val="00196551"/>
    <w:rsid w:val="001B782A"/>
    <w:rsid w:val="001C44DE"/>
    <w:rsid w:val="001C4E5C"/>
    <w:rsid w:val="001F6084"/>
    <w:rsid w:val="00200419"/>
    <w:rsid w:val="00240EA7"/>
    <w:rsid w:val="002454FF"/>
    <w:rsid w:val="0024667F"/>
    <w:rsid w:val="0024775E"/>
    <w:rsid w:val="002615BE"/>
    <w:rsid w:val="002740C7"/>
    <w:rsid w:val="0028429E"/>
    <w:rsid w:val="002864F2"/>
    <w:rsid w:val="00287A33"/>
    <w:rsid w:val="00296580"/>
    <w:rsid w:val="002B1EA7"/>
    <w:rsid w:val="002B41AA"/>
    <w:rsid w:val="002C0351"/>
    <w:rsid w:val="002C317F"/>
    <w:rsid w:val="002D2318"/>
    <w:rsid w:val="002E5E82"/>
    <w:rsid w:val="002F77D9"/>
    <w:rsid w:val="0031108B"/>
    <w:rsid w:val="00311D9C"/>
    <w:rsid w:val="003232E6"/>
    <w:rsid w:val="00361CA7"/>
    <w:rsid w:val="00361CE3"/>
    <w:rsid w:val="00371AFB"/>
    <w:rsid w:val="0037487B"/>
    <w:rsid w:val="003B0AD0"/>
    <w:rsid w:val="003B7507"/>
    <w:rsid w:val="003C47FD"/>
    <w:rsid w:val="003C770C"/>
    <w:rsid w:val="003E060F"/>
    <w:rsid w:val="003E77A1"/>
    <w:rsid w:val="003F3F7B"/>
    <w:rsid w:val="003F4CA2"/>
    <w:rsid w:val="003F4EF9"/>
    <w:rsid w:val="00400508"/>
    <w:rsid w:val="00416BB3"/>
    <w:rsid w:val="00430A5B"/>
    <w:rsid w:val="00443ACC"/>
    <w:rsid w:val="0045482A"/>
    <w:rsid w:val="004622BC"/>
    <w:rsid w:val="004654AD"/>
    <w:rsid w:val="0047560C"/>
    <w:rsid w:val="004C33FB"/>
    <w:rsid w:val="004D1CA3"/>
    <w:rsid w:val="004D5E74"/>
    <w:rsid w:val="004F7AB4"/>
    <w:rsid w:val="00500CBE"/>
    <w:rsid w:val="00507BBC"/>
    <w:rsid w:val="005318CA"/>
    <w:rsid w:val="00531A53"/>
    <w:rsid w:val="00551516"/>
    <w:rsid w:val="005571C7"/>
    <w:rsid w:val="0056037C"/>
    <w:rsid w:val="00564A33"/>
    <w:rsid w:val="005701E5"/>
    <w:rsid w:val="00581CF9"/>
    <w:rsid w:val="00581EF0"/>
    <w:rsid w:val="00593473"/>
    <w:rsid w:val="005A1FA0"/>
    <w:rsid w:val="005A4145"/>
    <w:rsid w:val="005B3547"/>
    <w:rsid w:val="005F088F"/>
    <w:rsid w:val="00630523"/>
    <w:rsid w:val="00647CD4"/>
    <w:rsid w:val="006623B2"/>
    <w:rsid w:val="00667FC5"/>
    <w:rsid w:val="00693779"/>
    <w:rsid w:val="006A1CB5"/>
    <w:rsid w:val="006B2100"/>
    <w:rsid w:val="006B3550"/>
    <w:rsid w:val="006C06C9"/>
    <w:rsid w:val="006C3129"/>
    <w:rsid w:val="006C6E51"/>
    <w:rsid w:val="006D1845"/>
    <w:rsid w:val="006D4DF0"/>
    <w:rsid w:val="006E167A"/>
    <w:rsid w:val="006E7A6D"/>
    <w:rsid w:val="006F5C78"/>
    <w:rsid w:val="0070363D"/>
    <w:rsid w:val="0070573D"/>
    <w:rsid w:val="00711674"/>
    <w:rsid w:val="0073612C"/>
    <w:rsid w:val="00743F11"/>
    <w:rsid w:val="00756FFE"/>
    <w:rsid w:val="00764029"/>
    <w:rsid w:val="00781FFB"/>
    <w:rsid w:val="00786337"/>
    <w:rsid w:val="007915D0"/>
    <w:rsid w:val="007932AC"/>
    <w:rsid w:val="007B09B5"/>
    <w:rsid w:val="007C022F"/>
    <w:rsid w:val="007C41A7"/>
    <w:rsid w:val="007E39B9"/>
    <w:rsid w:val="007F129D"/>
    <w:rsid w:val="007F155E"/>
    <w:rsid w:val="007F3E0E"/>
    <w:rsid w:val="008252A9"/>
    <w:rsid w:val="00845134"/>
    <w:rsid w:val="0085104C"/>
    <w:rsid w:val="0086180E"/>
    <w:rsid w:val="0086282C"/>
    <w:rsid w:val="00891212"/>
    <w:rsid w:val="008A4051"/>
    <w:rsid w:val="008B5DA1"/>
    <w:rsid w:val="008B760F"/>
    <w:rsid w:val="008D61A3"/>
    <w:rsid w:val="008F0150"/>
    <w:rsid w:val="00917D39"/>
    <w:rsid w:val="009342BE"/>
    <w:rsid w:val="00943B98"/>
    <w:rsid w:val="00950432"/>
    <w:rsid w:val="0095457E"/>
    <w:rsid w:val="00963419"/>
    <w:rsid w:val="00964405"/>
    <w:rsid w:val="00990FCA"/>
    <w:rsid w:val="0099316F"/>
    <w:rsid w:val="0099510E"/>
    <w:rsid w:val="00997B3E"/>
    <w:rsid w:val="009B4133"/>
    <w:rsid w:val="009B6F59"/>
    <w:rsid w:val="009C054A"/>
    <w:rsid w:val="009C094E"/>
    <w:rsid w:val="009F00D8"/>
    <w:rsid w:val="009F0357"/>
    <w:rsid w:val="009F07A9"/>
    <w:rsid w:val="00A12AD9"/>
    <w:rsid w:val="00A212BC"/>
    <w:rsid w:val="00A37801"/>
    <w:rsid w:val="00A410F3"/>
    <w:rsid w:val="00A73FB8"/>
    <w:rsid w:val="00A82B80"/>
    <w:rsid w:val="00A83FB1"/>
    <w:rsid w:val="00A85CD7"/>
    <w:rsid w:val="00A90D67"/>
    <w:rsid w:val="00A94DB9"/>
    <w:rsid w:val="00AA0DFF"/>
    <w:rsid w:val="00AA0F7A"/>
    <w:rsid w:val="00AB0214"/>
    <w:rsid w:val="00AE29F0"/>
    <w:rsid w:val="00AE62D7"/>
    <w:rsid w:val="00B34249"/>
    <w:rsid w:val="00B424EF"/>
    <w:rsid w:val="00B51CF8"/>
    <w:rsid w:val="00B57B3C"/>
    <w:rsid w:val="00B82D85"/>
    <w:rsid w:val="00B9467B"/>
    <w:rsid w:val="00B9736A"/>
    <w:rsid w:val="00BA32C0"/>
    <w:rsid w:val="00BA471D"/>
    <w:rsid w:val="00BC4D4C"/>
    <w:rsid w:val="00BE22AC"/>
    <w:rsid w:val="00BE2A28"/>
    <w:rsid w:val="00BF0CC9"/>
    <w:rsid w:val="00BF4E0F"/>
    <w:rsid w:val="00C028C7"/>
    <w:rsid w:val="00C176C3"/>
    <w:rsid w:val="00C428A2"/>
    <w:rsid w:val="00C43AE5"/>
    <w:rsid w:val="00C609E8"/>
    <w:rsid w:val="00C66A72"/>
    <w:rsid w:val="00C76DEB"/>
    <w:rsid w:val="00C914EC"/>
    <w:rsid w:val="00C9455C"/>
    <w:rsid w:val="00C95E8E"/>
    <w:rsid w:val="00CA1212"/>
    <w:rsid w:val="00CA214C"/>
    <w:rsid w:val="00CA3BA7"/>
    <w:rsid w:val="00CA718A"/>
    <w:rsid w:val="00CB42EB"/>
    <w:rsid w:val="00CB4540"/>
    <w:rsid w:val="00CB6080"/>
    <w:rsid w:val="00CD1A10"/>
    <w:rsid w:val="00CD3CD7"/>
    <w:rsid w:val="00D17D6A"/>
    <w:rsid w:val="00D23A33"/>
    <w:rsid w:val="00D47AED"/>
    <w:rsid w:val="00D52257"/>
    <w:rsid w:val="00D530D7"/>
    <w:rsid w:val="00D76DB8"/>
    <w:rsid w:val="00D76F04"/>
    <w:rsid w:val="00D77F26"/>
    <w:rsid w:val="00D85C2C"/>
    <w:rsid w:val="00D9167B"/>
    <w:rsid w:val="00D96962"/>
    <w:rsid w:val="00DB0D05"/>
    <w:rsid w:val="00DD4C41"/>
    <w:rsid w:val="00DE1601"/>
    <w:rsid w:val="00DE29FE"/>
    <w:rsid w:val="00DE609B"/>
    <w:rsid w:val="00DF1D5F"/>
    <w:rsid w:val="00E0718E"/>
    <w:rsid w:val="00E13A95"/>
    <w:rsid w:val="00E2397C"/>
    <w:rsid w:val="00E431D2"/>
    <w:rsid w:val="00E46A76"/>
    <w:rsid w:val="00E52B22"/>
    <w:rsid w:val="00E6400D"/>
    <w:rsid w:val="00E7214C"/>
    <w:rsid w:val="00E724B7"/>
    <w:rsid w:val="00E851C8"/>
    <w:rsid w:val="00EA1DED"/>
    <w:rsid w:val="00ED0E32"/>
    <w:rsid w:val="00ED4A1C"/>
    <w:rsid w:val="00ED5A09"/>
    <w:rsid w:val="00EF33C2"/>
    <w:rsid w:val="00EF36F2"/>
    <w:rsid w:val="00F138BF"/>
    <w:rsid w:val="00F216F2"/>
    <w:rsid w:val="00F56AE0"/>
    <w:rsid w:val="00F63F74"/>
    <w:rsid w:val="00F64863"/>
    <w:rsid w:val="00F81C32"/>
    <w:rsid w:val="00F83051"/>
    <w:rsid w:val="00F8382C"/>
    <w:rsid w:val="00F95BB6"/>
    <w:rsid w:val="00FC300D"/>
    <w:rsid w:val="00FE2A35"/>
    <w:rsid w:val="00FF48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D590"/>
  <w15:docId w15:val="{BEC81CDF-5BA5-4D23-88BE-244FECA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4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B4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4CA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7116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674"/>
    <w:rPr>
      <w:rFonts w:ascii="Tahoma" w:hAnsi="Tahoma" w:cs="Tahoma"/>
      <w:sz w:val="16"/>
      <w:szCs w:val="16"/>
    </w:rPr>
  </w:style>
  <w:style w:type="character" w:styleId="Tekstvantijdelijkeaanduiding">
    <w:name w:val="Placeholder Text"/>
    <w:basedOn w:val="Standaardalinea-lettertype"/>
    <w:uiPriority w:val="99"/>
    <w:semiHidden/>
    <w:rsid w:val="00711674"/>
    <w:rPr>
      <w:color w:val="808080"/>
    </w:rPr>
  </w:style>
  <w:style w:type="character" w:styleId="Verwijzingopmerking">
    <w:name w:val="annotation reference"/>
    <w:basedOn w:val="Standaardalinea-lettertype"/>
    <w:uiPriority w:val="99"/>
    <w:semiHidden/>
    <w:unhideWhenUsed/>
    <w:rsid w:val="00022A4B"/>
    <w:rPr>
      <w:sz w:val="16"/>
      <w:szCs w:val="16"/>
    </w:rPr>
  </w:style>
  <w:style w:type="paragraph" w:styleId="Tekstopmerking">
    <w:name w:val="annotation text"/>
    <w:basedOn w:val="Standaard"/>
    <w:link w:val="TekstopmerkingChar"/>
    <w:uiPriority w:val="99"/>
    <w:semiHidden/>
    <w:unhideWhenUsed/>
    <w:rsid w:val="00022A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2A4B"/>
    <w:rPr>
      <w:sz w:val="20"/>
      <w:szCs w:val="20"/>
    </w:rPr>
  </w:style>
  <w:style w:type="paragraph" w:styleId="Onderwerpvanopmerking">
    <w:name w:val="annotation subject"/>
    <w:basedOn w:val="Tekstopmerking"/>
    <w:next w:val="Tekstopmerking"/>
    <w:link w:val="OnderwerpvanopmerkingChar"/>
    <w:uiPriority w:val="99"/>
    <w:semiHidden/>
    <w:unhideWhenUsed/>
    <w:rsid w:val="00022A4B"/>
    <w:rPr>
      <w:b/>
      <w:bCs/>
    </w:rPr>
  </w:style>
  <w:style w:type="character" w:customStyle="1" w:styleId="OnderwerpvanopmerkingChar">
    <w:name w:val="Onderwerp van opmerking Char"/>
    <w:basedOn w:val="TekstopmerkingChar"/>
    <w:link w:val="Onderwerpvanopmerking"/>
    <w:uiPriority w:val="99"/>
    <w:semiHidden/>
    <w:rsid w:val="00022A4B"/>
    <w:rPr>
      <w:b/>
      <w:bCs/>
      <w:sz w:val="20"/>
      <w:szCs w:val="20"/>
    </w:rPr>
  </w:style>
  <w:style w:type="character" w:customStyle="1" w:styleId="Kop2Char">
    <w:name w:val="Kop 2 Char"/>
    <w:basedOn w:val="Standaardalinea-lettertype"/>
    <w:link w:val="Kop2"/>
    <w:uiPriority w:val="9"/>
    <w:rsid w:val="00A94DB9"/>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nhideWhenUsed/>
    <w:rsid w:val="00114C3A"/>
    <w:rPr>
      <w:color w:val="0000FF"/>
      <w:u w:val="single"/>
    </w:rPr>
  </w:style>
  <w:style w:type="character" w:styleId="GevolgdeHyperlink">
    <w:name w:val="FollowedHyperlink"/>
    <w:basedOn w:val="Standaardalinea-lettertype"/>
    <w:uiPriority w:val="99"/>
    <w:semiHidden/>
    <w:unhideWhenUsed/>
    <w:rsid w:val="00756FFE"/>
    <w:rPr>
      <w:color w:val="800080" w:themeColor="followedHyperlink"/>
      <w:u w:val="single"/>
    </w:rPr>
  </w:style>
  <w:style w:type="paragraph" w:customStyle="1" w:styleId="Default">
    <w:name w:val="Default"/>
    <w:rsid w:val="00F64863"/>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EF33C2"/>
    <w:pPr>
      <w:ind w:left="720"/>
      <w:contextualSpacing/>
    </w:pPr>
  </w:style>
  <w:style w:type="character" w:customStyle="1" w:styleId="Kop3Char">
    <w:name w:val="Kop 3 Char"/>
    <w:basedOn w:val="Standaardalinea-lettertype"/>
    <w:link w:val="Kop3"/>
    <w:uiPriority w:val="9"/>
    <w:semiHidden/>
    <w:rsid w:val="009B413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424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4249B"/>
    <w:rPr>
      <w:i/>
      <w:iCs/>
    </w:rPr>
  </w:style>
  <w:style w:type="paragraph" w:styleId="Koptekst">
    <w:name w:val="header"/>
    <w:basedOn w:val="Standaard"/>
    <w:link w:val="KoptekstChar"/>
    <w:uiPriority w:val="99"/>
    <w:unhideWhenUsed/>
    <w:rsid w:val="008628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82C"/>
  </w:style>
  <w:style w:type="paragraph" w:styleId="Voettekst">
    <w:name w:val="footer"/>
    <w:basedOn w:val="Standaard"/>
    <w:link w:val="VoettekstChar"/>
    <w:uiPriority w:val="99"/>
    <w:unhideWhenUsed/>
    <w:rsid w:val="008628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82C"/>
  </w:style>
  <w:style w:type="paragraph" w:styleId="Revisie">
    <w:name w:val="Revision"/>
    <w:hidden/>
    <w:uiPriority w:val="99"/>
    <w:semiHidden/>
    <w:rsid w:val="00196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8512">
      <w:bodyDiv w:val="1"/>
      <w:marLeft w:val="0"/>
      <w:marRight w:val="0"/>
      <w:marTop w:val="0"/>
      <w:marBottom w:val="0"/>
      <w:divBdr>
        <w:top w:val="none" w:sz="0" w:space="0" w:color="auto"/>
        <w:left w:val="none" w:sz="0" w:space="0" w:color="auto"/>
        <w:bottom w:val="none" w:sz="0" w:space="0" w:color="auto"/>
        <w:right w:val="none" w:sz="0" w:space="0" w:color="auto"/>
      </w:divBdr>
    </w:div>
    <w:div w:id="726805542">
      <w:bodyDiv w:val="1"/>
      <w:marLeft w:val="0"/>
      <w:marRight w:val="0"/>
      <w:marTop w:val="0"/>
      <w:marBottom w:val="0"/>
      <w:divBdr>
        <w:top w:val="none" w:sz="0" w:space="0" w:color="auto"/>
        <w:left w:val="none" w:sz="0" w:space="0" w:color="auto"/>
        <w:bottom w:val="none" w:sz="0" w:space="0" w:color="auto"/>
        <w:right w:val="none" w:sz="0" w:space="0" w:color="auto"/>
      </w:divBdr>
    </w:div>
    <w:div w:id="1387099137">
      <w:bodyDiv w:val="1"/>
      <w:marLeft w:val="0"/>
      <w:marRight w:val="0"/>
      <w:marTop w:val="0"/>
      <w:marBottom w:val="0"/>
      <w:divBdr>
        <w:top w:val="none" w:sz="0" w:space="0" w:color="auto"/>
        <w:left w:val="none" w:sz="0" w:space="0" w:color="auto"/>
        <w:bottom w:val="none" w:sz="0" w:space="0" w:color="auto"/>
        <w:right w:val="none" w:sz="0" w:space="0" w:color="auto"/>
      </w:divBdr>
    </w:div>
    <w:div w:id="1478184859">
      <w:bodyDiv w:val="1"/>
      <w:marLeft w:val="0"/>
      <w:marRight w:val="0"/>
      <w:marTop w:val="0"/>
      <w:marBottom w:val="0"/>
      <w:divBdr>
        <w:top w:val="none" w:sz="0" w:space="0" w:color="auto"/>
        <w:left w:val="none" w:sz="0" w:space="0" w:color="auto"/>
        <w:bottom w:val="none" w:sz="0" w:space="0" w:color="auto"/>
        <w:right w:val="none" w:sz="0" w:space="0" w:color="auto"/>
      </w:divBdr>
    </w:div>
    <w:div w:id="1763409195">
      <w:bodyDiv w:val="1"/>
      <w:marLeft w:val="0"/>
      <w:marRight w:val="0"/>
      <w:marTop w:val="0"/>
      <w:marBottom w:val="0"/>
      <w:divBdr>
        <w:top w:val="none" w:sz="0" w:space="0" w:color="auto"/>
        <w:left w:val="none" w:sz="0" w:space="0" w:color="auto"/>
        <w:bottom w:val="none" w:sz="0" w:space="0" w:color="auto"/>
        <w:right w:val="none" w:sz="0" w:space="0" w:color="auto"/>
      </w:divBdr>
    </w:div>
    <w:div w:id="17742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EA32-1015-4228-BAD0-27D9D289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7758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Rommel, Bernard</dc:creator>
  <cp:lastModifiedBy>Kersten Christiane</cp:lastModifiedBy>
  <cp:revision>2</cp:revision>
  <cp:lastPrinted>2019-07-12T12:19:00Z</cp:lastPrinted>
  <dcterms:created xsi:type="dcterms:W3CDTF">2019-10-10T08:00:00Z</dcterms:created>
  <dcterms:modified xsi:type="dcterms:W3CDTF">2019-10-10T08:00:00Z</dcterms:modified>
</cp:coreProperties>
</file>