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6E" w:rsidRPr="00F3246E" w:rsidRDefault="00F3246E" w:rsidP="00F324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nl-BE"/>
        </w:rPr>
      </w:pPr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19 JUILLET 2019. -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du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Gouvernement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flamand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concernant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un régime de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subventionnement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quinquennal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visant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à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promouvoir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la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connectivité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entre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l'hinterland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et les ports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maritimes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flamands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par le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regroupement</w:t>
      </w:r>
      <w:proofErr w:type="spellEnd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 xml:space="preserve"> des volumes </w:t>
      </w:r>
      <w:proofErr w:type="spellStart"/>
      <w:r w:rsidRPr="00F32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nl-BE"/>
        </w:rPr>
        <w:t>ferroviaires</w:t>
      </w:r>
      <w:proofErr w:type="spellEnd"/>
    </w:p>
    <w:p w:rsidR="00773046" w:rsidRPr="00F3246E" w:rsidRDefault="00F3246E" w:rsidP="00F3246E">
      <w:pPr>
        <w:rPr>
          <w:lang w:val="en-US"/>
        </w:rPr>
      </w:pP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>LE GOUVERNEMENT FLAMAND,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Vu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décret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2 mars 1999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sur la politique et la gestion des ports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maritimes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l'article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35bis,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inséré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par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décret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26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avril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2019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diverses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dispositions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concernant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la politique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mobilité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les travaux publics et le transport, la politique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matière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sécurité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routière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et la VVM -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Lijn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Vu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l'avis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l'Inspection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Finances,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donné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 2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avril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2019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Vu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l'accord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Ministre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ayant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 budget dans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attributions,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donné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 30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avril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2019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Vu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l'avis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Conseil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Mobilité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Flandre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(«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Mobiliteitsraad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van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Vlaanderen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»),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donné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 7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juin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2019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Vu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l'avis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66.340/3 du Conseil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d'Etat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donné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 10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juillet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2019,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application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l'article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84, § 1</w:t>
      </w:r>
      <w:r w:rsidRPr="00F324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nl-BE"/>
        </w:rPr>
        <w:t>er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alinéa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1</w:t>
      </w:r>
      <w:r w:rsidRPr="00F324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nl-BE"/>
        </w:rPr>
        <w:t>er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2°, 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lois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sur le Conseil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d'Etat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coordonnées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 12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janvier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1973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Sur la proposition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Ministre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Mobilité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des Travaux publics,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Périphérie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Bruxelles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de la Politique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étrangère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Patrimoine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immobilier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et du Bien-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animaux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, et Vice-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Ministre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-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Président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Gouvernement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Après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délibération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,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>CHAPITRE 1</w:t>
      </w:r>
      <w:r w:rsidRPr="00F324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nl-BE"/>
        </w:rPr>
        <w:t>er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. -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Définitions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>Article 1</w:t>
      </w:r>
      <w:r w:rsidRPr="00F324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nl-BE"/>
        </w:rPr>
        <w:t>er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. Dans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entend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par :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1°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connexion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 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régulier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entre deux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terminaux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intermodaux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dont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l'un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deux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terminaux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intermodaux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situé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dehors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Belgique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2°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département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Département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Mobilité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et des Travaux publics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visé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l'article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28, § 1</w:t>
      </w:r>
      <w:r w:rsidRPr="00F324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nl-BE"/>
        </w:rPr>
        <w:t>er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Gouvernement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3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juin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2005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relatif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l'organisation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l'Administration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3° zone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 la zone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d'Anvers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la zone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Bruges-Zeebrugge et la zone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Gand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visées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l'article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2, 5°, 6° et 7°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décret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2 mars 1999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sur la politique et la gestion des ports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maritimes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4° terminal intermodal : zone de stockage et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transbordement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unités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transport intermodal (UTI)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5°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navette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 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régulier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un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mouvement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trains entre deux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terminaux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intermodaux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dans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zone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entre deux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terminaux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intermodaux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dans deux zones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6° train : le transport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qui fait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l'objet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d'un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sillon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enregistré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CHAPITRE 2. -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Soutien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regroupement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transports UTI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pour 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connexions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2. Tout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opérateur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qui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transporte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UTI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groupées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par rail entre un terminal intermodal dans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zone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et un terminal intermodal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dehors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Belgique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peut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bénéficier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subvention, dans les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limites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budget.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3. La subvention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visée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l'article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octroyée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pour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chaque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selon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formule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suivante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 250 euros par train et par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connexion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La subvention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payée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pour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durée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maximale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d'un an.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4. Dans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article, 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entend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par :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1°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existant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 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appartenant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l'inventaire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services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dont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l'origine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et la destination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sont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terminaux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2°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région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d'un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existant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 pour les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régions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situées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dans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l'Union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européenne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il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s'agit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région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NUTS-2 et pour les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régions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situées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dehors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l'Union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européenne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il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s'agit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Région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statistique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telle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que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définie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par Eurostat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3°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avec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nouvelle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origine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destination dans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l'hinterland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a) 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qui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n'est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pas 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existant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dont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la destination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l'origine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dans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l'hinterland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n'appartient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pas à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région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d'un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existant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qui 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été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il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y 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moins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trois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mois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b) 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existant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qui 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été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il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y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moins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trois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mois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4°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fréquence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accrue d'un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 un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hebdomadaire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supplémentaire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connexion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Un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subventionné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si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les conditions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suivantes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sont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remplies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1°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moyenne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pour un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trimestre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au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moins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20 % du volume total des trains,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exprimé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nombre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wagons,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concerne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UTI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2°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moyenne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pour un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trimestre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l'origine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la destination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d'au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moins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20% des UTI,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exprimées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EVP,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un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deuxième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terminal intermodal dans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zone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3° le train fait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partie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d'un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direct pour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l'itinéraire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principal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vers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depuis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zone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4°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fréquence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accrue d'un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d'un service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ayant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nouvelle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origine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destination dans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l'hinterland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réalisée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5. Si un train qui 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bénéficié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la subvention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maximale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sur la base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et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redémarré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par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même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opérateur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un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autre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opérateur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n'est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plus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éligible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subventionnement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sur la base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CHAPITRE 3. -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Soutien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regroupement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transports UTI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pour les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navettes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6. Tout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opérateur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qui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transporte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UTI par train entre deux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terminaux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intermodaux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situés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dans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deux zones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peut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bénéficier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subvention, dans les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limites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budget.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7. La subvention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visée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l'article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7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octroyée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pour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chaque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train sur la base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formule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suivante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: 250 euros par train et par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navette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La subvention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payée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pour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durée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maximale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deux ans.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8. Un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subventionné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à condition que,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moyenne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pour un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trimestre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au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moins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20 % des UTI,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exprimées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EVP,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soient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transbordés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dans un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autre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proviennent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d'un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autre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train,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l'autre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pouvant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être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soit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un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entier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soit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partie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déconnectée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d'un train.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Si le transport a lieu entre deux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terminaux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intermodaux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dans la zone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d'Anvers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Bruges-Zeebrugge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entre deux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terminaux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intermodaux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l'un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dans la zone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d'Anvers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l'autre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dans la zone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portuaire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Bruges-Zeebrugge, le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subventionné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si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conteneurs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transportés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sur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navette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un terminal maritime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comme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départ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arrivée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9. Si un train qui 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bénéficié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la subvention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maximale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sur la base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et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redémarré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par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même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opérateur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un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autre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opérateur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n'est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plus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éligible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subventionnement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sur la base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CHAPITRE 4. -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Procédure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d'octroi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subventions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10.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L'opérateur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communique au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département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sur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base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trimestrielle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liste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trains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donnant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droit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une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subvention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telle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que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visée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chapitres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 et 3,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moyenne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EVP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transportés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par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donnant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droit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cette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subvention et les frais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moyens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transport par EVP par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donnant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droit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cette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subvention.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l'alinéa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1</w:t>
      </w:r>
      <w:r w:rsidRPr="00F324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nl-BE"/>
        </w:rPr>
        <w:t>er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entend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par frais de transport :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1° les frais de transport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2° les frais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administratifs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3° les frais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transbordement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conteneurs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entre le matériel de transport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même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mode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4° les frais de transport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routier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entre le point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départ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et le terminal intermodal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ou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entre le terminal intermodal et la destination.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Chaque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opérateur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informe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département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autres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aides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telles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que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visées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l'article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107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traité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sur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fonctionnement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l'Union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européenne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et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financement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communautaire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dont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il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bénéficie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.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montants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d'aide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sont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communiqués par train.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11. Les subventions,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visées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chapitres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 et 3, se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limitent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à 30% des frais de transport.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département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contrôle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 respect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limite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30 % des frais de transport.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l'alinéa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1</w:t>
      </w:r>
      <w:r w:rsidRPr="00F324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nl-BE"/>
        </w:rPr>
        <w:t>er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on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entend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par frais de transport :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1° les frais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2° les frais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transbordement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UTI entre le matériel de transport 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différents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modes ;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lastRenderedPageBreak/>
        <w:t xml:space="preserve">3° les frais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éventuels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transport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routier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entre le point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départ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et le terminal intermodal et entre le terminal intermodal et la destination.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Les subventions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visées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chapitres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 et 3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peuvent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être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cumulées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ni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avec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d'autres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aides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d'Etat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telles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que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visées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l'article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107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traité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sur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fonctionnement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l'Union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européenne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ni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avec un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autre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financement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communautaire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si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l'aide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cumulée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dépasse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ainsi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les maxima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visés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au point 6 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Lignes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directrices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communautaires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sur les aides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d'Etat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entreprises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ferroviaires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(JO 22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juillet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2008, C 184).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Les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subventions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visées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articles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3 et 7, ne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peuvent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pas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être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cumulées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avec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les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subventions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octroyées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dans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cadre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des appels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ouverts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à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>projets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t xml:space="preserve"> « Hinterlandconnectiviteit : nieuwe en innovatieve impulsen voor het Vlaamse hinterland » (6/11/2017 et « Logistiek en havens : Nieuwe impulsen voor de logistieke regio Vlaanderen » (4/06/2019.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eastAsia="nl-BE"/>
        </w:rPr>
        <w:br/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Art. 12.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département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autorisé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à demander 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informations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étaillées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par train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éligible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aux subventions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visées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aux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chapitres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 et 3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>CHAPITRE 5. - Dispositions finales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13.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(re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vigueur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 1</w:t>
      </w:r>
      <w:r w:rsidRPr="00F324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nl-BE"/>
        </w:rPr>
        <w:t>er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 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octobre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2019 et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cesse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produire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se's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effets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le 31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octobre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2023.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Art. 14. 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Ministre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ayant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la politique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mobilité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les travaux publics et les transports dans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ses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attributions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est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chargé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l'exécution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arrêté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Bruxelles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le 19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juillet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2019.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Ministre-Présidente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Gouvernement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Ministre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l'Administration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intérieur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l'Insertion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civique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Logement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l'Egalité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Chance's et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Lutte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contre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Pauvreté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,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>L. HOMANS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 xml:space="preserve">Le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Ministre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Mobilité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des Travaux publics, de la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Périphérie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Bruxelles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de la Politique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étrangère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,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Patrimoine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immobilier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, et du Bien-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être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des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animaux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, et Vice-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Ministre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-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Président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du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Gouvernement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 xml:space="preserve"> </w:t>
      </w:r>
      <w:proofErr w:type="spellStart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flamand</w:t>
      </w:r>
      <w:proofErr w:type="spellEnd"/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t>,</w:t>
      </w:r>
      <w:r w:rsidRPr="00F324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nl-BE"/>
        </w:rPr>
        <w:br/>
        <w:t>B. WEYTS</w:t>
      </w:r>
      <w:bookmarkStart w:id="0" w:name="_GoBack"/>
      <w:bookmarkEnd w:id="0"/>
    </w:p>
    <w:sectPr w:rsidR="00773046" w:rsidRPr="00F3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6E"/>
    <w:rsid w:val="00773046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5EC0-B895-422A-A357-54002040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F32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3246E"/>
    <w:rPr>
      <w:rFonts w:ascii="Times New Roman" w:eastAsia="Times New Roman" w:hAnsi="Times New Roman" w:cs="Times New Roman"/>
      <w:b/>
      <w:bCs/>
      <w:sz w:val="27"/>
      <w:szCs w:val="27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Rommel, Bernard</dc:creator>
  <cp:keywords/>
  <dc:description/>
  <cp:lastModifiedBy>Rommel, Bernard</cp:lastModifiedBy>
  <cp:revision>1</cp:revision>
  <dcterms:created xsi:type="dcterms:W3CDTF">2019-10-07T13:35:00Z</dcterms:created>
  <dcterms:modified xsi:type="dcterms:W3CDTF">2019-10-07T13:37:00Z</dcterms:modified>
</cp:coreProperties>
</file>