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3A30D" w14:textId="77777777" w:rsidR="00B90820" w:rsidRDefault="00B90820" w:rsidP="00BC20B7">
      <w:pPr>
        <w:jc w:val="both"/>
        <w:rPr>
          <w:rFonts w:ascii="FlandersArtSans-Light" w:hAnsi="FlandersArtSans-Light"/>
          <w:b/>
          <w:sz w:val="40"/>
          <w:szCs w:val="40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338C0F7F" wp14:editId="1F3B4432">
            <wp:extent cx="5760720" cy="1078865"/>
            <wp:effectExtent l="0" t="0" r="0" b="6985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O_label-geblokt_blau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31518" w14:textId="3B57CFA0" w:rsidR="00B90820" w:rsidRDefault="006B07AE" w:rsidP="0019523D">
      <w:pPr>
        <w:jc w:val="both"/>
        <w:rPr>
          <w:rFonts w:ascii="FlandersArtSans-Light" w:hAnsi="FlandersArtSans-Light"/>
          <w:b/>
          <w:sz w:val="40"/>
          <w:szCs w:val="40"/>
        </w:rPr>
      </w:pPr>
      <w:r>
        <w:rPr>
          <w:rFonts w:ascii="FlandersArtSans-Light" w:hAnsi="FlandersArtSans-Light"/>
          <w:b/>
          <w:sz w:val="40"/>
          <w:szCs w:val="40"/>
        </w:rPr>
        <w:t>Jul</w:t>
      </w:r>
      <w:r w:rsidR="00C7129A">
        <w:rPr>
          <w:rFonts w:ascii="FlandersArtSans-Light" w:hAnsi="FlandersArtSans-Light"/>
          <w:b/>
          <w:sz w:val="40"/>
          <w:szCs w:val="40"/>
        </w:rPr>
        <w:t>i</w:t>
      </w:r>
      <w:r w:rsidR="00FA53D3">
        <w:rPr>
          <w:rFonts w:ascii="FlandersArtSans-Light" w:hAnsi="FlandersArtSans-Light"/>
          <w:b/>
          <w:sz w:val="40"/>
          <w:szCs w:val="40"/>
        </w:rPr>
        <w:t xml:space="preserve"> 2017</w:t>
      </w:r>
    </w:p>
    <w:p w14:paraId="7CDD1EB8" w14:textId="77777777" w:rsidR="003F6038" w:rsidRDefault="003F6038" w:rsidP="00BC20B7">
      <w:pPr>
        <w:jc w:val="both"/>
        <w:rPr>
          <w:rFonts w:ascii="FlandersArtSans-Light" w:hAnsi="FlandersArtSans-Light"/>
          <w:b/>
          <w:sz w:val="40"/>
          <w:szCs w:val="40"/>
        </w:rPr>
      </w:pPr>
    </w:p>
    <w:tbl>
      <w:tblPr>
        <w:tblW w:w="5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7"/>
        <w:gridCol w:w="2552"/>
      </w:tblGrid>
      <w:tr w:rsidR="00BC20B7" w:rsidRPr="00A7112B" w14:paraId="3C10E37A" w14:textId="77777777" w:rsidTr="00B90820">
        <w:trPr>
          <w:trHeight w:val="300"/>
          <w:jc w:val="center"/>
        </w:trPr>
        <w:tc>
          <w:tcPr>
            <w:tcW w:w="5239" w:type="dxa"/>
            <w:gridSpan w:val="2"/>
            <w:shd w:val="clear" w:color="auto" w:fill="31B7BC"/>
          </w:tcPr>
          <w:p w14:paraId="49F0735A" w14:textId="77777777" w:rsidR="00BC20B7" w:rsidRPr="00B90820" w:rsidRDefault="00BC20B7" w:rsidP="006B2F50">
            <w:pPr>
              <w:spacing w:after="0" w:line="240" w:lineRule="auto"/>
              <w:jc w:val="center"/>
              <w:rPr>
                <w:rFonts w:ascii="FlandersArtSans-Light" w:eastAsia="Times New Roman" w:hAnsi="FlandersArtSans-Light" w:cs="Calibri"/>
                <w:b/>
                <w:color w:val="FFFFFF" w:themeColor="background1"/>
                <w:lang w:eastAsia="nl-BE"/>
              </w:rPr>
            </w:pPr>
            <w:r w:rsidRPr="00B90820">
              <w:rPr>
                <w:rFonts w:ascii="FlandersArtSans-Light" w:eastAsia="Times New Roman" w:hAnsi="FlandersArtSans-Light" w:cs="Calibri"/>
                <w:b/>
                <w:color w:val="FFFFFF" w:themeColor="background1"/>
                <w:lang w:eastAsia="nl-BE"/>
              </w:rPr>
              <w:t>Dienstencheques</w:t>
            </w:r>
          </w:p>
          <w:p w14:paraId="28861CF0" w14:textId="3C59DE87" w:rsidR="00BC20B7" w:rsidRPr="00A7112B" w:rsidRDefault="00BC20B7" w:rsidP="0019523D">
            <w:pPr>
              <w:spacing w:after="0" w:line="240" w:lineRule="auto"/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 w:rsidRPr="00B90820">
              <w:rPr>
                <w:rFonts w:ascii="FlandersArtSans-Light" w:eastAsia="Times New Roman" w:hAnsi="FlandersArtSans-Light" w:cs="Calibri"/>
                <w:b/>
                <w:color w:val="FFFFFF" w:themeColor="background1"/>
                <w:lang w:eastAsia="nl-BE"/>
              </w:rPr>
              <w:t xml:space="preserve">Situatie eind </w:t>
            </w:r>
            <w:r w:rsidR="00725F59">
              <w:rPr>
                <w:rFonts w:ascii="FlandersArtSans-Light" w:eastAsia="Times New Roman" w:hAnsi="FlandersArtSans-Light" w:cs="Calibri"/>
                <w:b/>
                <w:color w:val="FFFFFF" w:themeColor="background1"/>
                <w:lang w:eastAsia="nl-BE"/>
              </w:rPr>
              <w:t>jul</w:t>
            </w:r>
            <w:r w:rsidR="00C7129A">
              <w:rPr>
                <w:rFonts w:ascii="FlandersArtSans-Light" w:eastAsia="Times New Roman" w:hAnsi="FlandersArtSans-Light" w:cs="Calibri"/>
                <w:b/>
                <w:color w:val="FFFFFF" w:themeColor="background1"/>
                <w:lang w:eastAsia="nl-BE"/>
              </w:rPr>
              <w:t>i</w:t>
            </w:r>
            <w:r w:rsidR="00FA53D3">
              <w:rPr>
                <w:rFonts w:ascii="FlandersArtSans-Light" w:eastAsia="Times New Roman" w:hAnsi="FlandersArtSans-Light" w:cs="Calibri"/>
                <w:b/>
                <w:color w:val="FFFFFF" w:themeColor="background1"/>
                <w:lang w:eastAsia="nl-BE"/>
              </w:rPr>
              <w:t xml:space="preserve"> 2017</w:t>
            </w:r>
          </w:p>
        </w:tc>
      </w:tr>
      <w:tr w:rsidR="00BC20B7" w:rsidRPr="00A7112B" w14:paraId="444DCF98" w14:textId="77777777" w:rsidTr="00BC20B7">
        <w:trPr>
          <w:trHeight w:val="300"/>
          <w:jc w:val="center"/>
        </w:trPr>
        <w:tc>
          <w:tcPr>
            <w:tcW w:w="2687" w:type="dxa"/>
          </w:tcPr>
          <w:p w14:paraId="6EF39350" w14:textId="77777777" w:rsidR="00BC20B7" w:rsidRPr="00207F4F" w:rsidRDefault="00BC20B7" w:rsidP="006B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nl-BE"/>
              </w:rPr>
            </w:pPr>
            <w:r w:rsidRPr="00207F4F">
              <w:rPr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  <w:t>Aangekochte cheques</w:t>
            </w:r>
            <w:r w:rsidR="0087168F" w:rsidRPr="00207F4F">
              <w:rPr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  <w:t xml:space="preserve"> tijdens de maand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3DEC1269" w14:textId="513AAF6D" w:rsidR="00FA53D3" w:rsidRPr="00FA53D3" w:rsidRDefault="00725F59" w:rsidP="00FA53D3">
            <w:pPr>
              <w:spacing w:after="0" w:line="240" w:lineRule="auto"/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5.739.264</w:t>
            </w:r>
          </w:p>
          <w:p w14:paraId="116755A8" w14:textId="0DA77C7F" w:rsidR="00BC20B7" w:rsidRPr="00F347CF" w:rsidRDefault="00BC20B7" w:rsidP="006F7DD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C20B7" w:rsidRPr="00A7112B" w14:paraId="552F1EA8" w14:textId="77777777" w:rsidTr="008360C0">
        <w:trPr>
          <w:trHeight w:val="300"/>
          <w:jc w:val="center"/>
        </w:trPr>
        <w:tc>
          <w:tcPr>
            <w:tcW w:w="2687" w:type="dxa"/>
          </w:tcPr>
          <w:p w14:paraId="7821D195" w14:textId="28A91CA1" w:rsidR="00BC20B7" w:rsidRPr="00207F4F" w:rsidRDefault="0087168F" w:rsidP="00CB1375">
            <w:pPr>
              <w:spacing w:after="0" w:line="240" w:lineRule="auto"/>
              <w:jc w:val="center"/>
              <w:rPr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</w:pPr>
            <w:r w:rsidRPr="00207F4F">
              <w:rPr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  <w:t>Aan de ondernemingen uitb</w:t>
            </w:r>
            <w:r w:rsidR="00BC20B7" w:rsidRPr="00207F4F">
              <w:rPr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  <w:t>etaalde cheques</w:t>
            </w:r>
            <w:r w:rsidRPr="00207F4F">
              <w:rPr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  <w:t xml:space="preserve"> tijdens de maand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893E0D6" w14:textId="52A06A85" w:rsidR="00FA53D3" w:rsidRPr="00FA53D3" w:rsidRDefault="00725F59" w:rsidP="00FA53D3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6.463.771</w:t>
            </w:r>
          </w:p>
          <w:p w14:paraId="2C0BA113" w14:textId="444C75BD" w:rsidR="00BC20B7" w:rsidRPr="00F347CF" w:rsidRDefault="00BC20B7" w:rsidP="006F7DD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25AE3" w:rsidRPr="00A7112B" w14:paraId="2F082C15" w14:textId="77777777" w:rsidTr="00BC20B7">
        <w:trPr>
          <w:trHeight w:val="300"/>
          <w:jc w:val="center"/>
        </w:trPr>
        <w:tc>
          <w:tcPr>
            <w:tcW w:w="2687" w:type="dxa"/>
          </w:tcPr>
          <w:p w14:paraId="0BB7FB2F" w14:textId="77777777" w:rsidR="00925AE3" w:rsidRPr="00207F4F" w:rsidRDefault="00925AE3" w:rsidP="0087168F">
            <w:pPr>
              <w:spacing w:after="0" w:line="240" w:lineRule="auto"/>
              <w:jc w:val="center"/>
              <w:rPr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</w:pPr>
            <w:r w:rsidRPr="00207F4F">
              <w:rPr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  <w:t>Aandeel elektronische dienstencheques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2C2BFFFC" w14:textId="46B0BA86" w:rsidR="00925AE3" w:rsidRPr="00207F4F" w:rsidRDefault="00725F59" w:rsidP="00A8547B">
            <w:pPr>
              <w:spacing w:after="0" w:line="240" w:lineRule="auto"/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52,59</w:t>
            </w:r>
            <w:r w:rsidR="0072226F" w:rsidRPr="00207F4F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%</w:t>
            </w:r>
          </w:p>
        </w:tc>
      </w:tr>
      <w:tr w:rsidR="00E37C5A" w:rsidRPr="00A7112B" w14:paraId="5994B786" w14:textId="77777777" w:rsidTr="008360C0">
        <w:trPr>
          <w:trHeight w:val="300"/>
          <w:jc w:val="center"/>
        </w:trPr>
        <w:tc>
          <w:tcPr>
            <w:tcW w:w="2687" w:type="dxa"/>
          </w:tcPr>
          <w:p w14:paraId="678FEAAF" w14:textId="77777777" w:rsidR="00E37C5A" w:rsidRPr="00207F4F" w:rsidRDefault="00E37C5A" w:rsidP="00854DD4">
            <w:pPr>
              <w:spacing w:after="0" w:line="240" w:lineRule="auto"/>
              <w:jc w:val="center"/>
              <w:rPr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</w:pPr>
            <w:r w:rsidRPr="00207F4F">
              <w:rPr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  <w:t xml:space="preserve">Groei </w:t>
            </w:r>
            <w:r w:rsidR="00F930F1" w:rsidRPr="00207F4F">
              <w:rPr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  <w:t>uit</w:t>
            </w:r>
            <w:r w:rsidR="00854DD4" w:rsidRPr="00207F4F">
              <w:rPr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  <w:t>gegeven</w:t>
            </w:r>
            <w:r w:rsidR="00F930F1" w:rsidRPr="00207F4F">
              <w:rPr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  <w:t xml:space="preserve"> cheques </w:t>
            </w:r>
            <w:r w:rsidRPr="00207F4F">
              <w:rPr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  <w:t>ten opzichte van jaar voordien</w:t>
            </w:r>
            <w:r w:rsidR="00CD5074" w:rsidRPr="00207F4F">
              <w:rPr>
                <w:rStyle w:val="Voetnootmarkering"/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  <w:footnoteReference w:id="2"/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6B73EE95" w14:textId="33D381B4" w:rsidR="00E37C5A" w:rsidRPr="00207F4F" w:rsidRDefault="004B3B2C" w:rsidP="00A8547B">
            <w:pPr>
              <w:spacing w:after="0" w:line="240" w:lineRule="auto"/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3,</w:t>
            </w:r>
            <w:r w:rsidR="00725F59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62</w:t>
            </w:r>
            <w:r w:rsidR="00883274" w:rsidRPr="00207F4F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%</w:t>
            </w:r>
          </w:p>
        </w:tc>
      </w:tr>
      <w:tr w:rsidR="00925AE3" w:rsidRPr="00A7112B" w14:paraId="0DA2877A" w14:textId="77777777" w:rsidTr="006B2F50">
        <w:trPr>
          <w:trHeight w:val="300"/>
          <w:jc w:val="center"/>
        </w:trPr>
        <w:tc>
          <w:tcPr>
            <w:tcW w:w="2687" w:type="dxa"/>
          </w:tcPr>
          <w:p w14:paraId="39517103" w14:textId="77777777" w:rsidR="00925AE3" w:rsidRPr="00207F4F" w:rsidRDefault="00925AE3" w:rsidP="006B2F50">
            <w:pPr>
              <w:spacing w:after="0" w:line="240" w:lineRule="auto"/>
              <w:jc w:val="center"/>
              <w:rPr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</w:pPr>
            <w:r w:rsidRPr="00207F4F">
              <w:rPr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  <w:t>Erkende ondernemingen</w:t>
            </w:r>
            <w:r w:rsidRPr="00207F4F">
              <w:rPr>
                <w:rStyle w:val="Voetnootmarkering"/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  <w:footnoteReference w:id="3"/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5863F45D" w14:textId="789CB40F" w:rsidR="00925AE3" w:rsidRPr="00207F4F" w:rsidRDefault="00C7129A" w:rsidP="00DB046F">
            <w:pPr>
              <w:spacing w:after="0" w:line="240" w:lineRule="auto"/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89</w:t>
            </w:r>
            <w:r w:rsidR="00725F59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0</w:t>
            </w:r>
          </w:p>
        </w:tc>
      </w:tr>
      <w:tr w:rsidR="00CA0E60" w:rsidRPr="00A7112B" w14:paraId="0ECD6CB4" w14:textId="77777777" w:rsidTr="006B2F50">
        <w:trPr>
          <w:trHeight w:val="300"/>
          <w:jc w:val="center"/>
        </w:trPr>
        <w:tc>
          <w:tcPr>
            <w:tcW w:w="2687" w:type="dxa"/>
          </w:tcPr>
          <w:p w14:paraId="2F34182E" w14:textId="77777777" w:rsidR="00CA0E60" w:rsidRPr="00207F4F" w:rsidRDefault="00CA0E60" w:rsidP="006B2F50">
            <w:pPr>
              <w:spacing w:after="0" w:line="240" w:lineRule="auto"/>
              <w:jc w:val="center"/>
              <w:rPr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  <w:t>Uitgaven</w:t>
            </w:r>
            <w:r>
              <w:rPr>
                <w:rStyle w:val="Voetnootmarkering"/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  <w:footnoteReference w:id="4"/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CB675AE" w14:textId="7A73F68A" w:rsidR="00CA0E60" w:rsidRPr="00207F4F" w:rsidRDefault="00292FDA" w:rsidP="00A8547B">
            <w:pPr>
              <w:spacing w:after="0" w:line="240" w:lineRule="auto"/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€</w:t>
            </w:r>
            <w:r w:rsidR="00725F59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96.133.950,2</w:t>
            </w:r>
          </w:p>
        </w:tc>
      </w:tr>
      <w:tr w:rsidR="00BC20B7" w:rsidRPr="00A7112B" w14:paraId="3383E648" w14:textId="77777777" w:rsidTr="00B90820">
        <w:trPr>
          <w:trHeight w:val="300"/>
          <w:jc w:val="center"/>
        </w:trPr>
        <w:tc>
          <w:tcPr>
            <w:tcW w:w="2687" w:type="dxa"/>
            <w:shd w:val="clear" w:color="auto" w:fill="31B7BC"/>
          </w:tcPr>
          <w:p w14:paraId="79CFFCB8" w14:textId="77777777" w:rsidR="00BC20B7" w:rsidRPr="00ED5543" w:rsidRDefault="00BC20B7" w:rsidP="006B2F50">
            <w:pPr>
              <w:spacing w:after="0" w:line="240" w:lineRule="auto"/>
              <w:jc w:val="center"/>
              <w:rPr>
                <w:rFonts w:ascii="FlandersArtSans-Light" w:eastAsia="Times New Roman" w:hAnsi="FlandersArtSans-Light" w:cs="Calibri"/>
                <w:b/>
                <w:color w:val="000000"/>
                <w:lang w:eastAsia="nl-BE"/>
              </w:rPr>
            </w:pPr>
          </w:p>
        </w:tc>
        <w:tc>
          <w:tcPr>
            <w:tcW w:w="2552" w:type="dxa"/>
            <w:shd w:val="clear" w:color="auto" w:fill="31B7BC"/>
            <w:noWrap/>
            <w:vAlign w:val="bottom"/>
            <w:hideMark/>
          </w:tcPr>
          <w:p w14:paraId="3B1F1C0D" w14:textId="77777777" w:rsidR="00BC20B7" w:rsidRPr="00A7112B" w:rsidRDefault="00BC20B7" w:rsidP="006B2F50">
            <w:pPr>
              <w:spacing w:after="0" w:line="240" w:lineRule="auto"/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</w:p>
        </w:tc>
      </w:tr>
    </w:tbl>
    <w:p w14:paraId="66261D8A" w14:textId="77777777" w:rsidR="00B90820" w:rsidRPr="003F6038" w:rsidRDefault="00BB7F1D" w:rsidP="003F6038">
      <w:pPr>
        <w:jc w:val="center"/>
        <w:rPr>
          <w:b/>
        </w:rPr>
      </w:pPr>
      <w:r>
        <w:rPr>
          <w:b/>
        </w:rPr>
        <w:t xml:space="preserve">Bron: </w:t>
      </w:r>
      <w:proofErr w:type="spellStart"/>
      <w:r>
        <w:rPr>
          <w:b/>
        </w:rPr>
        <w:t>Sodexo</w:t>
      </w:r>
      <w:proofErr w:type="spellEnd"/>
      <w:r>
        <w:rPr>
          <w:b/>
        </w:rPr>
        <w:t>, DWSE</w:t>
      </w:r>
    </w:p>
    <w:p w14:paraId="5F48189D" w14:textId="77777777" w:rsidR="00733EC3" w:rsidRDefault="00733EC3" w:rsidP="00733EC3"/>
    <w:p w14:paraId="6BE524EF" w14:textId="1D3ADFD7" w:rsidR="003F6038" w:rsidRPr="00C36319" w:rsidRDefault="00733EC3" w:rsidP="00A75C33">
      <w:pPr>
        <w:jc w:val="both"/>
        <w:rPr>
          <w:rFonts w:ascii="FlandersArtSans-Light" w:hAnsi="FlandersArtSans-Light"/>
        </w:rPr>
      </w:pPr>
      <w:r w:rsidRPr="00C36319">
        <w:rPr>
          <w:rFonts w:ascii="FlandersArtSans-Light" w:hAnsi="FlandersArtSans-Light"/>
        </w:rPr>
        <w:t xml:space="preserve">Sinds januari </w:t>
      </w:r>
      <w:r w:rsidR="009852E3">
        <w:rPr>
          <w:rFonts w:ascii="FlandersArtSans-Light" w:hAnsi="FlandersArtSans-Light"/>
        </w:rPr>
        <w:t>201</w:t>
      </w:r>
      <w:r w:rsidR="00E9433A">
        <w:rPr>
          <w:rFonts w:ascii="FlandersArtSans-Light" w:hAnsi="FlandersArtSans-Light"/>
        </w:rPr>
        <w:t>7</w:t>
      </w:r>
      <w:r w:rsidRPr="00C36319">
        <w:rPr>
          <w:rFonts w:ascii="FlandersArtSans-Light" w:hAnsi="FlandersArtSans-Light"/>
        </w:rPr>
        <w:t xml:space="preserve"> </w:t>
      </w:r>
      <w:r w:rsidR="00EF7C11">
        <w:rPr>
          <w:rFonts w:ascii="FlandersArtSans-Light" w:hAnsi="FlandersArtSans-Light"/>
        </w:rPr>
        <w:t>staat</w:t>
      </w:r>
      <w:r w:rsidRPr="00C36319">
        <w:rPr>
          <w:rFonts w:ascii="FlandersArtSans-Light" w:hAnsi="FlandersArtSans-Light"/>
        </w:rPr>
        <w:t xml:space="preserve"> het Vlaams Gewest </w:t>
      </w:r>
      <w:r w:rsidR="00FA53D3">
        <w:rPr>
          <w:rFonts w:ascii="FlandersArtSans-Light" w:hAnsi="FlandersArtSans-Light"/>
        </w:rPr>
        <w:t xml:space="preserve">1 jaar </w:t>
      </w:r>
      <w:r w:rsidRPr="00C36319">
        <w:rPr>
          <w:rFonts w:ascii="FlandersArtSans-Light" w:hAnsi="FlandersArtSans-Light"/>
        </w:rPr>
        <w:t xml:space="preserve">in </w:t>
      </w:r>
      <w:r w:rsidR="00EF7C11">
        <w:rPr>
          <w:rFonts w:ascii="FlandersArtSans-Light" w:hAnsi="FlandersArtSans-Light"/>
        </w:rPr>
        <w:t xml:space="preserve">voor </w:t>
      </w:r>
      <w:r w:rsidRPr="00C36319">
        <w:rPr>
          <w:rFonts w:ascii="FlandersArtSans-Light" w:hAnsi="FlandersArtSans-Light"/>
        </w:rPr>
        <w:t xml:space="preserve">het beheer van het systeem van dienstencheques. Na </w:t>
      </w:r>
      <w:r w:rsidR="00FA53D3">
        <w:rPr>
          <w:rFonts w:ascii="FlandersArtSans-Light" w:hAnsi="FlandersArtSans-Light"/>
        </w:rPr>
        <w:t>het</w:t>
      </w:r>
      <w:r w:rsidRPr="00C36319">
        <w:rPr>
          <w:rFonts w:ascii="FlandersArtSans-Light" w:hAnsi="FlandersArtSans-Light"/>
        </w:rPr>
        <w:t xml:space="preserve"> overgang</w:t>
      </w:r>
      <w:r w:rsidR="00FA53D3">
        <w:rPr>
          <w:rFonts w:ascii="FlandersArtSans-Light" w:hAnsi="FlandersArtSans-Light"/>
        </w:rPr>
        <w:t>sjaar</w:t>
      </w:r>
      <w:r w:rsidRPr="00C36319">
        <w:rPr>
          <w:rFonts w:ascii="FlandersArtSans-Light" w:hAnsi="FlandersArtSans-Light"/>
        </w:rPr>
        <w:t xml:space="preserve"> is het systeem over het algemeen stabiel gebleven. </w:t>
      </w:r>
      <w:r w:rsidR="007B6464">
        <w:rPr>
          <w:rFonts w:ascii="FlandersArtSans-Light" w:hAnsi="FlandersArtSans-Light"/>
        </w:rPr>
        <w:t xml:space="preserve">In </w:t>
      </w:r>
      <w:r w:rsidR="004B3B2C">
        <w:rPr>
          <w:rFonts w:ascii="FlandersArtSans-Light" w:hAnsi="FlandersArtSans-Light"/>
        </w:rPr>
        <w:t>ju</w:t>
      </w:r>
      <w:r w:rsidR="00725F59">
        <w:rPr>
          <w:rFonts w:ascii="FlandersArtSans-Light" w:hAnsi="FlandersArtSans-Light"/>
        </w:rPr>
        <w:t>l</w:t>
      </w:r>
      <w:r w:rsidR="007B6464">
        <w:rPr>
          <w:rFonts w:ascii="FlandersArtSans-Light" w:hAnsi="FlandersArtSans-Light"/>
        </w:rPr>
        <w:t xml:space="preserve">i 2017 </w:t>
      </w:r>
      <w:r w:rsidR="00725F59">
        <w:rPr>
          <w:rFonts w:ascii="FlandersArtSans-Light" w:hAnsi="FlandersArtSans-Light"/>
        </w:rPr>
        <w:t>stellen we opnieuw een lichte</w:t>
      </w:r>
      <w:r w:rsidR="004B3B2C">
        <w:rPr>
          <w:rFonts w:ascii="FlandersArtSans-Light" w:hAnsi="FlandersArtSans-Light"/>
        </w:rPr>
        <w:t xml:space="preserve"> groei </w:t>
      </w:r>
      <w:r w:rsidR="00725F59">
        <w:rPr>
          <w:rFonts w:ascii="FlandersArtSans-Light" w:hAnsi="FlandersArtSans-Light"/>
        </w:rPr>
        <w:t xml:space="preserve">vast </w:t>
      </w:r>
      <w:r w:rsidR="004B3B2C">
        <w:rPr>
          <w:rFonts w:ascii="FlandersArtSans-Light" w:hAnsi="FlandersArtSans-Light"/>
        </w:rPr>
        <w:t xml:space="preserve">van het stelsel </w:t>
      </w:r>
      <w:r w:rsidR="00725F59">
        <w:rPr>
          <w:rFonts w:ascii="FlandersArtSans-Light" w:hAnsi="FlandersArtSans-Light"/>
        </w:rPr>
        <w:t>tot cumulatief 3,62% ten opzichte van de eerste 7 maanden van 2016. Ook het aandeel elektronische dienstencheques kende een degelijke groei en steeg voor het eerst boven de 50% uit tot 52,59%</w:t>
      </w:r>
      <w:r w:rsidR="007B6464">
        <w:rPr>
          <w:rFonts w:ascii="FlandersArtSans-Light" w:hAnsi="FlandersArtSans-Light"/>
        </w:rPr>
        <w:t>.</w:t>
      </w:r>
    </w:p>
    <w:p w14:paraId="50C6E63A" w14:textId="2BA7FB1A" w:rsidR="003F6038" w:rsidRDefault="003F6038" w:rsidP="00F43E4F">
      <w:pPr>
        <w:jc w:val="both"/>
        <w:rPr>
          <w:rFonts w:ascii="FlandersArtSans-Light" w:hAnsi="FlandersArtSans-Light"/>
          <w:b/>
          <w:sz w:val="40"/>
          <w:szCs w:val="40"/>
        </w:rPr>
      </w:pPr>
    </w:p>
    <w:p w14:paraId="6658D22F" w14:textId="77777777" w:rsidR="004B3B2C" w:rsidRDefault="004B3B2C" w:rsidP="00F43E4F">
      <w:pPr>
        <w:jc w:val="both"/>
        <w:rPr>
          <w:rFonts w:ascii="FlandersArtSans-Light" w:hAnsi="FlandersArtSans-Light"/>
          <w:b/>
          <w:sz w:val="40"/>
          <w:szCs w:val="40"/>
        </w:rPr>
      </w:pPr>
    </w:p>
    <w:p w14:paraId="797B0D38" w14:textId="661E7035" w:rsidR="003F6038" w:rsidRDefault="003F6038" w:rsidP="00F43E4F">
      <w:pPr>
        <w:jc w:val="both"/>
        <w:rPr>
          <w:rFonts w:ascii="FlandersArtSans-Light" w:hAnsi="FlandersArtSans-Light"/>
          <w:b/>
          <w:sz w:val="40"/>
          <w:szCs w:val="40"/>
        </w:rPr>
      </w:pPr>
    </w:p>
    <w:p w14:paraId="38C39611" w14:textId="77777777" w:rsidR="00A8547B" w:rsidRDefault="00A8547B" w:rsidP="00F43E4F">
      <w:pPr>
        <w:jc w:val="both"/>
        <w:rPr>
          <w:rFonts w:ascii="FlandersArtSans-Light" w:hAnsi="FlandersArtSans-Light"/>
          <w:b/>
          <w:sz w:val="40"/>
          <w:szCs w:val="40"/>
        </w:rPr>
      </w:pPr>
    </w:p>
    <w:p w14:paraId="08CD9A06" w14:textId="77777777" w:rsidR="00F43E4F" w:rsidRDefault="00F43E4F" w:rsidP="00F43E4F">
      <w:pPr>
        <w:jc w:val="both"/>
        <w:rPr>
          <w:rFonts w:ascii="FlandersArtSans-Light" w:hAnsi="FlandersArtSans-Light"/>
          <w:b/>
          <w:sz w:val="40"/>
          <w:szCs w:val="40"/>
        </w:rPr>
      </w:pPr>
      <w:r w:rsidRPr="0004138F">
        <w:rPr>
          <w:rFonts w:ascii="FlandersArtSans-Light" w:hAnsi="FlandersArtSans-Light"/>
          <w:b/>
          <w:sz w:val="40"/>
          <w:szCs w:val="40"/>
        </w:rPr>
        <w:lastRenderedPageBreak/>
        <w:t>Wat zijn dienstencheques?</w:t>
      </w:r>
    </w:p>
    <w:p w14:paraId="529AA043" w14:textId="77777777" w:rsidR="00F43E4F" w:rsidRDefault="00F43E4F" w:rsidP="00F43E4F">
      <w:pPr>
        <w:jc w:val="both"/>
        <w:rPr>
          <w:rFonts w:ascii="FlandersArtSans-Light" w:hAnsi="FlandersArtSans-Light"/>
        </w:rPr>
      </w:pPr>
      <w:r>
        <w:rPr>
          <w:rFonts w:ascii="FlandersArtSans-Light" w:hAnsi="FlandersArtSans-Light"/>
        </w:rPr>
        <w:t xml:space="preserve">Het systeem van dienstencheques, ontstaan in 2004, behoort sinds 1 juli 2014 tot de Vlaamse </w:t>
      </w:r>
      <w:r w:rsidR="00E37C5A">
        <w:rPr>
          <w:rFonts w:ascii="FlandersArtSans-Light" w:hAnsi="FlandersArtSans-Light"/>
        </w:rPr>
        <w:t>bevoegdheden</w:t>
      </w:r>
      <w:r w:rsidR="00E37C5A" w:rsidRPr="00E37C5A">
        <w:rPr>
          <w:rStyle w:val="Voetnootmarkering"/>
          <w:rFonts w:ascii="FlandersArtSans-Light" w:hAnsi="FlandersArtSans-Light"/>
        </w:rPr>
        <w:footnoteReference w:id="5"/>
      </w:r>
      <w:r w:rsidR="00E37C5A" w:rsidRPr="00E37C5A">
        <w:rPr>
          <w:rFonts w:ascii="FlandersArtSans-Light" w:hAnsi="FlandersArtSans-Light"/>
        </w:rPr>
        <w:t>.</w:t>
      </w:r>
      <w:r>
        <w:rPr>
          <w:rFonts w:ascii="FlandersArtSans-Light" w:hAnsi="FlandersArtSans-Light"/>
        </w:rPr>
        <w:t xml:space="preserve"> Een dienstencheque is een betaalmiddel d</w:t>
      </w:r>
      <w:r w:rsidR="00980300">
        <w:rPr>
          <w:rFonts w:ascii="FlandersArtSans-Light" w:hAnsi="FlandersArtSans-Light"/>
        </w:rPr>
        <w:t>at</w:t>
      </w:r>
      <w:r>
        <w:rPr>
          <w:rFonts w:ascii="FlandersArtSans-Light" w:hAnsi="FlandersArtSans-Light"/>
        </w:rPr>
        <w:t xml:space="preserve"> particulieren (gebruikers) die gedomicilieerd zijn in het Vlaams Gewest toelaat om di</w:t>
      </w:r>
      <w:r w:rsidR="00ED06DF">
        <w:rPr>
          <w:rFonts w:ascii="FlandersArtSans-Light" w:hAnsi="FlandersArtSans-Light"/>
        </w:rPr>
        <w:t>ensten van huishoudelijke aard a</w:t>
      </w:r>
      <w:r>
        <w:rPr>
          <w:rFonts w:ascii="FlandersArtSans-Light" w:hAnsi="FlandersArtSans-Light"/>
        </w:rPr>
        <w:t>an erkende ondernemingen te betalen.</w:t>
      </w:r>
      <w:r w:rsidR="00ED06DF">
        <w:rPr>
          <w:rFonts w:ascii="FlandersArtSans-Light" w:hAnsi="FlandersArtSans-Light"/>
        </w:rPr>
        <w:t xml:space="preserve"> Deze diensten zijn beperkt tot:</w:t>
      </w:r>
    </w:p>
    <w:p w14:paraId="3BFC37E6" w14:textId="77777777" w:rsidR="00F43E4F" w:rsidRDefault="00F43E4F" w:rsidP="00F43E4F">
      <w:pPr>
        <w:pStyle w:val="Lijstalinea"/>
        <w:numPr>
          <w:ilvl w:val="0"/>
          <w:numId w:val="1"/>
        </w:numPr>
        <w:jc w:val="both"/>
        <w:rPr>
          <w:rFonts w:ascii="FlandersArtSans-Light" w:hAnsi="FlandersArtSans-Light"/>
        </w:rPr>
      </w:pPr>
      <w:r>
        <w:rPr>
          <w:rFonts w:ascii="FlandersArtSans-Light" w:hAnsi="FlandersArtSans-Light"/>
        </w:rPr>
        <w:t>A</w:t>
      </w:r>
      <w:r w:rsidRPr="008F73AD">
        <w:rPr>
          <w:rFonts w:ascii="FlandersArtSans-Light" w:hAnsi="FlandersArtSans-Light"/>
        </w:rPr>
        <w:t>ctiviteiten in de woonplaats van de gebruiker: schoonmaken van de woning met inbegrip van de ramen, wassen en strijken, kleine occasionele naaiwerken, bereiden van maaltijden;</w:t>
      </w:r>
    </w:p>
    <w:p w14:paraId="55F94BCB" w14:textId="77777777" w:rsidR="00F43E4F" w:rsidRDefault="00F43E4F" w:rsidP="00F43E4F">
      <w:pPr>
        <w:pStyle w:val="Lijstalinea"/>
        <w:numPr>
          <w:ilvl w:val="0"/>
          <w:numId w:val="1"/>
        </w:numPr>
        <w:jc w:val="both"/>
        <w:rPr>
          <w:rFonts w:ascii="FlandersArtSans-Light" w:hAnsi="FlandersArtSans-Light"/>
        </w:rPr>
      </w:pPr>
      <w:r>
        <w:rPr>
          <w:rFonts w:ascii="FlandersArtSans-Light" w:hAnsi="FlandersArtSans-Light"/>
        </w:rPr>
        <w:t>A</w:t>
      </w:r>
      <w:r w:rsidRPr="008F73AD">
        <w:rPr>
          <w:rFonts w:ascii="FlandersArtSans-Light" w:hAnsi="FlandersArtSans-Light"/>
        </w:rPr>
        <w:t>ctiviteiten buiten de woonplaats van de gebruiker: boodschappendienst, begeleid vervoer van personen met beperkte mobiliteit, strijken met inbegrip van verstelwerk van het te strijken linnen.</w:t>
      </w:r>
    </w:p>
    <w:p w14:paraId="57DD9166" w14:textId="77777777" w:rsidR="003F6038" w:rsidRDefault="00F43E4F" w:rsidP="003F6038">
      <w:pPr>
        <w:ind w:left="360"/>
        <w:jc w:val="both"/>
      </w:pPr>
      <w:r>
        <w:rPr>
          <w:rFonts w:ascii="FlandersArtSans-Light" w:hAnsi="FlandersArtSans-Light"/>
        </w:rPr>
        <w:t>M</w:t>
      </w:r>
      <w:r w:rsidRPr="00140622">
        <w:rPr>
          <w:rFonts w:ascii="FlandersArtSans-Light" w:hAnsi="FlandersArtSans-Light"/>
        </w:rPr>
        <w:t xml:space="preserve">eer informatie met betrekking tot de reglementering van dienstencheques </w:t>
      </w:r>
      <w:r>
        <w:rPr>
          <w:rFonts w:ascii="FlandersArtSans-Light" w:hAnsi="FlandersArtSans-Light"/>
        </w:rPr>
        <w:t xml:space="preserve">is te vinden op </w:t>
      </w:r>
      <w:hyperlink r:id="rId12" w:history="1">
        <w:r w:rsidR="00B90820" w:rsidRPr="0027547C">
          <w:rPr>
            <w:rStyle w:val="Hyperlink"/>
          </w:rPr>
          <w:t>http://www.werk.be/online-diensten/dienstencheques</w:t>
        </w:r>
      </w:hyperlink>
      <w:r w:rsidR="00B90820">
        <w:t xml:space="preserve">.  </w:t>
      </w:r>
    </w:p>
    <w:p w14:paraId="6A1FCA0C" w14:textId="77777777" w:rsidR="00F43E4F" w:rsidRPr="005279E3" w:rsidRDefault="00F43E4F" w:rsidP="003F6038">
      <w:pPr>
        <w:jc w:val="both"/>
        <w:rPr>
          <w:rFonts w:ascii="FlandersArtSans-Light" w:hAnsi="FlandersArtSans-Light"/>
        </w:rPr>
      </w:pPr>
      <w:r w:rsidRPr="00140622">
        <w:rPr>
          <w:rFonts w:ascii="FlandersArtSans-Light" w:hAnsi="FlandersArtSans-Light"/>
          <w:b/>
          <w:sz w:val="40"/>
          <w:szCs w:val="40"/>
        </w:rPr>
        <w:t>Hoeveel kost een dienstencheque?</w:t>
      </w:r>
    </w:p>
    <w:p w14:paraId="2C8973F2" w14:textId="77777777" w:rsidR="000C1F3D" w:rsidRDefault="00F43E4F" w:rsidP="00F43E4F">
      <w:pPr>
        <w:jc w:val="both"/>
        <w:rPr>
          <w:rFonts w:ascii="FlandersArtSans-Light" w:hAnsi="FlandersArtSans-Light"/>
        </w:rPr>
      </w:pPr>
      <w:r w:rsidRPr="00140622">
        <w:rPr>
          <w:rFonts w:ascii="FlandersArtSans-Light" w:hAnsi="FlandersArtSans-Light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2F53B888" wp14:editId="04D42553">
            <wp:simplePos x="0" y="0"/>
            <wp:positionH relativeFrom="column">
              <wp:posOffset>197485</wp:posOffset>
            </wp:positionH>
            <wp:positionV relativeFrom="paragraph">
              <wp:posOffset>71755</wp:posOffset>
            </wp:positionV>
            <wp:extent cx="2727960" cy="27539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F3D">
        <w:rPr>
          <w:rFonts w:ascii="FlandersArtSans-Light" w:hAnsi="FlandersArtSans-Light"/>
        </w:rPr>
        <w:t>In mei 2017 werd de spilindex overschreden. Bijgevolg wordt ook de inruilwaarde van de dienstencheque verhoogd met 2% van 73% van de voorgaande inruilwaarde. Dit geldt voor alle cheques die sinds 1 juni 2017 werden uitgegeven.</w:t>
      </w:r>
    </w:p>
    <w:p w14:paraId="60971FF3" w14:textId="1CFDD29D" w:rsidR="00F43E4F" w:rsidRPr="00140622" w:rsidRDefault="00F43E4F" w:rsidP="00F43E4F">
      <w:pPr>
        <w:jc w:val="both"/>
        <w:rPr>
          <w:rFonts w:ascii="FlandersArtSans-Light" w:hAnsi="FlandersArtSans-Light"/>
        </w:rPr>
      </w:pPr>
      <w:r w:rsidRPr="00140622">
        <w:rPr>
          <w:rFonts w:ascii="FlandersArtSans-Light" w:hAnsi="FlandersArtSans-Light"/>
        </w:rPr>
        <w:t xml:space="preserve">Voor elk uur dat </w:t>
      </w:r>
      <w:r>
        <w:rPr>
          <w:rFonts w:ascii="FlandersArtSans-Light" w:hAnsi="FlandersArtSans-Light"/>
        </w:rPr>
        <w:t>een dienstencheque-werknemer pre</w:t>
      </w:r>
      <w:r w:rsidRPr="00140622">
        <w:rPr>
          <w:rFonts w:ascii="FlandersArtSans-Light" w:hAnsi="FlandersArtSans-Light"/>
        </w:rPr>
        <w:t xml:space="preserve">steert krijgt de </w:t>
      </w:r>
      <w:r>
        <w:rPr>
          <w:rFonts w:ascii="FlandersArtSans-Light" w:hAnsi="FlandersArtSans-Light"/>
        </w:rPr>
        <w:t>d</w:t>
      </w:r>
      <w:r w:rsidR="00C62DE9">
        <w:rPr>
          <w:rFonts w:ascii="FlandersArtSans-Light" w:hAnsi="FlandersArtSans-Light"/>
        </w:rPr>
        <w:t xml:space="preserve">ienstencheque-onderneming </w:t>
      </w:r>
      <w:r w:rsidR="00F355D8">
        <w:rPr>
          <w:rFonts w:ascii="FlandersArtSans-Light" w:hAnsi="FlandersArtSans-Light"/>
        </w:rPr>
        <w:t xml:space="preserve">voor deze cheques </w:t>
      </w:r>
      <w:r w:rsidR="00C62DE9">
        <w:rPr>
          <w:rFonts w:ascii="FlandersArtSans-Light" w:hAnsi="FlandersArtSans-Light"/>
        </w:rPr>
        <w:t>22,</w:t>
      </w:r>
      <w:r w:rsidR="000C1F3D">
        <w:rPr>
          <w:rFonts w:ascii="FlandersArtSans-Light" w:hAnsi="FlandersArtSans-Light"/>
        </w:rPr>
        <w:t>69</w:t>
      </w:r>
      <w:r w:rsidRPr="00140622">
        <w:rPr>
          <w:rFonts w:ascii="FlandersArtSans-Light" w:hAnsi="FlandersArtSans-Light"/>
        </w:rPr>
        <w:t xml:space="preserve"> EUR, verdeeld als volgt: </w:t>
      </w:r>
    </w:p>
    <w:p w14:paraId="20B19535" w14:textId="0FCD7274" w:rsidR="00F43E4F" w:rsidRDefault="00F43E4F" w:rsidP="00F355D8">
      <w:pPr>
        <w:pStyle w:val="Lijstalinea"/>
        <w:numPr>
          <w:ilvl w:val="0"/>
          <w:numId w:val="1"/>
        </w:numPr>
        <w:ind w:left="4962" w:hanging="4602"/>
        <w:jc w:val="both"/>
        <w:rPr>
          <w:rFonts w:ascii="FlandersArtSans-Light" w:hAnsi="FlandersArtSans-Light"/>
        </w:rPr>
      </w:pPr>
      <w:r>
        <w:rPr>
          <w:rFonts w:ascii="FlandersArtSans-Light" w:hAnsi="FlandersArtSans-Light"/>
        </w:rPr>
        <w:t xml:space="preserve">EUR </w:t>
      </w:r>
      <w:r w:rsidR="00C62DE9">
        <w:rPr>
          <w:rFonts w:ascii="FlandersArtSans-Light" w:hAnsi="FlandersArtSans-Light"/>
        </w:rPr>
        <w:t>13,</w:t>
      </w:r>
      <w:r w:rsidR="000C1F3D">
        <w:rPr>
          <w:rFonts w:ascii="FlandersArtSans-Light" w:hAnsi="FlandersArtSans-Light"/>
        </w:rPr>
        <w:t>69</w:t>
      </w:r>
      <w:r w:rsidRPr="00140622">
        <w:rPr>
          <w:rFonts w:ascii="FlandersArtSans-Light" w:hAnsi="FlandersArtSans-Light"/>
        </w:rPr>
        <w:t xml:space="preserve"> </w:t>
      </w:r>
      <w:r>
        <w:rPr>
          <w:rFonts w:ascii="FlandersArtSans-Light" w:hAnsi="FlandersArtSans-Light"/>
        </w:rPr>
        <w:t>wordt rechtstreeks betaald door de overheid aan de dienstencheque-onderneming in de vorm van een subsidie.</w:t>
      </w:r>
      <w:r w:rsidR="00C62DE9">
        <w:rPr>
          <w:rFonts w:ascii="FlandersArtSans-Light" w:hAnsi="FlandersArtSans-Light"/>
        </w:rPr>
        <w:t xml:space="preserve"> </w:t>
      </w:r>
    </w:p>
    <w:p w14:paraId="57B5C342" w14:textId="77777777" w:rsidR="00F43E4F" w:rsidRDefault="00F43E4F" w:rsidP="00F355D8">
      <w:pPr>
        <w:pStyle w:val="Lijstalinea"/>
        <w:numPr>
          <w:ilvl w:val="0"/>
          <w:numId w:val="1"/>
        </w:numPr>
        <w:ind w:left="4962" w:hanging="4602"/>
        <w:jc w:val="both"/>
        <w:rPr>
          <w:rFonts w:ascii="FlandersArtSans-Light" w:hAnsi="FlandersArtSans-Light"/>
        </w:rPr>
      </w:pPr>
      <w:r>
        <w:rPr>
          <w:rFonts w:ascii="FlandersArtSans-Light" w:hAnsi="FlandersArtSans-Light"/>
        </w:rPr>
        <w:t>EUR 9 wordt rechtstreeks betaald door de gebruiker aan de dienstencheque-onderneming.</w:t>
      </w:r>
    </w:p>
    <w:p w14:paraId="73108CDF" w14:textId="77777777" w:rsidR="00F43E4F" w:rsidRPr="00615CAA" w:rsidRDefault="00F43E4F" w:rsidP="00F355D8">
      <w:pPr>
        <w:pStyle w:val="Lijstalinea"/>
        <w:numPr>
          <w:ilvl w:val="0"/>
          <w:numId w:val="1"/>
        </w:numPr>
        <w:ind w:left="4962" w:hanging="142"/>
        <w:jc w:val="both"/>
        <w:rPr>
          <w:rFonts w:ascii="FlandersArtSans-Light" w:hAnsi="FlandersArtSans-Light"/>
        </w:rPr>
      </w:pPr>
      <w:r w:rsidRPr="005279E3">
        <w:rPr>
          <w:rFonts w:ascii="FlandersArtSans-Light" w:hAnsi="FlandersArtSans-Light"/>
        </w:rPr>
        <w:t>EUR 2,7 wordt terugbetaald aan de gebruiker</w:t>
      </w:r>
      <w:r>
        <w:rPr>
          <w:rStyle w:val="Voetnootmarkering"/>
          <w:rFonts w:ascii="FlandersArtSans-Light" w:hAnsi="FlandersArtSans-Light"/>
        </w:rPr>
        <w:footnoteReference w:id="6"/>
      </w:r>
    </w:p>
    <w:p w14:paraId="5F7ED98F" w14:textId="0069C50B" w:rsidR="00C62DE9" w:rsidRDefault="00C62DE9" w:rsidP="00A75C33">
      <w:pPr>
        <w:pStyle w:val="Lijstalinea"/>
        <w:jc w:val="both"/>
        <w:rPr>
          <w:rFonts w:ascii="FlandersArtSans-Light" w:hAnsi="FlandersArtSans-Light"/>
        </w:rPr>
      </w:pPr>
    </w:p>
    <w:p w14:paraId="1588FE27" w14:textId="77777777" w:rsidR="008D4820" w:rsidRDefault="008D4820" w:rsidP="00A75C33">
      <w:pPr>
        <w:pStyle w:val="Lijstalinea"/>
        <w:jc w:val="both"/>
        <w:rPr>
          <w:rFonts w:ascii="FlandersArtSans-Light" w:hAnsi="FlandersArtSans-Light"/>
        </w:rPr>
      </w:pPr>
    </w:p>
    <w:p w14:paraId="43E38736" w14:textId="77777777" w:rsidR="008D4820" w:rsidRDefault="008D4820">
      <w:pPr>
        <w:rPr>
          <w:rFonts w:ascii="FlandersArtSans-Light" w:hAnsi="FlandersArtSans-Light"/>
        </w:rPr>
      </w:pPr>
      <w:r>
        <w:rPr>
          <w:rFonts w:ascii="FlandersArtSans-Light" w:hAnsi="FlandersArtSans-Light"/>
        </w:rPr>
        <w:br w:type="page"/>
      </w:r>
    </w:p>
    <w:p w14:paraId="353B47B4" w14:textId="127E9C91" w:rsidR="003F6038" w:rsidRPr="00140622" w:rsidRDefault="00CD66C5" w:rsidP="003F6038">
      <w:pPr>
        <w:jc w:val="both"/>
        <w:rPr>
          <w:rFonts w:ascii="FlandersArtSans-Light" w:hAnsi="FlandersArtSans-Light"/>
          <w:b/>
          <w:sz w:val="40"/>
          <w:szCs w:val="40"/>
        </w:rPr>
      </w:pPr>
      <w:r>
        <w:rPr>
          <w:rFonts w:ascii="FlandersArtSans-Light" w:hAnsi="FlandersArtSans-Light"/>
          <w:b/>
          <w:sz w:val="40"/>
          <w:szCs w:val="40"/>
        </w:rPr>
        <w:lastRenderedPageBreak/>
        <w:t>Aange</w:t>
      </w:r>
      <w:r w:rsidR="003F6038" w:rsidRPr="00140622">
        <w:rPr>
          <w:rFonts w:ascii="FlandersArtSans-Light" w:hAnsi="FlandersArtSans-Light"/>
          <w:b/>
          <w:sz w:val="40"/>
          <w:szCs w:val="40"/>
        </w:rPr>
        <w:t>kochte en uitbetaalde dienstencheques</w:t>
      </w:r>
      <w:r w:rsidR="003F6038">
        <w:rPr>
          <w:rFonts w:ascii="FlandersArtSans-Light" w:hAnsi="FlandersArtSans-Light"/>
          <w:b/>
          <w:sz w:val="40"/>
          <w:szCs w:val="40"/>
        </w:rPr>
        <w:t xml:space="preserve"> </w:t>
      </w:r>
    </w:p>
    <w:p w14:paraId="3E3A8D4C" w14:textId="65D6C0B6" w:rsidR="003F6038" w:rsidRPr="00C36319" w:rsidRDefault="003F6038" w:rsidP="003F6038">
      <w:pPr>
        <w:jc w:val="both"/>
        <w:rPr>
          <w:rFonts w:ascii="FlandersArtSans-Light" w:hAnsi="FlandersArtSans-Light"/>
        </w:rPr>
      </w:pPr>
      <w:r>
        <w:rPr>
          <w:rFonts w:ascii="FlandersArtSans-Light" w:hAnsi="FlandersArtSans-Light"/>
        </w:rPr>
        <w:t>In onderstaande tabel</w:t>
      </w:r>
      <w:r w:rsidR="00733EC3">
        <w:rPr>
          <w:rFonts w:ascii="FlandersArtSans-Light" w:hAnsi="FlandersArtSans-Light"/>
        </w:rPr>
        <w:t>len en grafieken</w:t>
      </w:r>
      <w:r>
        <w:rPr>
          <w:rFonts w:ascii="FlandersArtSans-Light" w:hAnsi="FlandersArtSans-Light"/>
        </w:rPr>
        <w:t xml:space="preserve"> worden het aantal </w:t>
      </w:r>
      <w:r w:rsidR="00CD66C5">
        <w:rPr>
          <w:rFonts w:ascii="FlandersArtSans-Light" w:hAnsi="FlandersArtSans-Light"/>
        </w:rPr>
        <w:t>aange</w:t>
      </w:r>
      <w:r>
        <w:rPr>
          <w:rFonts w:ascii="FlandersArtSans-Light" w:hAnsi="FlandersArtSans-Light"/>
        </w:rPr>
        <w:t xml:space="preserve">kochte en uitbetaalde dienstencheques afgebeeld voor de beschikbare maanden van </w:t>
      </w:r>
      <w:r w:rsidR="001968A8">
        <w:rPr>
          <w:rFonts w:ascii="FlandersArtSans-Light" w:hAnsi="FlandersArtSans-Light"/>
        </w:rPr>
        <w:t>2016-2017</w:t>
      </w:r>
      <w:r>
        <w:rPr>
          <w:rFonts w:ascii="FlandersArtSans-Light" w:hAnsi="FlandersArtSans-Light"/>
        </w:rPr>
        <w:t>.</w:t>
      </w:r>
    </w:p>
    <w:p w14:paraId="674B6C55" w14:textId="74D4D357" w:rsidR="003F6038" w:rsidRPr="00BB7F1D" w:rsidRDefault="003F6038" w:rsidP="003F6038">
      <w:pPr>
        <w:pStyle w:val="Bijschrift"/>
        <w:rPr>
          <w:bCs w:val="0"/>
          <w:color w:val="auto"/>
          <w:sz w:val="22"/>
          <w:szCs w:val="22"/>
        </w:rPr>
      </w:pPr>
      <w:r w:rsidRPr="00BB7F1D">
        <w:rPr>
          <w:bCs w:val="0"/>
          <w:color w:val="auto"/>
          <w:sz w:val="22"/>
          <w:szCs w:val="22"/>
        </w:rPr>
        <w:t xml:space="preserve">Aantal </w:t>
      </w:r>
      <w:r w:rsidR="00CD66C5">
        <w:rPr>
          <w:bCs w:val="0"/>
          <w:color w:val="auto"/>
          <w:sz w:val="22"/>
          <w:szCs w:val="22"/>
        </w:rPr>
        <w:t>aangekochte</w:t>
      </w:r>
      <w:r w:rsidRPr="00BB7F1D">
        <w:rPr>
          <w:bCs w:val="0"/>
          <w:color w:val="auto"/>
          <w:sz w:val="22"/>
          <w:szCs w:val="22"/>
        </w:rPr>
        <w:t xml:space="preserve"> en uitbetaalde d</w:t>
      </w:r>
      <w:r w:rsidR="007B2BF2">
        <w:rPr>
          <w:bCs w:val="0"/>
          <w:color w:val="auto"/>
          <w:sz w:val="22"/>
          <w:szCs w:val="22"/>
        </w:rPr>
        <w:t>ienstencheques, Vlaanderen, 2016-2017</w:t>
      </w:r>
      <w:r w:rsidRPr="00BB7F1D">
        <w:rPr>
          <w:bCs w:val="0"/>
          <w:color w:val="auto"/>
          <w:sz w:val="22"/>
          <w:szCs w:val="22"/>
        </w:rPr>
        <w:t xml:space="preserve"> </w:t>
      </w:r>
    </w:p>
    <w:tbl>
      <w:tblPr>
        <w:tblW w:w="7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7"/>
        <w:gridCol w:w="2835"/>
        <w:gridCol w:w="2120"/>
      </w:tblGrid>
      <w:tr w:rsidR="003F6038" w:rsidRPr="00A7112B" w14:paraId="22A6B4C6" w14:textId="77777777" w:rsidTr="006B2F50">
        <w:trPr>
          <w:trHeight w:hRule="exact" w:val="284"/>
          <w:jc w:val="center"/>
        </w:trPr>
        <w:tc>
          <w:tcPr>
            <w:tcW w:w="2687" w:type="dxa"/>
            <w:shd w:val="clear" w:color="auto" w:fill="31B7BC"/>
          </w:tcPr>
          <w:p w14:paraId="5387DCE8" w14:textId="1DFB090A" w:rsidR="003F6038" w:rsidRPr="00444E8D" w:rsidRDefault="00585147" w:rsidP="006B2F50">
            <w:pPr>
              <w:spacing w:after="0" w:line="240" w:lineRule="auto"/>
              <w:jc w:val="center"/>
              <w:rPr>
                <w:rFonts w:ascii="FlandersArtSans-Light" w:eastAsia="Times New Roman" w:hAnsi="FlandersArtSans-Light" w:cs="Calibri"/>
                <w:b/>
                <w:color w:val="FFFFFF" w:themeColor="background1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b/>
                <w:color w:val="FFFFFF" w:themeColor="background1"/>
                <w:lang w:eastAsia="nl-BE"/>
              </w:rPr>
              <w:t>2016</w:t>
            </w:r>
          </w:p>
        </w:tc>
        <w:tc>
          <w:tcPr>
            <w:tcW w:w="2835" w:type="dxa"/>
            <w:shd w:val="clear" w:color="auto" w:fill="31B7BC"/>
            <w:noWrap/>
            <w:hideMark/>
          </w:tcPr>
          <w:p w14:paraId="1E329CEE" w14:textId="77777777" w:rsidR="003F6038" w:rsidRPr="00C36319" w:rsidRDefault="003F6038" w:rsidP="006B2F50">
            <w:pPr>
              <w:rPr>
                <w:b/>
                <w:color w:val="FFFFFF" w:themeColor="background1"/>
              </w:rPr>
            </w:pPr>
            <w:r w:rsidRPr="00C36319">
              <w:rPr>
                <w:b/>
                <w:color w:val="FFFFFF" w:themeColor="background1"/>
              </w:rPr>
              <w:t>Aantal uitbetaald</w:t>
            </w:r>
          </w:p>
        </w:tc>
        <w:tc>
          <w:tcPr>
            <w:tcW w:w="2120" w:type="dxa"/>
            <w:shd w:val="clear" w:color="auto" w:fill="31B7BC"/>
            <w:noWrap/>
            <w:vAlign w:val="bottom"/>
            <w:hideMark/>
          </w:tcPr>
          <w:p w14:paraId="16BB187A" w14:textId="67F1B5A1" w:rsidR="003F6038" w:rsidRPr="00444E8D" w:rsidRDefault="003F6038" w:rsidP="00AB78FE">
            <w:pPr>
              <w:spacing w:after="0" w:line="240" w:lineRule="auto"/>
              <w:rPr>
                <w:rFonts w:ascii="FlandersArtSans-Light" w:eastAsia="Times New Roman" w:hAnsi="FlandersArtSans-Light" w:cs="Calibri"/>
                <w:b/>
                <w:color w:val="FFFFFF" w:themeColor="background1"/>
                <w:lang w:eastAsia="nl-BE"/>
              </w:rPr>
            </w:pPr>
            <w:r w:rsidRPr="00DD4617">
              <w:rPr>
                <w:b/>
                <w:color w:val="FFFFFF" w:themeColor="background1"/>
              </w:rPr>
              <w:t xml:space="preserve">Aantal </w:t>
            </w:r>
            <w:r w:rsidR="00CD66C5">
              <w:rPr>
                <w:b/>
                <w:color w:val="FFFFFF" w:themeColor="background1"/>
              </w:rPr>
              <w:t>aangekocht</w:t>
            </w:r>
            <w:r w:rsidRPr="00444E8D">
              <w:rPr>
                <w:rFonts w:ascii="FlandersArtSans-Light" w:eastAsia="Times New Roman" w:hAnsi="FlandersArtSans-Light" w:cs="Calibri"/>
                <w:b/>
                <w:color w:val="FFFFFF" w:themeColor="background1"/>
                <w:lang w:eastAsia="nl-BE"/>
              </w:rPr>
              <w:t xml:space="preserve"> DCH</w:t>
            </w:r>
          </w:p>
        </w:tc>
      </w:tr>
      <w:tr w:rsidR="00585147" w:rsidRPr="00A7112B" w14:paraId="5274DBC8" w14:textId="77777777" w:rsidTr="006B2F50">
        <w:trPr>
          <w:trHeight w:hRule="exact" w:val="284"/>
          <w:jc w:val="center"/>
        </w:trPr>
        <w:tc>
          <w:tcPr>
            <w:tcW w:w="2687" w:type="dxa"/>
            <w:vAlign w:val="bottom"/>
          </w:tcPr>
          <w:p w14:paraId="7071C919" w14:textId="7197EF4A" w:rsidR="00585147" w:rsidRPr="00830976" w:rsidRDefault="00585147" w:rsidP="00585147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</w:rPr>
              <w:t>jan/16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83CB4A0" w14:textId="77777777" w:rsidR="00585147" w:rsidRPr="00C36319" w:rsidRDefault="00585147" w:rsidP="00585147">
            <w:pPr>
              <w:jc w:val="center"/>
            </w:pPr>
            <w:r w:rsidRPr="00C36319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1.549.074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14:paraId="2BEA315F" w14:textId="77777777" w:rsidR="00585147" w:rsidRPr="00830976" w:rsidRDefault="00585147" w:rsidP="00585147">
            <w:pPr>
              <w:jc w:val="center"/>
            </w:pPr>
            <w:r w:rsidRPr="00830976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7.061.930</w:t>
            </w:r>
          </w:p>
        </w:tc>
      </w:tr>
      <w:tr w:rsidR="00585147" w:rsidRPr="00A7112B" w14:paraId="640628E7" w14:textId="77777777" w:rsidTr="006B2F50">
        <w:trPr>
          <w:trHeight w:hRule="exact" w:val="284"/>
          <w:jc w:val="center"/>
        </w:trPr>
        <w:tc>
          <w:tcPr>
            <w:tcW w:w="2687" w:type="dxa"/>
            <w:vAlign w:val="bottom"/>
          </w:tcPr>
          <w:p w14:paraId="6820726D" w14:textId="2EC7F00E" w:rsidR="00585147" w:rsidRPr="00830976" w:rsidRDefault="00585147" w:rsidP="00585147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</w:rPr>
              <w:t>feb/16</w:t>
            </w:r>
          </w:p>
        </w:tc>
        <w:tc>
          <w:tcPr>
            <w:tcW w:w="2835" w:type="dxa"/>
            <w:shd w:val="clear" w:color="auto" w:fill="auto"/>
            <w:noWrap/>
          </w:tcPr>
          <w:p w14:paraId="3FD2B995" w14:textId="77777777" w:rsidR="00585147" w:rsidRPr="00C36319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 w:rsidRPr="00883274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2</w:t>
            </w: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.</w:t>
            </w:r>
            <w:r w:rsidRPr="00883274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908</w:t>
            </w: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.</w:t>
            </w:r>
            <w:r w:rsidRPr="00883274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225</w:t>
            </w:r>
          </w:p>
        </w:tc>
        <w:tc>
          <w:tcPr>
            <w:tcW w:w="2120" w:type="dxa"/>
            <w:shd w:val="clear" w:color="auto" w:fill="auto"/>
            <w:noWrap/>
          </w:tcPr>
          <w:p w14:paraId="122657E2" w14:textId="77777777" w:rsidR="00585147" w:rsidRPr="00830976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 w:rsidRPr="00883274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6.</w:t>
            </w: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884.889</w:t>
            </w:r>
          </w:p>
        </w:tc>
      </w:tr>
      <w:tr w:rsidR="00585147" w:rsidRPr="00A7112B" w14:paraId="3D050685" w14:textId="77777777" w:rsidTr="006B2F50">
        <w:trPr>
          <w:trHeight w:hRule="exact" w:val="284"/>
          <w:jc w:val="center"/>
        </w:trPr>
        <w:tc>
          <w:tcPr>
            <w:tcW w:w="2687" w:type="dxa"/>
            <w:vAlign w:val="bottom"/>
          </w:tcPr>
          <w:p w14:paraId="5B5C21C6" w14:textId="0B62D60E" w:rsidR="00585147" w:rsidRDefault="00585147" w:rsidP="00585147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</w:rPr>
              <w:t>mrt/16</w:t>
            </w:r>
          </w:p>
        </w:tc>
        <w:tc>
          <w:tcPr>
            <w:tcW w:w="2835" w:type="dxa"/>
            <w:shd w:val="clear" w:color="auto" w:fill="auto"/>
            <w:noWrap/>
          </w:tcPr>
          <w:p w14:paraId="78888C6E" w14:textId="77777777" w:rsidR="00585147" w:rsidRPr="00883274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5.184.199</w:t>
            </w:r>
          </w:p>
        </w:tc>
        <w:tc>
          <w:tcPr>
            <w:tcW w:w="2120" w:type="dxa"/>
            <w:shd w:val="clear" w:color="auto" w:fill="auto"/>
            <w:noWrap/>
          </w:tcPr>
          <w:p w14:paraId="2980608F" w14:textId="77777777" w:rsidR="00585147" w:rsidRPr="00883274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7.186.076</w:t>
            </w:r>
          </w:p>
        </w:tc>
      </w:tr>
      <w:tr w:rsidR="00585147" w:rsidRPr="00A7112B" w14:paraId="53D688C7" w14:textId="77777777" w:rsidTr="006B2F50">
        <w:trPr>
          <w:trHeight w:hRule="exact" w:val="284"/>
          <w:jc w:val="center"/>
        </w:trPr>
        <w:tc>
          <w:tcPr>
            <w:tcW w:w="2687" w:type="dxa"/>
            <w:vAlign w:val="bottom"/>
          </w:tcPr>
          <w:p w14:paraId="04D7FB7B" w14:textId="33265636" w:rsidR="00585147" w:rsidRDefault="00585147" w:rsidP="00585147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</w:rPr>
              <w:t>apr/16</w:t>
            </w:r>
          </w:p>
        </w:tc>
        <w:tc>
          <w:tcPr>
            <w:tcW w:w="2835" w:type="dxa"/>
            <w:shd w:val="clear" w:color="auto" w:fill="auto"/>
            <w:noWrap/>
          </w:tcPr>
          <w:p w14:paraId="6CD74505" w14:textId="77777777" w:rsidR="00585147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6.387.518</w:t>
            </w:r>
          </w:p>
        </w:tc>
        <w:tc>
          <w:tcPr>
            <w:tcW w:w="2120" w:type="dxa"/>
            <w:shd w:val="clear" w:color="auto" w:fill="auto"/>
            <w:noWrap/>
          </w:tcPr>
          <w:p w14:paraId="197FB885" w14:textId="77777777" w:rsidR="00585147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6.941.279</w:t>
            </w:r>
          </w:p>
        </w:tc>
      </w:tr>
      <w:tr w:rsidR="00585147" w:rsidRPr="00A7112B" w14:paraId="31F6AC3B" w14:textId="77777777" w:rsidTr="006B2F50">
        <w:trPr>
          <w:trHeight w:hRule="exact" w:val="284"/>
          <w:jc w:val="center"/>
        </w:trPr>
        <w:tc>
          <w:tcPr>
            <w:tcW w:w="2687" w:type="dxa"/>
            <w:vAlign w:val="bottom"/>
          </w:tcPr>
          <w:p w14:paraId="684A188D" w14:textId="2CF7FA1C" w:rsidR="00585147" w:rsidRDefault="00585147" w:rsidP="00585147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</w:rPr>
              <w:t>mei/16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D9CC664" w14:textId="77777777" w:rsidR="00585147" w:rsidRPr="00207F4F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6.130.790</w:t>
            </w:r>
          </w:p>
        </w:tc>
        <w:tc>
          <w:tcPr>
            <w:tcW w:w="2120" w:type="dxa"/>
            <w:shd w:val="clear" w:color="auto" w:fill="auto"/>
            <w:noWrap/>
          </w:tcPr>
          <w:p w14:paraId="0273DD1F" w14:textId="77777777" w:rsidR="00585147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7.004.270</w:t>
            </w:r>
          </w:p>
        </w:tc>
      </w:tr>
      <w:tr w:rsidR="00585147" w:rsidRPr="00A7112B" w14:paraId="52482917" w14:textId="77777777" w:rsidTr="006B2F50">
        <w:trPr>
          <w:trHeight w:hRule="exact" w:val="284"/>
          <w:jc w:val="center"/>
        </w:trPr>
        <w:tc>
          <w:tcPr>
            <w:tcW w:w="2687" w:type="dxa"/>
            <w:vAlign w:val="bottom"/>
          </w:tcPr>
          <w:p w14:paraId="5F3A0F3A" w14:textId="5EBF3C9B" w:rsidR="00585147" w:rsidRDefault="00585147" w:rsidP="00585147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</w:rPr>
              <w:t>jun/16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16712F7" w14:textId="77777777" w:rsidR="00585147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7.220.039</w:t>
            </w:r>
          </w:p>
        </w:tc>
        <w:tc>
          <w:tcPr>
            <w:tcW w:w="2120" w:type="dxa"/>
            <w:shd w:val="clear" w:color="auto" w:fill="auto"/>
            <w:noWrap/>
          </w:tcPr>
          <w:p w14:paraId="7A4F60F9" w14:textId="77777777" w:rsidR="00585147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7.282.131</w:t>
            </w:r>
          </w:p>
        </w:tc>
      </w:tr>
      <w:tr w:rsidR="00585147" w:rsidRPr="00A7112B" w14:paraId="039BAFD0" w14:textId="77777777" w:rsidTr="006B2F50">
        <w:trPr>
          <w:trHeight w:hRule="exact" w:val="284"/>
          <w:jc w:val="center"/>
        </w:trPr>
        <w:tc>
          <w:tcPr>
            <w:tcW w:w="2687" w:type="dxa"/>
            <w:vAlign w:val="bottom"/>
          </w:tcPr>
          <w:p w14:paraId="355D4247" w14:textId="2E43ADAE" w:rsidR="00585147" w:rsidRDefault="00585147" w:rsidP="00585147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</w:rPr>
              <w:t>jul/16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5C47F59" w14:textId="77777777" w:rsidR="00585147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7.233.418</w:t>
            </w:r>
          </w:p>
        </w:tc>
        <w:tc>
          <w:tcPr>
            <w:tcW w:w="2120" w:type="dxa"/>
            <w:shd w:val="clear" w:color="auto" w:fill="auto"/>
            <w:noWrap/>
          </w:tcPr>
          <w:p w14:paraId="6E566633" w14:textId="77777777" w:rsidR="00585147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5.287.143</w:t>
            </w:r>
          </w:p>
        </w:tc>
      </w:tr>
      <w:tr w:rsidR="00585147" w:rsidRPr="00A7112B" w14:paraId="71B9A6F9" w14:textId="77777777" w:rsidTr="006B2F50">
        <w:trPr>
          <w:trHeight w:hRule="exact" w:val="284"/>
          <w:jc w:val="center"/>
        </w:trPr>
        <w:tc>
          <w:tcPr>
            <w:tcW w:w="2687" w:type="dxa"/>
            <w:vAlign w:val="bottom"/>
          </w:tcPr>
          <w:p w14:paraId="06B466A7" w14:textId="1837A0B2" w:rsidR="00585147" w:rsidRDefault="00585147" w:rsidP="00585147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</w:rPr>
              <w:t>aug/16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1D2CEF6" w14:textId="77777777" w:rsidR="00585147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4.657.952</w:t>
            </w:r>
          </w:p>
        </w:tc>
        <w:tc>
          <w:tcPr>
            <w:tcW w:w="2120" w:type="dxa"/>
            <w:shd w:val="clear" w:color="auto" w:fill="auto"/>
            <w:noWrap/>
          </w:tcPr>
          <w:p w14:paraId="1F5A9959" w14:textId="77777777" w:rsidR="00585147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6.050.847</w:t>
            </w:r>
          </w:p>
        </w:tc>
      </w:tr>
      <w:tr w:rsidR="00585147" w:rsidRPr="00A7112B" w14:paraId="11E93BAE" w14:textId="77777777" w:rsidTr="006B2F50">
        <w:trPr>
          <w:trHeight w:hRule="exact" w:val="284"/>
          <w:jc w:val="center"/>
        </w:trPr>
        <w:tc>
          <w:tcPr>
            <w:tcW w:w="2687" w:type="dxa"/>
            <w:vAlign w:val="bottom"/>
          </w:tcPr>
          <w:p w14:paraId="7A478EC5" w14:textId="47FC1943" w:rsidR="00585147" w:rsidRDefault="00585147" w:rsidP="00585147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</w:rPr>
              <w:t>sep/16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63D268F" w14:textId="77777777" w:rsidR="00585147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6.766.220</w:t>
            </w:r>
          </w:p>
        </w:tc>
        <w:tc>
          <w:tcPr>
            <w:tcW w:w="2120" w:type="dxa"/>
            <w:shd w:val="clear" w:color="auto" w:fill="auto"/>
            <w:noWrap/>
          </w:tcPr>
          <w:p w14:paraId="12FD13B1" w14:textId="77777777" w:rsidR="00585147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7.220.824</w:t>
            </w:r>
          </w:p>
        </w:tc>
      </w:tr>
      <w:tr w:rsidR="00585147" w:rsidRPr="00A7112B" w14:paraId="7BC627B4" w14:textId="77777777" w:rsidTr="006B2F50">
        <w:trPr>
          <w:trHeight w:hRule="exact" w:val="284"/>
          <w:jc w:val="center"/>
        </w:trPr>
        <w:tc>
          <w:tcPr>
            <w:tcW w:w="2687" w:type="dxa"/>
            <w:vAlign w:val="bottom"/>
          </w:tcPr>
          <w:p w14:paraId="3BA3358A" w14:textId="257B4A89" w:rsidR="00585147" w:rsidRDefault="00585147" w:rsidP="00585147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</w:rPr>
              <w:t>okt/16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F49B2DD" w14:textId="77777777" w:rsidR="00585147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7.155.116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495FD048" w14:textId="77777777" w:rsidR="00585147" w:rsidRPr="00F347CF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 w:rsidRPr="00F347CF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7.047.431</w:t>
            </w:r>
          </w:p>
        </w:tc>
      </w:tr>
      <w:tr w:rsidR="00585147" w:rsidRPr="00A7112B" w14:paraId="70F61617" w14:textId="77777777" w:rsidTr="006B2F50">
        <w:trPr>
          <w:trHeight w:hRule="exact" w:val="284"/>
          <w:jc w:val="center"/>
        </w:trPr>
        <w:tc>
          <w:tcPr>
            <w:tcW w:w="2687" w:type="dxa"/>
            <w:vAlign w:val="bottom"/>
          </w:tcPr>
          <w:p w14:paraId="7BEE2484" w14:textId="12649D01" w:rsidR="00585147" w:rsidRDefault="00585147" w:rsidP="00585147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</w:rPr>
              <w:t>nov/16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9FBCD2B" w14:textId="77777777" w:rsidR="00585147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 w:rsidRPr="00F347CF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6.505.726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4BFAD625" w14:textId="77777777" w:rsidR="00585147" w:rsidRPr="00F347CF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 w:rsidRPr="00F347CF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6.810.457</w:t>
            </w:r>
          </w:p>
        </w:tc>
      </w:tr>
      <w:tr w:rsidR="00585147" w:rsidRPr="00A7112B" w14:paraId="7C71D750" w14:textId="77777777" w:rsidTr="006B2F50">
        <w:trPr>
          <w:trHeight w:hRule="exact" w:val="284"/>
          <w:jc w:val="center"/>
        </w:trPr>
        <w:tc>
          <w:tcPr>
            <w:tcW w:w="2687" w:type="dxa"/>
            <w:vAlign w:val="bottom"/>
          </w:tcPr>
          <w:p w14:paraId="2BBA6997" w14:textId="34C7CED4" w:rsidR="00585147" w:rsidRDefault="00585147" w:rsidP="00585147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</w:rPr>
              <w:t>dec/16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9719BCD" w14:textId="77777777" w:rsidR="00585147" w:rsidRPr="00F347CF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8.235.849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0672C811" w14:textId="77777777" w:rsidR="00585147" w:rsidRPr="00F347CF" w:rsidRDefault="00585147" w:rsidP="0058514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7.025.277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585147" w:rsidRPr="00A7112B" w14:paraId="1F3A906C" w14:textId="77777777" w:rsidTr="006B2F50">
        <w:trPr>
          <w:trHeight w:hRule="exact" w:val="284"/>
          <w:jc w:val="center"/>
        </w:trPr>
        <w:tc>
          <w:tcPr>
            <w:tcW w:w="2687" w:type="dxa"/>
            <w:shd w:val="clear" w:color="auto" w:fill="31B7BC"/>
          </w:tcPr>
          <w:p w14:paraId="6C8D2E4B" w14:textId="3E01407D" w:rsidR="00585147" w:rsidRPr="00444E8D" w:rsidRDefault="00585147" w:rsidP="00585147">
            <w:pPr>
              <w:spacing w:after="0" w:line="240" w:lineRule="auto"/>
              <w:jc w:val="center"/>
              <w:rPr>
                <w:rFonts w:ascii="FlandersArtSans-Light" w:eastAsia="Times New Roman" w:hAnsi="FlandersArtSans-Light" w:cs="Calibri"/>
                <w:b/>
                <w:color w:val="FFFFFF" w:themeColor="background1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b/>
                <w:color w:val="FFFFFF" w:themeColor="background1"/>
                <w:lang w:eastAsia="nl-BE"/>
              </w:rPr>
              <w:t>2017</w:t>
            </w:r>
          </w:p>
        </w:tc>
        <w:tc>
          <w:tcPr>
            <w:tcW w:w="2835" w:type="dxa"/>
            <w:shd w:val="clear" w:color="auto" w:fill="31B7BC"/>
            <w:noWrap/>
            <w:hideMark/>
          </w:tcPr>
          <w:p w14:paraId="7F35E8F4" w14:textId="77777777" w:rsidR="00585147" w:rsidRPr="00C36319" w:rsidRDefault="00585147" w:rsidP="006B2F50">
            <w:pPr>
              <w:rPr>
                <w:b/>
                <w:color w:val="FFFFFF" w:themeColor="background1"/>
              </w:rPr>
            </w:pPr>
            <w:r w:rsidRPr="00C36319">
              <w:rPr>
                <w:b/>
                <w:color w:val="FFFFFF" w:themeColor="background1"/>
              </w:rPr>
              <w:t>Aantal uitbetaald</w:t>
            </w:r>
          </w:p>
        </w:tc>
        <w:tc>
          <w:tcPr>
            <w:tcW w:w="2120" w:type="dxa"/>
            <w:shd w:val="clear" w:color="auto" w:fill="31B7BC"/>
            <w:noWrap/>
            <w:vAlign w:val="bottom"/>
            <w:hideMark/>
          </w:tcPr>
          <w:p w14:paraId="5236E6A1" w14:textId="44093661" w:rsidR="00585147" w:rsidRPr="00444E8D" w:rsidRDefault="00585147" w:rsidP="00CD66C5">
            <w:pPr>
              <w:spacing w:after="0" w:line="240" w:lineRule="auto"/>
              <w:rPr>
                <w:rFonts w:ascii="FlandersArtSans-Light" w:eastAsia="Times New Roman" w:hAnsi="FlandersArtSans-Light" w:cs="Calibri"/>
                <w:b/>
                <w:color w:val="FFFFFF" w:themeColor="background1"/>
                <w:lang w:eastAsia="nl-BE"/>
              </w:rPr>
            </w:pPr>
            <w:r w:rsidRPr="00DD4617">
              <w:rPr>
                <w:b/>
                <w:color w:val="FFFFFF" w:themeColor="background1"/>
              </w:rPr>
              <w:t xml:space="preserve">Aantal </w:t>
            </w:r>
            <w:r w:rsidR="00CD66C5">
              <w:rPr>
                <w:b/>
                <w:color w:val="FFFFFF" w:themeColor="background1"/>
              </w:rPr>
              <w:t>aangekocht</w:t>
            </w:r>
            <w:r w:rsidRPr="00444E8D">
              <w:rPr>
                <w:rFonts w:ascii="FlandersArtSans-Light" w:eastAsia="Times New Roman" w:hAnsi="FlandersArtSans-Light" w:cs="Calibri"/>
                <w:b/>
                <w:color w:val="FFFFFF" w:themeColor="background1"/>
                <w:lang w:eastAsia="nl-BE"/>
              </w:rPr>
              <w:t xml:space="preserve"> DCH</w:t>
            </w:r>
          </w:p>
        </w:tc>
      </w:tr>
      <w:tr w:rsidR="00585147" w:rsidRPr="00A7112B" w14:paraId="278B3E0B" w14:textId="77777777" w:rsidTr="006B2F50">
        <w:trPr>
          <w:trHeight w:hRule="exact" w:val="284"/>
          <w:jc w:val="center"/>
        </w:trPr>
        <w:tc>
          <w:tcPr>
            <w:tcW w:w="2687" w:type="dxa"/>
          </w:tcPr>
          <w:p w14:paraId="2918AE99" w14:textId="6AB0005D" w:rsidR="00585147" w:rsidRDefault="00585147" w:rsidP="006F7DD6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</w:rPr>
              <w:t>j</w:t>
            </w:r>
            <w:r w:rsidRPr="00585147">
              <w:rPr>
                <w:rFonts w:ascii="Calibri" w:hAnsi="Calibri"/>
                <w:color w:val="000000"/>
              </w:rPr>
              <w:t>an/17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B91020F" w14:textId="3DA24D09" w:rsidR="00585147" w:rsidRPr="00585147" w:rsidRDefault="000A3F78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6.259.375</w:t>
            </w:r>
            <w:r w:rsidR="00585147" w:rsidRPr="00585147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 xml:space="preserve"> </w:t>
            </w:r>
          </w:p>
          <w:p w14:paraId="32EEF5A1" w14:textId="77777777" w:rsidR="00585147" w:rsidRDefault="00585147" w:rsidP="006F7DD6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19C42187" w14:textId="34282B77" w:rsidR="00585147" w:rsidRPr="00585147" w:rsidRDefault="00585147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 w:rsidRPr="00585147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7.</w:t>
            </w:r>
            <w:r w:rsidR="004C228E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786.053</w:t>
            </w:r>
            <w:r w:rsidRPr="00585147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 xml:space="preserve"> </w:t>
            </w:r>
          </w:p>
          <w:p w14:paraId="1451F75C" w14:textId="77777777" w:rsidR="00585147" w:rsidRDefault="00585147" w:rsidP="006F7DD6">
            <w:pPr>
              <w:spacing w:after="0" w:line="240" w:lineRule="auto"/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</w:p>
        </w:tc>
      </w:tr>
      <w:tr w:rsidR="00E9433A" w:rsidRPr="00A7112B" w14:paraId="4A219881" w14:textId="77777777" w:rsidTr="006B2F50">
        <w:trPr>
          <w:trHeight w:hRule="exact" w:val="284"/>
          <w:jc w:val="center"/>
        </w:trPr>
        <w:tc>
          <w:tcPr>
            <w:tcW w:w="2687" w:type="dxa"/>
          </w:tcPr>
          <w:p w14:paraId="7BF3081E" w14:textId="2BA717EF" w:rsidR="00E9433A" w:rsidRDefault="007132C4" w:rsidP="006F7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feb/17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58B50D9" w14:textId="4B18A337" w:rsidR="00E9433A" w:rsidRPr="00585147" w:rsidRDefault="00E9433A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6.717.399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3CA968AD" w14:textId="76C1DF59" w:rsidR="00E9433A" w:rsidRPr="00585147" w:rsidRDefault="00E9433A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6.870.408</w:t>
            </w:r>
          </w:p>
        </w:tc>
      </w:tr>
      <w:tr w:rsidR="007132C4" w:rsidRPr="00A7112B" w14:paraId="09599789" w14:textId="77777777" w:rsidTr="006B2F50">
        <w:trPr>
          <w:trHeight w:hRule="exact" w:val="284"/>
          <w:jc w:val="center"/>
        </w:trPr>
        <w:tc>
          <w:tcPr>
            <w:tcW w:w="2687" w:type="dxa"/>
          </w:tcPr>
          <w:p w14:paraId="356D8115" w14:textId="761753FE" w:rsidR="007132C4" w:rsidRDefault="007132C4" w:rsidP="006F7D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mrt/17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D614808" w14:textId="38382109" w:rsidR="007132C4" w:rsidRPr="007132C4" w:rsidRDefault="007132C4" w:rsidP="007132C4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 w:rsidRPr="007132C4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7.</w:t>
            </w:r>
            <w:r w:rsidR="000A3F78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971.383</w:t>
            </w:r>
            <w:r w:rsidRPr="007132C4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 xml:space="preserve"> </w:t>
            </w:r>
          </w:p>
          <w:p w14:paraId="44FDDC2B" w14:textId="77777777" w:rsidR="007132C4" w:rsidRDefault="007132C4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4EF8B8D0" w14:textId="76C6C175" w:rsidR="007132C4" w:rsidRDefault="007132C4" w:rsidP="007132C4">
            <w:pPr>
              <w:jc w:val="center"/>
              <w:rPr>
                <w:rFonts w:ascii="Calibri" w:hAnsi="Calibri"/>
                <w:color w:val="000000"/>
              </w:rPr>
            </w:pPr>
            <w:r w:rsidRPr="007132C4"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7.590.035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59F439C8" w14:textId="77777777" w:rsidR="007132C4" w:rsidRDefault="007132C4" w:rsidP="00585147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</w:p>
        </w:tc>
      </w:tr>
      <w:tr w:rsidR="000A3F78" w:rsidRPr="00A7112B" w14:paraId="30CD5166" w14:textId="77777777" w:rsidTr="006B2F50">
        <w:trPr>
          <w:trHeight w:hRule="exact" w:val="284"/>
          <w:jc w:val="center"/>
        </w:trPr>
        <w:tc>
          <w:tcPr>
            <w:tcW w:w="2687" w:type="dxa"/>
          </w:tcPr>
          <w:p w14:paraId="1549B8D3" w14:textId="77777777" w:rsidR="006F5A3E" w:rsidRDefault="006F5A3E" w:rsidP="006F5A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apr/17</w:t>
            </w:r>
          </w:p>
          <w:p w14:paraId="18FBE126" w14:textId="77777777" w:rsidR="000A3F78" w:rsidRDefault="000A3F78" w:rsidP="006F7DD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1F92FFF" w14:textId="792EBA89" w:rsidR="000A3F78" w:rsidRPr="007132C4" w:rsidRDefault="000A3F78" w:rsidP="007132C4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6.765.448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1FB2FE2A" w14:textId="246294A1" w:rsidR="000A3F78" w:rsidRPr="007132C4" w:rsidRDefault="000A3F78" w:rsidP="007132C4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6.569.349</w:t>
            </w:r>
          </w:p>
        </w:tc>
      </w:tr>
      <w:tr w:rsidR="007B6464" w:rsidRPr="00A7112B" w14:paraId="10A501C9" w14:textId="77777777" w:rsidTr="006B2F50">
        <w:trPr>
          <w:trHeight w:hRule="exact" w:val="284"/>
          <w:jc w:val="center"/>
        </w:trPr>
        <w:tc>
          <w:tcPr>
            <w:tcW w:w="2687" w:type="dxa"/>
          </w:tcPr>
          <w:p w14:paraId="000A7B41" w14:textId="0BEE3947" w:rsidR="007B6464" w:rsidRDefault="007B6464" w:rsidP="006F5A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mei/17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D27165A" w14:textId="299B270B" w:rsidR="007B6464" w:rsidRDefault="007B6464" w:rsidP="007132C4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7.385.717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4F9134D7" w14:textId="29D6EDD0" w:rsidR="007B6464" w:rsidRDefault="007B6464" w:rsidP="007132C4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7.500.646</w:t>
            </w:r>
          </w:p>
        </w:tc>
      </w:tr>
      <w:tr w:rsidR="00A374D6" w:rsidRPr="00A7112B" w14:paraId="52EB030E" w14:textId="77777777" w:rsidTr="006B2F50">
        <w:trPr>
          <w:trHeight w:hRule="exact" w:val="284"/>
          <w:jc w:val="center"/>
        </w:trPr>
        <w:tc>
          <w:tcPr>
            <w:tcW w:w="2687" w:type="dxa"/>
          </w:tcPr>
          <w:p w14:paraId="0F26DA4D" w14:textId="1DBDEC78" w:rsidR="00A374D6" w:rsidRDefault="00A374D6" w:rsidP="006F5A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jun/17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09186D3" w14:textId="0111677C" w:rsidR="00A374D6" w:rsidRDefault="00A374D6" w:rsidP="007132C4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7.371.359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49EE3819" w14:textId="475F00CE" w:rsidR="00A374D6" w:rsidRDefault="00A374D6" w:rsidP="007132C4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7.317.424</w:t>
            </w:r>
          </w:p>
        </w:tc>
      </w:tr>
      <w:tr w:rsidR="00725F59" w:rsidRPr="00A7112B" w14:paraId="3137F776" w14:textId="77777777" w:rsidTr="006B2F50">
        <w:trPr>
          <w:trHeight w:hRule="exact" w:val="284"/>
          <w:jc w:val="center"/>
        </w:trPr>
        <w:tc>
          <w:tcPr>
            <w:tcW w:w="2687" w:type="dxa"/>
          </w:tcPr>
          <w:p w14:paraId="22E09508" w14:textId="208844AA" w:rsidR="00725F59" w:rsidRDefault="00725F59" w:rsidP="006F5A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jul/17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CC20B0E" w14:textId="062B08EE" w:rsidR="00725F59" w:rsidRDefault="00725F59" w:rsidP="00725F59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6.463.771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5B2EE5EF" w14:textId="0E5FA434" w:rsidR="00725F59" w:rsidRDefault="00725F59" w:rsidP="00725F59">
            <w:pPr>
              <w:jc w:val="center"/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color w:val="000000"/>
                <w:lang w:eastAsia="nl-BE"/>
              </w:rPr>
              <w:t>5.739.264</w:t>
            </w:r>
          </w:p>
        </w:tc>
      </w:tr>
      <w:tr w:rsidR="00585147" w:rsidRPr="00A7112B" w14:paraId="19B4194F" w14:textId="77777777" w:rsidTr="006B2F50">
        <w:trPr>
          <w:trHeight w:hRule="exact" w:val="284"/>
          <w:jc w:val="center"/>
        </w:trPr>
        <w:tc>
          <w:tcPr>
            <w:tcW w:w="2687" w:type="dxa"/>
            <w:shd w:val="clear" w:color="auto" w:fill="31B7BC"/>
          </w:tcPr>
          <w:p w14:paraId="097F687C" w14:textId="7C3A09B5" w:rsidR="00585147" w:rsidRPr="00444E8D" w:rsidRDefault="00585147" w:rsidP="00585147">
            <w:pPr>
              <w:spacing w:after="0" w:line="240" w:lineRule="auto"/>
              <w:jc w:val="center"/>
              <w:rPr>
                <w:rFonts w:ascii="FlandersArtSans-Light" w:eastAsia="Times New Roman" w:hAnsi="FlandersArtSans-Light" w:cs="Calibri"/>
                <w:b/>
                <w:color w:val="FFFFFF" w:themeColor="background1"/>
                <w:lang w:eastAsia="nl-BE"/>
              </w:rPr>
            </w:pPr>
            <w:r>
              <w:rPr>
                <w:rFonts w:ascii="FlandersArtSans-Light" w:eastAsia="Times New Roman" w:hAnsi="FlandersArtSans-Light" w:cs="Calibri"/>
                <w:b/>
                <w:color w:val="FFFFFF" w:themeColor="background1"/>
                <w:lang w:eastAsia="nl-BE"/>
              </w:rPr>
              <w:t>Totaal</w:t>
            </w:r>
          </w:p>
        </w:tc>
        <w:tc>
          <w:tcPr>
            <w:tcW w:w="2835" w:type="dxa"/>
            <w:shd w:val="clear" w:color="auto" w:fill="31B7BC"/>
            <w:noWrap/>
            <w:hideMark/>
          </w:tcPr>
          <w:p w14:paraId="22BA1A23" w14:textId="77777777" w:rsidR="00725F59" w:rsidRDefault="00725F59" w:rsidP="00725F59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48.934.452 </w:t>
            </w:r>
          </w:p>
          <w:p w14:paraId="77D8152A" w14:textId="21302181" w:rsidR="00585147" w:rsidRPr="00C36319" w:rsidRDefault="00585147" w:rsidP="0058514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120" w:type="dxa"/>
            <w:shd w:val="clear" w:color="auto" w:fill="31B7BC"/>
            <w:noWrap/>
            <w:vAlign w:val="bottom"/>
            <w:hideMark/>
          </w:tcPr>
          <w:p w14:paraId="0DB1A601" w14:textId="77777777" w:rsidR="00725F59" w:rsidRDefault="00725F59" w:rsidP="00725F59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49.373.179 </w:t>
            </w:r>
          </w:p>
          <w:p w14:paraId="37B0EE56" w14:textId="22B8BEE6" w:rsidR="00585147" w:rsidRPr="00444E8D" w:rsidRDefault="00585147" w:rsidP="00585147">
            <w:pPr>
              <w:spacing w:after="0" w:line="240" w:lineRule="auto"/>
              <w:jc w:val="center"/>
              <w:rPr>
                <w:rFonts w:ascii="FlandersArtSans-Light" w:eastAsia="Times New Roman" w:hAnsi="FlandersArtSans-Light" w:cs="Calibri"/>
                <w:b/>
                <w:color w:val="FFFFFF" w:themeColor="background1"/>
                <w:lang w:eastAsia="nl-BE"/>
              </w:rPr>
            </w:pPr>
          </w:p>
        </w:tc>
      </w:tr>
    </w:tbl>
    <w:p w14:paraId="5CEB75F1" w14:textId="77777777" w:rsidR="003F6038" w:rsidRDefault="003F6038" w:rsidP="003F6038">
      <w:pPr>
        <w:jc w:val="center"/>
        <w:rPr>
          <w:b/>
        </w:rPr>
      </w:pPr>
      <w:r>
        <w:rPr>
          <w:b/>
        </w:rPr>
        <w:t xml:space="preserve">Bron: </w:t>
      </w:r>
      <w:proofErr w:type="spellStart"/>
      <w:r>
        <w:rPr>
          <w:b/>
        </w:rPr>
        <w:t>Sodexo</w:t>
      </w:r>
      <w:proofErr w:type="spellEnd"/>
    </w:p>
    <w:p w14:paraId="62C14252" w14:textId="2654CE1F" w:rsidR="007B6464" w:rsidRPr="007B6464" w:rsidRDefault="00472393" w:rsidP="007B6464">
      <w:pPr>
        <w:pStyle w:val="Bijschrift"/>
        <w:spacing w:after="0"/>
        <w:jc w:val="center"/>
      </w:pPr>
      <w:r>
        <w:rPr>
          <w:noProof/>
          <w:lang w:eastAsia="nl-BE"/>
        </w:rPr>
        <w:drawing>
          <wp:inline distT="0" distB="0" distL="0" distR="0" wp14:anchorId="1E744F8F" wp14:editId="420AF461">
            <wp:extent cx="4572000" cy="2743200"/>
            <wp:effectExtent l="0" t="0" r="0" b="0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8D1C357" w14:textId="4D2578D6" w:rsidR="00925AE3" w:rsidRDefault="00733EC3" w:rsidP="00925AE3">
      <w:pPr>
        <w:jc w:val="center"/>
        <w:rPr>
          <w:b/>
        </w:rPr>
      </w:pPr>
      <w:r>
        <w:rPr>
          <w:b/>
        </w:rPr>
        <w:t xml:space="preserve">Bron: </w:t>
      </w:r>
      <w:proofErr w:type="spellStart"/>
      <w:r>
        <w:rPr>
          <w:b/>
        </w:rPr>
        <w:t>Sodexo</w:t>
      </w:r>
      <w:proofErr w:type="spellEnd"/>
    </w:p>
    <w:p w14:paraId="5E424540" w14:textId="77777777" w:rsidR="0065482F" w:rsidRDefault="0065482F" w:rsidP="005B20B8">
      <w:pPr>
        <w:rPr>
          <w:rFonts w:ascii="FlandersArtSans-Light" w:hAnsi="FlandersArtSans-Light"/>
          <w:b/>
          <w:sz w:val="40"/>
          <w:szCs w:val="40"/>
        </w:rPr>
      </w:pPr>
    </w:p>
    <w:p w14:paraId="6305ABE5" w14:textId="08233C90" w:rsidR="003F6038" w:rsidRPr="00925AE3" w:rsidRDefault="003F6038" w:rsidP="005B20B8">
      <w:pPr>
        <w:rPr>
          <w:b/>
        </w:rPr>
      </w:pPr>
      <w:r>
        <w:rPr>
          <w:rFonts w:ascii="FlandersArtSans-Light" w:hAnsi="FlandersArtSans-Light"/>
          <w:b/>
          <w:sz w:val="40"/>
          <w:szCs w:val="40"/>
        </w:rPr>
        <w:lastRenderedPageBreak/>
        <w:t>A</w:t>
      </w:r>
      <w:r w:rsidRPr="00140622">
        <w:rPr>
          <w:rFonts w:ascii="FlandersArtSans-Light" w:hAnsi="FlandersArtSans-Light"/>
          <w:b/>
          <w:sz w:val="40"/>
          <w:szCs w:val="40"/>
        </w:rPr>
        <w:t>andeel elektronische dienstencheques</w:t>
      </w:r>
    </w:p>
    <w:p w14:paraId="6BA04B3B" w14:textId="12ADE80D" w:rsidR="00D916E2" w:rsidRDefault="00472393" w:rsidP="00D916E2">
      <w:pPr>
        <w:jc w:val="both"/>
        <w:rPr>
          <w:rFonts w:ascii="FlandersArtSans-Light" w:hAnsi="FlandersArtSans-Light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5521703D" wp14:editId="58CF64AD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760220" cy="2392680"/>
            <wp:effectExtent l="0" t="0" r="11430" b="7620"/>
            <wp:wrapSquare wrapText="bothSides"/>
            <wp:docPr id="8" name="Grafiek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D916E2" w:rsidRPr="00C36319">
        <w:rPr>
          <w:rFonts w:ascii="FlandersArtSans-Light" w:hAnsi="FlandersArtSans-Light"/>
        </w:rPr>
        <w:t>Dienstencheque</w:t>
      </w:r>
      <w:r w:rsidR="00CE411E">
        <w:rPr>
          <w:rFonts w:ascii="FlandersArtSans-Light" w:hAnsi="FlandersArtSans-Light"/>
        </w:rPr>
        <w:t>s worden aangeboden in papieren</w:t>
      </w:r>
      <w:r w:rsidR="00D916E2" w:rsidRPr="00C36319">
        <w:rPr>
          <w:rFonts w:ascii="FlandersArtSans-Light" w:hAnsi="FlandersArtSans-Light"/>
        </w:rPr>
        <w:t xml:space="preserve"> en elektronisch formaat. </w:t>
      </w:r>
      <w:r w:rsidR="009A6318">
        <w:rPr>
          <w:rFonts w:ascii="FlandersArtSans-Light" w:hAnsi="FlandersArtSans-Light"/>
        </w:rPr>
        <w:t xml:space="preserve">In </w:t>
      </w:r>
      <w:r w:rsidR="00723388">
        <w:rPr>
          <w:rFonts w:ascii="FlandersArtSans-Light" w:hAnsi="FlandersArtSans-Light"/>
        </w:rPr>
        <w:t>ju</w:t>
      </w:r>
      <w:r w:rsidR="00EE5159">
        <w:rPr>
          <w:rFonts w:ascii="FlandersArtSans-Light" w:hAnsi="FlandersArtSans-Light"/>
        </w:rPr>
        <w:t>l</w:t>
      </w:r>
      <w:r w:rsidR="007B6464">
        <w:rPr>
          <w:rFonts w:ascii="FlandersArtSans-Light" w:hAnsi="FlandersArtSans-Light"/>
        </w:rPr>
        <w:t>i</w:t>
      </w:r>
      <w:r w:rsidR="001968A8">
        <w:rPr>
          <w:rFonts w:ascii="FlandersArtSans-Light" w:hAnsi="FlandersArtSans-Light"/>
        </w:rPr>
        <w:t xml:space="preserve"> 2017</w:t>
      </w:r>
      <w:r w:rsidR="00D916E2" w:rsidRPr="00C36319">
        <w:rPr>
          <w:rFonts w:ascii="FlandersArtSans-Light" w:hAnsi="FlandersArtSans-Light"/>
        </w:rPr>
        <w:t xml:space="preserve"> </w:t>
      </w:r>
      <w:r w:rsidR="00723388">
        <w:rPr>
          <w:rFonts w:ascii="FlandersArtSans-Light" w:hAnsi="FlandersArtSans-Light"/>
        </w:rPr>
        <w:t xml:space="preserve">merken we </w:t>
      </w:r>
      <w:r w:rsidR="00EE5159">
        <w:rPr>
          <w:rFonts w:ascii="FlandersArtSans-Light" w:hAnsi="FlandersArtSans-Light"/>
        </w:rPr>
        <w:t>een degelijke</w:t>
      </w:r>
      <w:r w:rsidR="00723388">
        <w:rPr>
          <w:rFonts w:ascii="FlandersArtSans-Light" w:hAnsi="FlandersArtSans-Light"/>
        </w:rPr>
        <w:t xml:space="preserve"> stijging van</w:t>
      </w:r>
      <w:r w:rsidR="007132C4">
        <w:rPr>
          <w:rFonts w:ascii="FlandersArtSans-Light" w:hAnsi="FlandersArtSans-Light"/>
        </w:rPr>
        <w:t xml:space="preserve"> het aandeel elektronische dienstencheques</w:t>
      </w:r>
      <w:r w:rsidR="009A6318">
        <w:rPr>
          <w:rFonts w:ascii="FlandersArtSans-Light" w:hAnsi="FlandersArtSans-Light"/>
        </w:rPr>
        <w:t xml:space="preserve">. </w:t>
      </w:r>
      <w:r w:rsidR="00723388">
        <w:rPr>
          <w:rFonts w:ascii="FlandersArtSans-Light" w:hAnsi="FlandersArtSans-Light"/>
        </w:rPr>
        <w:t xml:space="preserve">Hierdoor komt het aandeel </w:t>
      </w:r>
      <w:r w:rsidR="00EE5159">
        <w:rPr>
          <w:rFonts w:ascii="FlandersArtSans-Light" w:hAnsi="FlandersArtSans-Light"/>
        </w:rPr>
        <w:t xml:space="preserve">voor het eerst </w:t>
      </w:r>
      <w:r w:rsidR="00723388">
        <w:rPr>
          <w:rFonts w:ascii="FlandersArtSans-Light" w:hAnsi="FlandersArtSans-Light"/>
        </w:rPr>
        <w:t>boven de 50% uit.</w:t>
      </w:r>
    </w:p>
    <w:p w14:paraId="7F72FB82" w14:textId="1F889FB7" w:rsidR="00D916E2" w:rsidRDefault="00D916E2" w:rsidP="00D916E2">
      <w:pPr>
        <w:jc w:val="both"/>
        <w:rPr>
          <w:rFonts w:ascii="FlandersArtSans-Light" w:hAnsi="FlandersArtSans-Light"/>
        </w:rPr>
      </w:pPr>
    </w:p>
    <w:p w14:paraId="5763E3DB" w14:textId="4EF7D625" w:rsidR="001968A8" w:rsidRDefault="001968A8" w:rsidP="00D916E2">
      <w:pPr>
        <w:jc w:val="both"/>
        <w:rPr>
          <w:rFonts w:ascii="FlandersArtSans-Light" w:hAnsi="FlandersArtSans-Light"/>
        </w:rPr>
      </w:pPr>
      <w:r>
        <w:rPr>
          <w:rFonts w:ascii="FlandersArtSans-Light" w:hAnsi="FlandersArtSans-Light"/>
        </w:rPr>
        <w:t>Het aandeel elektronische dienstencheques evolueerde positief de voorbije maanden. In onderstaande grafiek wordt de evolutie van dit aandeel weergegeven vanaf 2016.</w:t>
      </w:r>
      <w:r w:rsidR="00EE5159">
        <w:rPr>
          <w:rFonts w:ascii="FlandersArtSans-Light" w:hAnsi="FlandersArtSans-Light"/>
        </w:rPr>
        <w:t xml:space="preserve"> </w:t>
      </w:r>
    </w:p>
    <w:p w14:paraId="40B4FE44" w14:textId="77777777" w:rsidR="009A6318" w:rsidRDefault="009A6318" w:rsidP="00D916E2">
      <w:pPr>
        <w:jc w:val="both"/>
        <w:rPr>
          <w:rFonts w:ascii="FlandersArtSans-Light" w:hAnsi="FlandersArtSans-Light"/>
        </w:rPr>
      </w:pPr>
    </w:p>
    <w:p w14:paraId="01F5CD62" w14:textId="50E9D524" w:rsidR="00D916E2" w:rsidRDefault="00D916E2" w:rsidP="00D916E2">
      <w:pPr>
        <w:jc w:val="both"/>
        <w:rPr>
          <w:rFonts w:ascii="FlandersArtSans-Light" w:hAnsi="FlandersArtSans-Light"/>
        </w:rPr>
      </w:pPr>
    </w:p>
    <w:p w14:paraId="35A297FA" w14:textId="67079394" w:rsidR="0065482F" w:rsidRDefault="00472393" w:rsidP="00D916E2">
      <w:pPr>
        <w:jc w:val="both"/>
        <w:rPr>
          <w:rFonts w:ascii="FlandersArtSans-Light" w:hAnsi="FlandersArtSans-Light"/>
        </w:rPr>
      </w:pPr>
      <w:r>
        <w:rPr>
          <w:noProof/>
          <w:lang w:eastAsia="nl-BE"/>
        </w:rPr>
        <w:drawing>
          <wp:inline distT="0" distB="0" distL="0" distR="0" wp14:anchorId="28B5896E" wp14:editId="188C96D7">
            <wp:extent cx="5760720" cy="4194175"/>
            <wp:effectExtent l="0" t="0" r="11430" b="15875"/>
            <wp:docPr id="9" name="Grafiek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5DD09C5" w14:textId="1F15F982" w:rsidR="006F5A3E" w:rsidRDefault="006F5A3E" w:rsidP="00D916E2">
      <w:pPr>
        <w:jc w:val="both"/>
        <w:rPr>
          <w:rFonts w:ascii="FlandersArtSans-Light" w:hAnsi="FlandersArtSans-Light"/>
        </w:rPr>
      </w:pPr>
    </w:p>
    <w:p w14:paraId="2911BDEE" w14:textId="00FED3CE" w:rsidR="006F5A3E" w:rsidRDefault="006F5A3E" w:rsidP="00D916E2">
      <w:pPr>
        <w:jc w:val="both"/>
        <w:rPr>
          <w:rFonts w:ascii="FlandersArtSans-Light" w:hAnsi="FlandersArtSans-Light"/>
        </w:rPr>
      </w:pPr>
    </w:p>
    <w:p w14:paraId="4B102BE6" w14:textId="62F8AA94" w:rsidR="006F5A3E" w:rsidRDefault="006F5A3E" w:rsidP="00D916E2">
      <w:pPr>
        <w:jc w:val="both"/>
        <w:rPr>
          <w:rFonts w:ascii="FlandersArtSans-Light" w:hAnsi="FlandersArtSans-Light"/>
        </w:rPr>
      </w:pPr>
    </w:p>
    <w:p w14:paraId="78B4D0A5" w14:textId="58AEFEB4" w:rsidR="006F5A3E" w:rsidRDefault="006F5A3E" w:rsidP="00D916E2">
      <w:pPr>
        <w:jc w:val="both"/>
        <w:rPr>
          <w:rFonts w:ascii="FlandersArtSans-Light" w:hAnsi="FlandersArtSans-Light"/>
        </w:rPr>
      </w:pPr>
    </w:p>
    <w:p w14:paraId="4C6E36E7" w14:textId="77777777" w:rsidR="006F5A3E" w:rsidRDefault="006F5A3E" w:rsidP="00D916E2">
      <w:pPr>
        <w:jc w:val="both"/>
        <w:rPr>
          <w:rFonts w:ascii="FlandersArtSans-Light" w:hAnsi="FlandersArtSans-Light"/>
        </w:rPr>
      </w:pPr>
    </w:p>
    <w:p w14:paraId="7B6A6D29" w14:textId="77777777" w:rsidR="00F43E4F" w:rsidRDefault="00F43E4F" w:rsidP="006A526B">
      <w:pPr>
        <w:spacing w:after="0"/>
        <w:jc w:val="both"/>
        <w:rPr>
          <w:rFonts w:ascii="FlandersArtSans-Light" w:hAnsi="FlandersArtSans-Light"/>
          <w:b/>
          <w:sz w:val="40"/>
          <w:szCs w:val="40"/>
        </w:rPr>
      </w:pPr>
      <w:r>
        <w:rPr>
          <w:rFonts w:ascii="FlandersArtSans-Light" w:hAnsi="FlandersArtSans-Light"/>
          <w:b/>
          <w:sz w:val="40"/>
          <w:szCs w:val="40"/>
        </w:rPr>
        <w:lastRenderedPageBreak/>
        <w:t>Ondernemingen</w:t>
      </w:r>
    </w:p>
    <w:p w14:paraId="3CEAAA3E" w14:textId="143EB3A4" w:rsidR="00FB1D1F" w:rsidRDefault="00FB1D1F" w:rsidP="00FB1D1F">
      <w:pPr>
        <w:jc w:val="both"/>
        <w:rPr>
          <w:rFonts w:ascii="FlandersArtSans-Light" w:hAnsi="FlandersArtSans-Light"/>
        </w:rPr>
      </w:pPr>
      <w:r w:rsidRPr="001968A8">
        <w:rPr>
          <w:rFonts w:ascii="FlandersArtSans-Light" w:hAnsi="FlandersArtSans-Light"/>
        </w:rPr>
        <w:t xml:space="preserve">Dienstencheques </w:t>
      </w:r>
      <w:r>
        <w:rPr>
          <w:rFonts w:ascii="FlandersArtSans-Light" w:hAnsi="FlandersArtSans-Light"/>
        </w:rPr>
        <w:t>mogen enkel aangewend worden bij erkende Dienstencheque-ondernemingen. Een dienstencheque-erkenning wordt aangevraagd bij het Departement Werk en Sociale Economie en verleend door</w:t>
      </w:r>
      <w:r w:rsidRPr="001968A8">
        <w:rPr>
          <w:rFonts w:ascii="FlandersArtSans-Light" w:hAnsi="FlandersArtSans-Light"/>
        </w:rPr>
        <w:t xml:space="preserve"> de Vlaamse Minister van Werk. </w:t>
      </w:r>
      <w:r w:rsidRPr="00FD3EBC">
        <w:rPr>
          <w:rFonts w:ascii="FlandersArtSans-Light" w:hAnsi="FlandersArtSans-Light"/>
        </w:rPr>
        <w:t>Na een initiële forse groei heeft het aantal erkenningen tijdens de voorbije jaren zich gestabiliseerd, zoals afgebeeld in onderstaande grafiek.</w:t>
      </w:r>
    </w:p>
    <w:p w14:paraId="048970B6" w14:textId="0903F0F9" w:rsidR="00723388" w:rsidRPr="001637B5" w:rsidRDefault="00723388" w:rsidP="00723388">
      <w:pPr>
        <w:jc w:val="both"/>
        <w:rPr>
          <w:rFonts w:ascii="FlandersArtSans-Light" w:hAnsi="FlandersArtSans-Light"/>
        </w:rPr>
      </w:pPr>
      <w:r w:rsidRPr="001637B5">
        <w:rPr>
          <w:rFonts w:ascii="FlandersArtSans-Light" w:hAnsi="FlandersArtSans-Light"/>
        </w:rPr>
        <w:t xml:space="preserve">In </w:t>
      </w:r>
      <w:r>
        <w:rPr>
          <w:rFonts w:ascii="FlandersArtSans-Light" w:hAnsi="FlandersArtSans-Light"/>
        </w:rPr>
        <w:t>ju</w:t>
      </w:r>
      <w:r w:rsidR="00EE5159">
        <w:rPr>
          <w:rFonts w:ascii="FlandersArtSans-Light" w:hAnsi="FlandersArtSans-Light"/>
        </w:rPr>
        <w:t>l</w:t>
      </w:r>
      <w:r>
        <w:rPr>
          <w:rFonts w:ascii="FlandersArtSans-Light" w:hAnsi="FlandersArtSans-Light"/>
        </w:rPr>
        <w:t>i</w:t>
      </w:r>
      <w:r w:rsidRPr="001637B5">
        <w:rPr>
          <w:rFonts w:ascii="FlandersArtSans-Light" w:hAnsi="FlandersArtSans-Light"/>
        </w:rPr>
        <w:t xml:space="preserve"> 2017 werd</w:t>
      </w:r>
      <w:r w:rsidR="00EE5159">
        <w:rPr>
          <w:rFonts w:ascii="FlandersArtSans-Light" w:hAnsi="FlandersArtSans-Light"/>
        </w:rPr>
        <w:t xml:space="preserve">en geen </w:t>
      </w:r>
      <w:r w:rsidRPr="001637B5">
        <w:rPr>
          <w:rFonts w:ascii="FlandersArtSans-Light" w:hAnsi="FlandersArtSans-Light"/>
        </w:rPr>
        <w:t>nieuwe erkenning</w:t>
      </w:r>
      <w:r w:rsidR="00EE5159">
        <w:rPr>
          <w:rFonts w:ascii="FlandersArtSans-Light" w:hAnsi="FlandersArtSans-Light"/>
        </w:rPr>
        <w:t>en toegekend, maar e</w:t>
      </w:r>
      <w:r>
        <w:rPr>
          <w:rFonts w:ascii="FlandersArtSans-Light" w:hAnsi="FlandersArtSans-Light"/>
        </w:rPr>
        <w:t>r werd</w:t>
      </w:r>
      <w:r w:rsidR="00EE5159">
        <w:rPr>
          <w:rFonts w:ascii="FlandersArtSans-Light" w:hAnsi="FlandersArtSans-Light"/>
        </w:rPr>
        <w:t>en wel 5</w:t>
      </w:r>
      <w:r>
        <w:rPr>
          <w:rFonts w:ascii="FlandersArtSans-Light" w:hAnsi="FlandersArtSans-Light"/>
        </w:rPr>
        <w:t xml:space="preserve"> vrijwillige intrekking</w:t>
      </w:r>
      <w:r w:rsidR="00EE5159">
        <w:rPr>
          <w:rFonts w:ascii="FlandersArtSans-Light" w:hAnsi="FlandersArtSans-Light"/>
        </w:rPr>
        <w:t>en</w:t>
      </w:r>
      <w:r w:rsidRPr="001637B5">
        <w:rPr>
          <w:rFonts w:ascii="FlandersArtSans-Light" w:hAnsi="FlandersArtSans-Light"/>
        </w:rPr>
        <w:t xml:space="preserve"> doorgevoerd</w:t>
      </w:r>
      <w:r w:rsidR="00EE5159">
        <w:rPr>
          <w:rFonts w:ascii="FlandersArtSans-Light" w:hAnsi="FlandersArtSans-Light"/>
        </w:rPr>
        <w:t xml:space="preserve">. </w:t>
      </w:r>
      <w:r w:rsidRPr="001637B5">
        <w:rPr>
          <w:rFonts w:ascii="FlandersArtSans-Light" w:hAnsi="FlandersArtSans-Light"/>
        </w:rPr>
        <w:t xml:space="preserve">Bijgevolg staat de teller van het aantal erkende ondernemingen met maatschappelijke zetel in het Vlaams Gewest op </w:t>
      </w:r>
      <w:r>
        <w:rPr>
          <w:rFonts w:ascii="FlandersArtSans-Light" w:hAnsi="FlandersArtSans-Light"/>
        </w:rPr>
        <w:t>89</w:t>
      </w:r>
      <w:r w:rsidR="00EE5159">
        <w:rPr>
          <w:rFonts w:ascii="FlandersArtSans-Light" w:hAnsi="FlandersArtSans-Light"/>
        </w:rPr>
        <w:t>0</w:t>
      </w:r>
      <w:r>
        <w:rPr>
          <w:rStyle w:val="Voetnootmarkering"/>
          <w:rFonts w:ascii="FlandersArtSans-Light" w:hAnsi="FlandersArtSans-Light"/>
        </w:rPr>
        <w:footnoteReference w:id="7"/>
      </w:r>
      <w:r w:rsidRPr="001637B5">
        <w:rPr>
          <w:rFonts w:ascii="FlandersArtSans-Light" w:hAnsi="FlandersArtSans-Light"/>
        </w:rPr>
        <w:t>.</w:t>
      </w:r>
    </w:p>
    <w:p w14:paraId="6047896B" w14:textId="77777777" w:rsidR="00A47AF7" w:rsidRDefault="008D4820" w:rsidP="00A47AF7">
      <w:pPr>
        <w:spacing w:line="240" w:lineRule="auto"/>
        <w:jc w:val="both"/>
        <w:rPr>
          <w:b/>
        </w:rPr>
      </w:pPr>
      <w:r w:rsidRPr="00DB59F5">
        <w:rPr>
          <w:b/>
        </w:rPr>
        <w:t>Actieve dienstencheque-ondernemingen met erkenning in het Vlaams Gewest naar gewest van maatschappelijke zetel (MZ), 2005- 2017</w:t>
      </w:r>
      <w:r w:rsidRPr="00240285">
        <w:rPr>
          <w:rStyle w:val="Voetnootmarkering"/>
          <w:b/>
        </w:rPr>
        <w:footnoteReference w:id="8"/>
      </w:r>
    </w:p>
    <w:p w14:paraId="09B5AFA0" w14:textId="7A62ABBC" w:rsidR="008D4820" w:rsidRPr="00DB59F5" w:rsidRDefault="00EE5159" w:rsidP="00A47AF7">
      <w:pPr>
        <w:spacing w:line="240" w:lineRule="auto"/>
        <w:jc w:val="both"/>
        <w:rPr>
          <w:b/>
        </w:rPr>
      </w:pPr>
      <w:r>
        <w:rPr>
          <w:noProof/>
          <w:lang w:eastAsia="nl-BE"/>
        </w:rPr>
        <w:drawing>
          <wp:inline distT="0" distB="0" distL="0" distR="0" wp14:anchorId="36633984" wp14:editId="4B07EE7C">
            <wp:extent cx="5707380" cy="3108960"/>
            <wp:effectExtent l="0" t="0" r="7620" b="15240"/>
            <wp:docPr id="10" name="Grafiek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A1F313E" w14:textId="77777777" w:rsidR="008D4820" w:rsidRPr="00DB59F5" w:rsidRDefault="008D4820" w:rsidP="008D4820">
      <w:pPr>
        <w:pStyle w:val="Lijstalinea"/>
        <w:ind w:left="360"/>
        <w:jc w:val="center"/>
        <w:rPr>
          <w:b/>
        </w:rPr>
      </w:pPr>
      <w:r w:rsidRPr="00DB59F5">
        <w:rPr>
          <w:b/>
        </w:rPr>
        <w:t>Bron: DWSE</w:t>
      </w:r>
    </w:p>
    <w:p w14:paraId="4FACBAAE" w14:textId="218D8CF9" w:rsidR="002B53E6" w:rsidRPr="005B20B8" w:rsidRDefault="002B53E6" w:rsidP="008D4820">
      <w:pPr>
        <w:jc w:val="both"/>
        <w:rPr>
          <w:b/>
        </w:rPr>
      </w:pPr>
    </w:p>
    <w:sectPr w:rsidR="002B53E6" w:rsidRPr="005B20B8" w:rsidSect="00B27F2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34777" w14:textId="77777777" w:rsidR="00756B8C" w:rsidRDefault="00756B8C" w:rsidP="00F43E4F">
      <w:pPr>
        <w:spacing w:after="0" w:line="240" w:lineRule="auto"/>
      </w:pPr>
      <w:r>
        <w:separator/>
      </w:r>
    </w:p>
  </w:endnote>
  <w:endnote w:type="continuationSeparator" w:id="0">
    <w:p w14:paraId="7112F14C" w14:textId="77777777" w:rsidR="00756B8C" w:rsidRDefault="00756B8C" w:rsidP="00F43E4F">
      <w:pPr>
        <w:spacing w:after="0" w:line="240" w:lineRule="auto"/>
      </w:pPr>
      <w:r>
        <w:continuationSeparator/>
      </w:r>
    </w:p>
  </w:endnote>
  <w:endnote w:type="continuationNotice" w:id="1">
    <w:p w14:paraId="2158B1D6" w14:textId="77777777" w:rsidR="00756B8C" w:rsidRDefault="00756B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05BB2" w14:textId="77777777" w:rsidR="00756B8C" w:rsidRDefault="00756B8C" w:rsidP="00F43E4F">
      <w:pPr>
        <w:spacing w:after="0" w:line="240" w:lineRule="auto"/>
      </w:pPr>
      <w:r>
        <w:separator/>
      </w:r>
    </w:p>
  </w:footnote>
  <w:footnote w:type="continuationSeparator" w:id="0">
    <w:p w14:paraId="531E2EB4" w14:textId="77777777" w:rsidR="00756B8C" w:rsidRDefault="00756B8C" w:rsidP="00F43E4F">
      <w:pPr>
        <w:spacing w:after="0" w:line="240" w:lineRule="auto"/>
      </w:pPr>
      <w:r>
        <w:continuationSeparator/>
      </w:r>
    </w:p>
  </w:footnote>
  <w:footnote w:type="continuationNotice" w:id="1">
    <w:p w14:paraId="409E160D" w14:textId="77777777" w:rsidR="00756B8C" w:rsidRDefault="00756B8C">
      <w:pPr>
        <w:spacing w:after="0" w:line="240" w:lineRule="auto"/>
      </w:pPr>
    </w:p>
  </w:footnote>
  <w:footnote w:id="2">
    <w:p w14:paraId="330EB646" w14:textId="77777777" w:rsidR="00756B8C" w:rsidRDefault="00756B8C">
      <w:pPr>
        <w:pStyle w:val="Voetnoottekst"/>
      </w:pPr>
      <w:r>
        <w:rPr>
          <w:rStyle w:val="Voetnootmarkering"/>
        </w:rPr>
        <w:footnoteRef/>
      </w:r>
      <w:r>
        <w:t xml:space="preserve"> Voor het totaal van de verstreken maanden ten opzichte van dezelfde periode het jaar voordien.</w:t>
      </w:r>
    </w:p>
  </w:footnote>
  <w:footnote w:id="3">
    <w:p w14:paraId="56735FFD" w14:textId="2FF0BE48" w:rsidR="00756B8C" w:rsidRDefault="00756B8C" w:rsidP="00925AE3">
      <w:pPr>
        <w:pStyle w:val="Voetnoottekst"/>
      </w:pPr>
      <w:r>
        <w:rPr>
          <w:rStyle w:val="Voetnootmarkering"/>
        </w:rPr>
        <w:footnoteRef/>
      </w:r>
      <w:r>
        <w:t xml:space="preserve"> Erkende ondernemingen met maatschappelijke zetel in het Vlaams Gewest.</w:t>
      </w:r>
    </w:p>
  </w:footnote>
  <w:footnote w:id="4">
    <w:p w14:paraId="23364E78" w14:textId="27376C18" w:rsidR="00756B8C" w:rsidRDefault="00756B8C" w:rsidP="00CA0E60">
      <w:pPr>
        <w:pStyle w:val="Voetnoottekst"/>
      </w:pPr>
      <w:r>
        <w:rPr>
          <w:rStyle w:val="Voetnootmarkering"/>
        </w:rPr>
        <w:footnoteRef/>
      </w:r>
      <w:r>
        <w:t xml:space="preserve"> Omvat enkel subsidie-uitgaven voor Vlaamse dienstencheques.</w:t>
      </w:r>
    </w:p>
  </w:footnote>
  <w:footnote w:id="5">
    <w:p w14:paraId="756D1819" w14:textId="77777777" w:rsidR="00756B8C" w:rsidRDefault="00756B8C" w:rsidP="00E37C5A">
      <w:pPr>
        <w:pStyle w:val="Voetnoottekst"/>
      </w:pPr>
      <w:r>
        <w:rPr>
          <w:rStyle w:val="Voetnootmarkering"/>
        </w:rPr>
        <w:footnoteRef/>
      </w:r>
      <w:r>
        <w:t xml:space="preserve"> De maatregel werd tussen deze datum en 31 december 2015 door RVA beheerd in naam van de gewesten. Voor statistieken met betrekking tot deze en de voorgaande periode zie </w:t>
      </w:r>
      <w:hyperlink r:id="rId1" w:anchor="16428" w:history="1">
        <w:r w:rsidRPr="005734BD">
          <w:rPr>
            <w:rStyle w:val="Hyperlink"/>
          </w:rPr>
          <w:t>http://www.rva.be/nl/documentatie/statistieken/dienstencheques#16428</w:t>
        </w:r>
      </w:hyperlink>
      <w:r>
        <w:t xml:space="preserve">. </w:t>
      </w:r>
    </w:p>
  </w:footnote>
  <w:footnote w:id="6">
    <w:p w14:paraId="7542745C" w14:textId="77777777" w:rsidR="00756B8C" w:rsidRDefault="00756B8C" w:rsidP="00F43E4F">
      <w:pPr>
        <w:pStyle w:val="Voetnoottekst"/>
      </w:pPr>
      <w:r>
        <w:rPr>
          <w:rStyle w:val="Voetnootmarkering"/>
        </w:rPr>
        <w:footnoteRef/>
      </w:r>
      <w:r>
        <w:t xml:space="preserve"> Dit geldt slechts voor de eerste EUR 1500 die elke gebruiker per jaar aan dienstencheques uitgeeft. </w:t>
      </w:r>
    </w:p>
  </w:footnote>
  <w:footnote w:id="7">
    <w:p w14:paraId="27B5B49C" w14:textId="1A8561AF" w:rsidR="00756B8C" w:rsidRDefault="00756B8C" w:rsidP="00723388">
      <w:pPr>
        <w:pStyle w:val="Voetnoottekst"/>
      </w:pPr>
      <w:r>
        <w:rPr>
          <w:rStyle w:val="Voetnootmarkering"/>
        </w:rPr>
        <w:footnoteRef/>
      </w:r>
      <w:r>
        <w:t xml:space="preserve"> Dit aantal geeft het aantal actieve erkende ondernemingen met maatschappelijke zetel in het Vlaams Gewest weer op </w:t>
      </w:r>
      <w:r w:rsidR="00EE5159">
        <w:t>31 juli</w:t>
      </w:r>
      <w:r>
        <w:t xml:space="preserve"> 2017. Hierbij wordt rekening gehouden met alle beslissingen tot erkenning of intrekking die in de maand ju</w:t>
      </w:r>
      <w:r w:rsidR="00EE5159">
        <w:t>l</w:t>
      </w:r>
      <w:r>
        <w:t>i genomen werden, met als bepalende factor de datum van beslissing. Beslissingen die in de komende maanden genomen worden, maar waarvan de effectieve datum van intrekking van de erkenning in ju</w:t>
      </w:r>
      <w:r w:rsidR="00EE5159">
        <w:t>l</w:t>
      </w:r>
      <w:r>
        <w:t>i ligt, zijn hier niet in rekening gebracht.</w:t>
      </w:r>
    </w:p>
  </w:footnote>
  <w:footnote w:id="8">
    <w:p w14:paraId="08498BC9" w14:textId="77777777" w:rsidR="00756B8C" w:rsidRDefault="00756B8C" w:rsidP="008D4820">
      <w:pPr>
        <w:pStyle w:val="Voetnoottekst"/>
      </w:pPr>
      <w:r>
        <w:rPr>
          <w:rStyle w:val="Voetnootmarkering"/>
        </w:rPr>
        <w:footnoteRef/>
      </w:r>
      <w:r>
        <w:t xml:space="preserve"> Voor 2017 worden enkel de beschikbare maanden weergegeven.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C7D4F"/>
    <w:multiLevelType w:val="hybridMultilevel"/>
    <w:tmpl w:val="E66EAC8A"/>
    <w:lvl w:ilvl="0" w:tplc="3458A2E6">
      <w:start w:val="5"/>
      <w:numFmt w:val="bullet"/>
      <w:lvlText w:val="-"/>
      <w:lvlJc w:val="left"/>
      <w:pPr>
        <w:ind w:left="720" w:hanging="360"/>
      </w:pPr>
      <w:rPr>
        <w:rFonts w:ascii="FlandersArtSans-Light" w:eastAsiaTheme="minorHAnsi" w:hAnsi="FlandersArtSans-Ligh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4F"/>
    <w:rsid w:val="00022F0D"/>
    <w:rsid w:val="00047A57"/>
    <w:rsid w:val="000A3F78"/>
    <w:rsid w:val="000C1F3D"/>
    <w:rsid w:val="000E7ACF"/>
    <w:rsid w:val="000F42C8"/>
    <w:rsid w:val="000F7E42"/>
    <w:rsid w:val="00110555"/>
    <w:rsid w:val="00145A12"/>
    <w:rsid w:val="001511E6"/>
    <w:rsid w:val="00153E55"/>
    <w:rsid w:val="00154CCD"/>
    <w:rsid w:val="0019523D"/>
    <w:rsid w:val="001968A8"/>
    <w:rsid w:val="001A10AF"/>
    <w:rsid w:val="001A1830"/>
    <w:rsid w:val="001D56DC"/>
    <w:rsid w:val="001E005F"/>
    <w:rsid w:val="001F0746"/>
    <w:rsid w:val="0020263C"/>
    <w:rsid w:val="00207F4F"/>
    <w:rsid w:val="00211025"/>
    <w:rsid w:val="00240285"/>
    <w:rsid w:val="00247163"/>
    <w:rsid w:val="002565BD"/>
    <w:rsid w:val="00257221"/>
    <w:rsid w:val="00292FDA"/>
    <w:rsid w:val="002A37A9"/>
    <w:rsid w:val="002B53E6"/>
    <w:rsid w:val="002C45EE"/>
    <w:rsid w:val="0032326A"/>
    <w:rsid w:val="003276A2"/>
    <w:rsid w:val="003448BF"/>
    <w:rsid w:val="0036370E"/>
    <w:rsid w:val="00380484"/>
    <w:rsid w:val="00383529"/>
    <w:rsid w:val="003E0DA4"/>
    <w:rsid w:val="003E4B0B"/>
    <w:rsid w:val="003F57E0"/>
    <w:rsid w:val="003F6038"/>
    <w:rsid w:val="00444E8D"/>
    <w:rsid w:val="00450A4B"/>
    <w:rsid w:val="00461DAA"/>
    <w:rsid w:val="00472393"/>
    <w:rsid w:val="004B3B2C"/>
    <w:rsid w:val="004C228E"/>
    <w:rsid w:val="004D3424"/>
    <w:rsid w:val="004F7388"/>
    <w:rsid w:val="0051549B"/>
    <w:rsid w:val="005277F2"/>
    <w:rsid w:val="00531456"/>
    <w:rsid w:val="0054243B"/>
    <w:rsid w:val="005543B7"/>
    <w:rsid w:val="00560F28"/>
    <w:rsid w:val="005742FC"/>
    <w:rsid w:val="00585147"/>
    <w:rsid w:val="005A6E57"/>
    <w:rsid w:val="005B20B8"/>
    <w:rsid w:val="005E6F65"/>
    <w:rsid w:val="00601DE6"/>
    <w:rsid w:val="00615CAA"/>
    <w:rsid w:val="00651FFC"/>
    <w:rsid w:val="0065482F"/>
    <w:rsid w:val="00654D35"/>
    <w:rsid w:val="00692B74"/>
    <w:rsid w:val="006A526B"/>
    <w:rsid w:val="006A5282"/>
    <w:rsid w:val="006B07AE"/>
    <w:rsid w:val="006B1B6E"/>
    <w:rsid w:val="006B2F50"/>
    <w:rsid w:val="006D41AD"/>
    <w:rsid w:val="006E4140"/>
    <w:rsid w:val="006F5A3E"/>
    <w:rsid w:val="006F7DD6"/>
    <w:rsid w:val="007132C4"/>
    <w:rsid w:val="0072226F"/>
    <w:rsid w:val="00723388"/>
    <w:rsid w:val="00725F59"/>
    <w:rsid w:val="00733EC3"/>
    <w:rsid w:val="007541E3"/>
    <w:rsid w:val="00756B8C"/>
    <w:rsid w:val="007A2FEB"/>
    <w:rsid w:val="007B2BF2"/>
    <w:rsid w:val="007B6464"/>
    <w:rsid w:val="007D3B2F"/>
    <w:rsid w:val="007F0FAE"/>
    <w:rsid w:val="008307BA"/>
    <w:rsid w:val="00830976"/>
    <w:rsid w:val="00833666"/>
    <w:rsid w:val="008360C0"/>
    <w:rsid w:val="00854DD4"/>
    <w:rsid w:val="00864456"/>
    <w:rsid w:val="0087168F"/>
    <w:rsid w:val="00875724"/>
    <w:rsid w:val="0087681B"/>
    <w:rsid w:val="00883274"/>
    <w:rsid w:val="008875C6"/>
    <w:rsid w:val="008928D3"/>
    <w:rsid w:val="008A3034"/>
    <w:rsid w:val="008D4820"/>
    <w:rsid w:val="008E4A8B"/>
    <w:rsid w:val="008F5F1D"/>
    <w:rsid w:val="00925AE3"/>
    <w:rsid w:val="00960DE0"/>
    <w:rsid w:val="00980300"/>
    <w:rsid w:val="009852E3"/>
    <w:rsid w:val="00987751"/>
    <w:rsid w:val="00994906"/>
    <w:rsid w:val="009A2861"/>
    <w:rsid w:val="009A6318"/>
    <w:rsid w:val="009B13B8"/>
    <w:rsid w:val="009B258C"/>
    <w:rsid w:val="009D26E1"/>
    <w:rsid w:val="009E0246"/>
    <w:rsid w:val="009F55A0"/>
    <w:rsid w:val="00A06480"/>
    <w:rsid w:val="00A125F3"/>
    <w:rsid w:val="00A12CD4"/>
    <w:rsid w:val="00A14830"/>
    <w:rsid w:val="00A32C10"/>
    <w:rsid w:val="00A374D6"/>
    <w:rsid w:val="00A47AF7"/>
    <w:rsid w:val="00A56A63"/>
    <w:rsid w:val="00A75C33"/>
    <w:rsid w:val="00A82F8C"/>
    <w:rsid w:val="00A83229"/>
    <w:rsid w:val="00A8547B"/>
    <w:rsid w:val="00AB78FE"/>
    <w:rsid w:val="00B1708D"/>
    <w:rsid w:val="00B21ABE"/>
    <w:rsid w:val="00B27F2C"/>
    <w:rsid w:val="00B30B58"/>
    <w:rsid w:val="00B360AC"/>
    <w:rsid w:val="00B90820"/>
    <w:rsid w:val="00BA2D20"/>
    <w:rsid w:val="00BB406B"/>
    <w:rsid w:val="00BB7F1D"/>
    <w:rsid w:val="00BC20B7"/>
    <w:rsid w:val="00BD0D72"/>
    <w:rsid w:val="00BD1422"/>
    <w:rsid w:val="00C1226F"/>
    <w:rsid w:val="00C36319"/>
    <w:rsid w:val="00C3705A"/>
    <w:rsid w:val="00C57899"/>
    <w:rsid w:val="00C62DE9"/>
    <w:rsid w:val="00C7129A"/>
    <w:rsid w:val="00C8294F"/>
    <w:rsid w:val="00C84B55"/>
    <w:rsid w:val="00CA0E60"/>
    <w:rsid w:val="00CA30C4"/>
    <w:rsid w:val="00CA6C34"/>
    <w:rsid w:val="00CB1375"/>
    <w:rsid w:val="00CB1F14"/>
    <w:rsid w:val="00CC0D41"/>
    <w:rsid w:val="00CD5074"/>
    <w:rsid w:val="00CD66C5"/>
    <w:rsid w:val="00CE411E"/>
    <w:rsid w:val="00CE5968"/>
    <w:rsid w:val="00CF59EB"/>
    <w:rsid w:val="00D30B46"/>
    <w:rsid w:val="00D42A5D"/>
    <w:rsid w:val="00D45A71"/>
    <w:rsid w:val="00D51313"/>
    <w:rsid w:val="00D67193"/>
    <w:rsid w:val="00D7277F"/>
    <w:rsid w:val="00D85EB2"/>
    <w:rsid w:val="00D916E2"/>
    <w:rsid w:val="00DA7742"/>
    <w:rsid w:val="00DB046F"/>
    <w:rsid w:val="00DD03E6"/>
    <w:rsid w:val="00DD4563"/>
    <w:rsid w:val="00DD4617"/>
    <w:rsid w:val="00E0012F"/>
    <w:rsid w:val="00E169FF"/>
    <w:rsid w:val="00E37C5A"/>
    <w:rsid w:val="00E8002D"/>
    <w:rsid w:val="00E91E53"/>
    <w:rsid w:val="00E9433A"/>
    <w:rsid w:val="00E94CCF"/>
    <w:rsid w:val="00E97EA9"/>
    <w:rsid w:val="00EA19E4"/>
    <w:rsid w:val="00EA69F8"/>
    <w:rsid w:val="00ED06DF"/>
    <w:rsid w:val="00EE455B"/>
    <w:rsid w:val="00EE5159"/>
    <w:rsid w:val="00EF5996"/>
    <w:rsid w:val="00EF7C11"/>
    <w:rsid w:val="00F20486"/>
    <w:rsid w:val="00F347CF"/>
    <w:rsid w:val="00F355D8"/>
    <w:rsid w:val="00F43E4F"/>
    <w:rsid w:val="00F62539"/>
    <w:rsid w:val="00F825F0"/>
    <w:rsid w:val="00F930F1"/>
    <w:rsid w:val="00FA53D3"/>
    <w:rsid w:val="00FB1D1F"/>
    <w:rsid w:val="00FD3676"/>
    <w:rsid w:val="00FD3EBC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FB91"/>
  <w15:docId w15:val="{55F692F6-EBCC-4E70-B557-847C3DC6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43E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3E4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3E4F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3E4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3E4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43E4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3E4F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3232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0F28"/>
  </w:style>
  <w:style w:type="paragraph" w:styleId="Voettekst">
    <w:name w:val="footer"/>
    <w:basedOn w:val="Standaard"/>
    <w:link w:val="VoettekstChar"/>
    <w:uiPriority w:val="99"/>
    <w:unhideWhenUsed/>
    <w:rsid w:val="005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rk.be/online-diensten/dienstencheques" TargetMode="External"/><Relationship Id="rId17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a.be/nl/documentatie/statistieken/dienstencheque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BE"/>
              <a:t>Aangekochte</a:t>
            </a:r>
            <a:r>
              <a:rPr lang="nl-BE" baseline="0"/>
              <a:t> vs Uitbetaalde Vlaamse DCH </a:t>
            </a:r>
          </a:p>
          <a:p>
            <a:pPr>
              <a:defRPr/>
            </a:pPr>
            <a:r>
              <a:rPr lang="nl-BE" baseline="0"/>
              <a:t>2016-2017</a:t>
            </a:r>
            <a:endParaRPr lang="nl-B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'aangekocht vs terugbetaald'!$C$1</c:f>
              <c:strCache>
                <c:ptCount val="1"/>
                <c:pt idx="0">
                  <c:v>Aantal uitbetaalde DCH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'aangekocht vs terugbetaald'!$B$2:$B$20</c:f>
              <c:strCache>
                <c:ptCount val="19"/>
                <c:pt idx="0">
                  <c:v>Januari</c:v>
                </c:pt>
                <c:pt idx="1">
                  <c:v>Februari</c:v>
                </c:pt>
                <c:pt idx="2">
                  <c:v>Maart</c:v>
                </c:pt>
                <c:pt idx="3">
                  <c:v>April</c:v>
                </c:pt>
                <c:pt idx="4">
                  <c:v>Mei</c:v>
                </c:pt>
                <c:pt idx="5">
                  <c:v>Juni</c:v>
                </c:pt>
                <c:pt idx="6">
                  <c:v>Juli</c:v>
                </c:pt>
                <c:pt idx="7">
                  <c:v>Augustus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December</c:v>
                </c:pt>
                <c:pt idx="12">
                  <c:v>Januari</c:v>
                </c:pt>
                <c:pt idx="13">
                  <c:v>Februari</c:v>
                </c:pt>
                <c:pt idx="14">
                  <c:v>Maart</c:v>
                </c:pt>
                <c:pt idx="15">
                  <c:v>April</c:v>
                </c:pt>
                <c:pt idx="16">
                  <c:v>Mei</c:v>
                </c:pt>
                <c:pt idx="17">
                  <c:v>Juni</c:v>
                </c:pt>
                <c:pt idx="18">
                  <c:v>Juli</c:v>
                </c:pt>
              </c:strCache>
            </c:strRef>
          </c:cat>
          <c:val>
            <c:numRef>
              <c:f>'aangekocht vs terugbetaald'!$C$2:$C$20</c:f>
              <c:numCache>
                <c:formatCode>0.0</c:formatCode>
                <c:ptCount val="19"/>
                <c:pt idx="0">
                  <c:v>1.5490740000000001</c:v>
                </c:pt>
                <c:pt idx="1">
                  <c:v>2.9082249999999998</c:v>
                </c:pt>
                <c:pt idx="2">
                  <c:v>5.1841989999999996</c:v>
                </c:pt>
                <c:pt idx="3">
                  <c:v>6.387518</c:v>
                </c:pt>
                <c:pt idx="4">
                  <c:v>6.1</c:v>
                </c:pt>
                <c:pt idx="5">
                  <c:v>7.2</c:v>
                </c:pt>
                <c:pt idx="6">
                  <c:v>7.2</c:v>
                </c:pt>
                <c:pt idx="7">
                  <c:v>4.7</c:v>
                </c:pt>
                <c:pt idx="8">
                  <c:v>6.8</c:v>
                </c:pt>
                <c:pt idx="9">
                  <c:v>7.2</c:v>
                </c:pt>
                <c:pt idx="10">
                  <c:v>6.5</c:v>
                </c:pt>
                <c:pt idx="11">
                  <c:v>8.1999999999999993</c:v>
                </c:pt>
                <c:pt idx="12" formatCode="General">
                  <c:v>6.3</c:v>
                </c:pt>
                <c:pt idx="13">
                  <c:v>6.7</c:v>
                </c:pt>
                <c:pt idx="14">
                  <c:v>8</c:v>
                </c:pt>
                <c:pt idx="15">
                  <c:v>6.8</c:v>
                </c:pt>
                <c:pt idx="16">
                  <c:v>7.4</c:v>
                </c:pt>
                <c:pt idx="17">
                  <c:v>7.4</c:v>
                </c:pt>
                <c:pt idx="18">
                  <c:v>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640-4231-B9A5-D2085687EE56}"/>
            </c:ext>
          </c:extLst>
        </c:ser>
        <c:ser>
          <c:idx val="2"/>
          <c:order val="2"/>
          <c:tx>
            <c:strRef>
              <c:f>'aangekocht vs terugbetaald'!$D$1</c:f>
              <c:strCache>
                <c:ptCount val="1"/>
                <c:pt idx="0">
                  <c:v>Aantal aangekochte DCH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'aangekocht vs terugbetaald'!$B$2:$B$20</c:f>
              <c:strCache>
                <c:ptCount val="19"/>
                <c:pt idx="0">
                  <c:v>Januari</c:v>
                </c:pt>
                <c:pt idx="1">
                  <c:v>Februari</c:v>
                </c:pt>
                <c:pt idx="2">
                  <c:v>Maart</c:v>
                </c:pt>
                <c:pt idx="3">
                  <c:v>April</c:v>
                </c:pt>
                <c:pt idx="4">
                  <c:v>Mei</c:v>
                </c:pt>
                <c:pt idx="5">
                  <c:v>Juni</c:v>
                </c:pt>
                <c:pt idx="6">
                  <c:v>Juli</c:v>
                </c:pt>
                <c:pt idx="7">
                  <c:v>Augustus</c:v>
                </c:pt>
                <c:pt idx="8">
                  <c:v>September</c:v>
                </c:pt>
                <c:pt idx="9">
                  <c:v>Oktober</c:v>
                </c:pt>
                <c:pt idx="10">
                  <c:v>November</c:v>
                </c:pt>
                <c:pt idx="11">
                  <c:v>December</c:v>
                </c:pt>
                <c:pt idx="12">
                  <c:v>Januari</c:v>
                </c:pt>
                <c:pt idx="13">
                  <c:v>Februari</c:v>
                </c:pt>
                <c:pt idx="14">
                  <c:v>Maart</c:v>
                </c:pt>
                <c:pt idx="15">
                  <c:v>April</c:v>
                </c:pt>
                <c:pt idx="16">
                  <c:v>Mei</c:v>
                </c:pt>
                <c:pt idx="17">
                  <c:v>Juni</c:v>
                </c:pt>
                <c:pt idx="18">
                  <c:v>Juli</c:v>
                </c:pt>
              </c:strCache>
            </c:strRef>
          </c:cat>
          <c:val>
            <c:numRef>
              <c:f>'aangekocht vs terugbetaald'!$D$2:$D$20</c:f>
              <c:numCache>
                <c:formatCode>0.0</c:formatCode>
                <c:ptCount val="19"/>
                <c:pt idx="0">
                  <c:v>7.0619300000000003</c:v>
                </c:pt>
                <c:pt idx="1">
                  <c:v>6.8848890000000003</c:v>
                </c:pt>
                <c:pt idx="2">
                  <c:v>7.1860759999999999</c:v>
                </c:pt>
                <c:pt idx="3">
                  <c:v>6.9412789999999998</c:v>
                </c:pt>
                <c:pt idx="4">
                  <c:v>7</c:v>
                </c:pt>
                <c:pt idx="5">
                  <c:v>7.3</c:v>
                </c:pt>
                <c:pt idx="6">
                  <c:v>5.3</c:v>
                </c:pt>
                <c:pt idx="7">
                  <c:v>6.1</c:v>
                </c:pt>
                <c:pt idx="8">
                  <c:v>7.2</c:v>
                </c:pt>
                <c:pt idx="9">
                  <c:v>7</c:v>
                </c:pt>
                <c:pt idx="10">
                  <c:v>6.8</c:v>
                </c:pt>
                <c:pt idx="11">
                  <c:v>7</c:v>
                </c:pt>
                <c:pt idx="12" formatCode="General">
                  <c:v>7.8</c:v>
                </c:pt>
                <c:pt idx="13">
                  <c:v>6.9</c:v>
                </c:pt>
                <c:pt idx="14">
                  <c:v>7.6</c:v>
                </c:pt>
                <c:pt idx="15">
                  <c:v>6.6</c:v>
                </c:pt>
                <c:pt idx="16">
                  <c:v>7.5</c:v>
                </c:pt>
                <c:pt idx="17">
                  <c:v>7.3</c:v>
                </c:pt>
                <c:pt idx="18">
                  <c:v>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640-4231-B9A5-D2085687EE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9434232"/>
        <c:axId val="379451944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'aangekocht vs terugbetaald'!$B$1</c15:sqref>
                        </c15:formulaRef>
                      </c:ext>
                    </c:extLst>
                    <c:strCache>
                      <c:ptCount val="1"/>
                      <c:pt idx="0">
                        <c:v>Periode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'aangekocht vs terugbetaald'!$B$2:$B$20</c15:sqref>
                        </c15:formulaRef>
                      </c:ext>
                    </c:extLst>
                    <c:strCache>
                      <c:ptCount val="19"/>
                      <c:pt idx="0">
                        <c:v>Januari</c:v>
                      </c:pt>
                      <c:pt idx="1">
                        <c:v>Februari</c:v>
                      </c:pt>
                      <c:pt idx="2">
                        <c:v>Maart</c:v>
                      </c:pt>
                      <c:pt idx="3">
                        <c:v>April</c:v>
                      </c:pt>
                      <c:pt idx="4">
                        <c:v>Mei</c:v>
                      </c:pt>
                      <c:pt idx="5">
                        <c:v>Juni</c:v>
                      </c:pt>
                      <c:pt idx="6">
                        <c:v>Juli</c:v>
                      </c:pt>
                      <c:pt idx="7">
                        <c:v>Augustus</c:v>
                      </c:pt>
                      <c:pt idx="8">
                        <c:v>September</c:v>
                      </c:pt>
                      <c:pt idx="9">
                        <c:v>Oktober</c:v>
                      </c:pt>
                      <c:pt idx="10">
                        <c:v>November</c:v>
                      </c:pt>
                      <c:pt idx="11">
                        <c:v>December</c:v>
                      </c:pt>
                      <c:pt idx="12">
                        <c:v>Januari</c:v>
                      </c:pt>
                      <c:pt idx="13">
                        <c:v>Februari</c:v>
                      </c:pt>
                      <c:pt idx="14">
                        <c:v>Maart</c:v>
                      </c:pt>
                      <c:pt idx="15">
                        <c:v>April</c:v>
                      </c:pt>
                      <c:pt idx="16">
                        <c:v>Mei</c:v>
                      </c:pt>
                      <c:pt idx="17">
                        <c:v>Juni</c:v>
                      </c:pt>
                      <c:pt idx="18">
                        <c:v>Juli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'aangekocht vs terugbetaald'!$B$2:$B$19</c15:sqref>
                        </c15:formulaRef>
                      </c:ext>
                    </c:extLst>
                    <c:numCache>
                      <c:formatCode>General</c:formatCode>
                      <c:ptCount val="1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  <c:pt idx="14">
                        <c:v>0</c:v>
                      </c:pt>
                      <c:pt idx="15">
                        <c:v>0</c:v>
                      </c:pt>
                      <c:pt idx="16">
                        <c:v>0</c:v>
                      </c:pt>
                      <c:pt idx="17">
                        <c:v>0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D640-4231-B9A5-D2085687EE56}"/>
                  </c:ext>
                </c:extLst>
              </c15:ser>
            </c15:filteredLineSeries>
          </c:ext>
        </c:extLst>
      </c:lineChart>
      <c:catAx>
        <c:axId val="379434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379451944"/>
        <c:crosses val="autoZero"/>
        <c:auto val="1"/>
        <c:lblAlgn val="ctr"/>
        <c:lblOffset val="100"/>
        <c:noMultiLvlLbl val="0"/>
      </c:catAx>
      <c:valAx>
        <c:axId val="379451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379434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BE"/>
              <a:t>Aandeel elektronische dienstencheques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017-451C-B8D4-C3FF4AF510E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017-451C-B8D4-C3FF4AF510E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'E-dch'!$A$3:$A$4</c:f>
              <c:strCache>
                <c:ptCount val="2"/>
                <c:pt idx="0">
                  <c:v>Papieren</c:v>
                </c:pt>
                <c:pt idx="1">
                  <c:v>Elektronische</c:v>
                </c:pt>
              </c:strCache>
            </c:strRef>
          </c:cat>
          <c:val>
            <c:numRef>
              <c:f>'E-dch'!$C$3:$C$4</c:f>
              <c:numCache>
                <c:formatCode>0.00%</c:formatCode>
                <c:ptCount val="2"/>
                <c:pt idx="0">
                  <c:v>0.47414529110352827</c:v>
                </c:pt>
                <c:pt idx="1">
                  <c:v>0.52585470889647179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017-451C-B8D4-C3FF4AF510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BE"/>
              <a:t>Evolutie aangekochte elektronische dch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>
        <c:manualLayout>
          <c:layoutTarget val="inner"/>
          <c:xMode val="edge"/>
          <c:yMode val="edge"/>
          <c:x val="0.12065187929940133"/>
          <c:y val="0.13409255242227044"/>
          <c:w val="0.78834765752320179"/>
          <c:h val="0.643658371336988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'E-dch'!$B$17</c:f>
              <c:strCache>
                <c:ptCount val="1"/>
                <c:pt idx="0">
                  <c:v>Papieren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'E-dch'!$A$18:$A$36</c:f>
              <c:numCache>
                <c:formatCode>mmm\-yy</c:formatCode>
                <c:ptCount val="19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</c:numCache>
            </c:numRef>
          </c:cat>
          <c:val>
            <c:numRef>
              <c:f>'E-dch'!$B$18:$B$36</c:f>
              <c:numCache>
                <c:formatCode>_ * #,##0_ ;_ * \-#,##0_ ;_ * "-"??_ ;_ @_ </c:formatCode>
                <c:ptCount val="19"/>
                <c:pt idx="0">
                  <c:v>4721788</c:v>
                </c:pt>
                <c:pt idx="1">
                  <c:v>4525949</c:v>
                </c:pt>
                <c:pt idx="2">
                  <c:v>4655490</c:v>
                </c:pt>
                <c:pt idx="3">
                  <c:v>4459794</c:v>
                </c:pt>
                <c:pt idx="4">
                  <c:v>4441118</c:v>
                </c:pt>
                <c:pt idx="5">
                  <c:v>4553938</c:v>
                </c:pt>
                <c:pt idx="6">
                  <c:v>3192030</c:v>
                </c:pt>
                <c:pt idx="7">
                  <c:v>3785394</c:v>
                </c:pt>
                <c:pt idx="8">
                  <c:v>4434716</c:v>
                </c:pt>
                <c:pt idx="9">
                  <c:v>4161173</c:v>
                </c:pt>
                <c:pt idx="10">
                  <c:v>4027162</c:v>
                </c:pt>
                <c:pt idx="11">
                  <c:v>3655178</c:v>
                </c:pt>
                <c:pt idx="12">
                  <c:v>4314146</c:v>
                </c:pt>
                <c:pt idx="13">
                  <c:v>3622046</c:v>
                </c:pt>
                <c:pt idx="14">
                  <c:v>4011494</c:v>
                </c:pt>
                <c:pt idx="15">
                  <c:v>3368339</c:v>
                </c:pt>
                <c:pt idx="16">
                  <c:v>3816068</c:v>
                </c:pt>
                <c:pt idx="17">
                  <c:v>3679516</c:v>
                </c:pt>
                <c:pt idx="18">
                  <c:v>2721245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DC-4504-8B94-854E61355039}"/>
            </c:ext>
          </c:extLst>
        </c:ser>
        <c:ser>
          <c:idx val="1"/>
          <c:order val="1"/>
          <c:tx>
            <c:strRef>
              <c:f>'E-dch'!$D$17</c:f>
              <c:strCache>
                <c:ptCount val="1"/>
                <c:pt idx="0">
                  <c:v>Elektronische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'E-dch'!$A$18:$A$36</c:f>
              <c:numCache>
                <c:formatCode>mmm\-yy</c:formatCode>
                <c:ptCount val="19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</c:numCache>
            </c:numRef>
          </c:cat>
          <c:val>
            <c:numRef>
              <c:f>'E-dch'!$D$18:$D$36</c:f>
              <c:numCache>
                <c:formatCode>_ * #,##0_ ;_ * \-#,##0_ ;_ * "-"??_ ;_ @_ </c:formatCode>
                <c:ptCount val="19"/>
                <c:pt idx="0">
                  <c:v>2340142</c:v>
                </c:pt>
                <c:pt idx="1">
                  <c:v>2358940</c:v>
                </c:pt>
                <c:pt idx="2">
                  <c:v>2530586</c:v>
                </c:pt>
                <c:pt idx="3">
                  <c:v>2481485</c:v>
                </c:pt>
                <c:pt idx="4">
                  <c:v>2563152</c:v>
                </c:pt>
                <c:pt idx="5">
                  <c:v>2728193</c:v>
                </c:pt>
                <c:pt idx="6">
                  <c:v>2095113</c:v>
                </c:pt>
                <c:pt idx="7">
                  <c:v>2265453</c:v>
                </c:pt>
                <c:pt idx="8">
                  <c:v>2786108</c:v>
                </c:pt>
                <c:pt idx="9">
                  <c:v>2886258</c:v>
                </c:pt>
                <c:pt idx="10">
                  <c:v>2783295</c:v>
                </c:pt>
                <c:pt idx="11">
                  <c:v>3370099</c:v>
                </c:pt>
                <c:pt idx="12">
                  <c:v>3471907</c:v>
                </c:pt>
                <c:pt idx="13">
                  <c:v>3248362</c:v>
                </c:pt>
                <c:pt idx="14">
                  <c:v>3578541</c:v>
                </c:pt>
                <c:pt idx="15">
                  <c:v>3201010</c:v>
                </c:pt>
                <c:pt idx="16">
                  <c:v>3684578</c:v>
                </c:pt>
                <c:pt idx="17">
                  <c:v>3637908</c:v>
                </c:pt>
                <c:pt idx="18">
                  <c:v>3018019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DC-4504-8B94-854E61355039}"/>
            </c:ext>
          </c:extLst>
        </c:ser>
        <c:ser>
          <c:idx val="3"/>
          <c:order val="2"/>
          <c:tx>
            <c:strRef>
              <c:f>'E-dch'!$F$17</c:f>
              <c:strCache>
                <c:ptCount val="1"/>
                <c:pt idx="0">
                  <c:v>Totaal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cat>
            <c:numRef>
              <c:f>'E-dch'!$A$18:$A$36</c:f>
              <c:numCache>
                <c:formatCode>mmm\-yy</c:formatCode>
                <c:ptCount val="19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  <c:pt idx="17">
                  <c:v>42887</c:v>
                </c:pt>
                <c:pt idx="18">
                  <c:v>42917</c:v>
                </c:pt>
              </c:numCache>
            </c:numRef>
          </c:cat>
          <c:val>
            <c:numRef>
              <c:f>'E-dch'!$F$18:$F$36</c:f>
              <c:numCache>
                <c:formatCode>_ * #,##0_ ;_ * \-#,##0_ ;_ * "-"??_ ;_ @_ </c:formatCode>
                <c:ptCount val="19"/>
                <c:pt idx="0">
                  <c:v>7061930</c:v>
                </c:pt>
                <c:pt idx="1">
                  <c:v>6884889</c:v>
                </c:pt>
                <c:pt idx="2">
                  <c:v>7186076</c:v>
                </c:pt>
                <c:pt idx="3">
                  <c:v>6941279</c:v>
                </c:pt>
                <c:pt idx="4">
                  <c:v>7004270</c:v>
                </c:pt>
                <c:pt idx="5">
                  <c:v>7282131</c:v>
                </c:pt>
                <c:pt idx="6">
                  <c:v>5287143</c:v>
                </c:pt>
                <c:pt idx="7">
                  <c:v>6050847</c:v>
                </c:pt>
                <c:pt idx="8">
                  <c:v>7220824</c:v>
                </c:pt>
                <c:pt idx="9">
                  <c:v>7047431</c:v>
                </c:pt>
                <c:pt idx="10">
                  <c:v>6810457</c:v>
                </c:pt>
                <c:pt idx="11">
                  <c:v>7025277</c:v>
                </c:pt>
                <c:pt idx="12">
                  <c:v>7786053</c:v>
                </c:pt>
                <c:pt idx="13">
                  <c:v>6870408</c:v>
                </c:pt>
                <c:pt idx="14">
                  <c:v>7590035</c:v>
                </c:pt>
                <c:pt idx="15">
                  <c:v>6569349</c:v>
                </c:pt>
                <c:pt idx="16">
                  <c:v>7500646</c:v>
                </c:pt>
                <c:pt idx="17">
                  <c:v>7317424</c:v>
                </c:pt>
                <c:pt idx="18">
                  <c:v>5739264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DC-4504-8B94-854E613550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0665856"/>
        <c:axId val="520665528"/>
      </c:barChart>
      <c:lineChart>
        <c:grouping val="standard"/>
        <c:varyColors val="0"/>
        <c:ser>
          <c:idx val="2"/>
          <c:order val="3"/>
          <c:tx>
            <c:strRef>
              <c:f>'E-dch'!$E$17</c:f>
              <c:strCache>
                <c:ptCount val="1"/>
                <c:pt idx="0">
                  <c:v>% Elektronische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Pt>
            <c:idx val="12"/>
            <c:marker>
              <c:symbol val="none"/>
            </c:marker>
            <c:bubble3D val="0"/>
            <c:spPr>
              <a:ln w="28575" cap="rnd">
                <a:solidFill>
                  <a:schemeClr val="accent3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7EDC-4504-8B94-854E61355039}"/>
              </c:ext>
            </c:extLst>
          </c:dPt>
          <c:dLbls>
            <c:dLbl>
              <c:idx val="18"/>
              <c:layout>
                <c:manualLayout>
                  <c:x val="-3.2679738562091665E-2"/>
                  <c:y val="-3.8898862956313611E-2"/>
                </c:manualLayout>
              </c:layout>
              <c:spPr>
                <a:noFill/>
                <a:ln>
                  <a:solidFill>
                    <a:schemeClr val="tx2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l-B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DC-4504-8B94-854E613550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'E-dch'!$E$18:$E$36</c:f>
              <c:numCache>
                <c:formatCode>0.00%</c:formatCode>
                <c:ptCount val="19"/>
                <c:pt idx="0">
                  <c:v>0.33137428436702149</c:v>
                </c:pt>
                <c:pt idx="1">
                  <c:v>0.3426257126294992</c:v>
                </c:pt>
                <c:pt idx="2">
                  <c:v>0.35215129926262956</c:v>
                </c:pt>
                <c:pt idx="3">
                  <c:v>0.35749679561936643</c:v>
                </c:pt>
                <c:pt idx="4">
                  <c:v>0.36594134720677529</c:v>
                </c:pt>
                <c:pt idx="5">
                  <c:v>0.37464212055509577</c:v>
                </c:pt>
                <c:pt idx="6">
                  <c:v>0.39626562020357686</c:v>
                </c:pt>
                <c:pt idx="7">
                  <c:v>0.37440262495482035</c:v>
                </c:pt>
                <c:pt idx="8">
                  <c:v>0.38584349930146478</c:v>
                </c:pt>
                <c:pt idx="9">
                  <c:v>0.40954753583256082</c:v>
                </c:pt>
                <c:pt idx="10">
                  <c:v>0.40867962311486589</c:v>
                </c:pt>
                <c:pt idx="11">
                  <c:v>0.47971047974336101</c:v>
                </c:pt>
                <c:pt idx="12">
                  <c:v>0.44591360988680656</c:v>
                </c:pt>
                <c:pt idx="13">
                  <c:v>0.47280481741404584</c:v>
                </c:pt>
                <c:pt idx="14">
                  <c:v>0.47147885352307334</c:v>
                </c:pt>
                <c:pt idx="15">
                  <c:v>0.48726441539336696</c:v>
                </c:pt>
                <c:pt idx="16">
                  <c:v>0.49123475497977109</c:v>
                </c:pt>
                <c:pt idx="17">
                  <c:v>0.49715692298273273</c:v>
                </c:pt>
                <c:pt idx="18">
                  <c:v>0.52585470889647179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EDC-4504-8B94-854E613550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2025416"/>
        <c:axId val="522020496"/>
      </c:lineChart>
      <c:dateAx>
        <c:axId val="52066585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520665528"/>
        <c:crosses val="autoZero"/>
        <c:auto val="1"/>
        <c:lblOffset val="100"/>
        <c:baseTimeUnit val="months"/>
      </c:dateAx>
      <c:valAx>
        <c:axId val="520665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 * #,##0_ ;_ * \-#,##0_ ;_ * &quot;-&quot;??_ ;_ @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520665856"/>
        <c:crosses val="autoZero"/>
        <c:crossBetween val="between"/>
      </c:valAx>
      <c:valAx>
        <c:axId val="522020496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522025416"/>
        <c:crosses val="max"/>
        <c:crossBetween val="between"/>
      </c:valAx>
      <c:catAx>
        <c:axId val="522025416"/>
        <c:scaling>
          <c:orientation val="minMax"/>
        </c:scaling>
        <c:delete val="1"/>
        <c:axPos val="b"/>
        <c:majorTickMark val="out"/>
        <c:minorTickMark val="none"/>
        <c:tickLblPos val="nextTo"/>
        <c:crossAx val="522020496"/>
        <c:crosses val="autoZero"/>
        <c:auto val="1"/>
        <c:lblAlgn val="ctr"/>
        <c:lblOffset val="100"/>
        <c:tickLblSkip val="1"/>
        <c:tickMarkSkip val="1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BE"/>
              <a:t>Erkende</a:t>
            </a:r>
            <a:r>
              <a:rPr lang="nl-BE" baseline="0"/>
              <a:t> ondernemingen</a:t>
            </a:r>
            <a:endParaRPr lang="nl-B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>
        <c:manualLayout>
          <c:layoutTarget val="inner"/>
          <c:xMode val="edge"/>
          <c:yMode val="edge"/>
          <c:x val="9.7469816272965873E-2"/>
          <c:y val="0.16708333333333336"/>
          <c:w val="0.87753018372703417"/>
          <c:h val="0.61498432487605714"/>
        </c:manualLayout>
      </c:layout>
      <c:lineChart>
        <c:grouping val="standard"/>
        <c:varyColors val="0"/>
        <c:ser>
          <c:idx val="0"/>
          <c:order val="0"/>
          <c:tx>
            <c:strRef>
              <c:f>Ondernemingen!$B$2</c:f>
              <c:strCache>
                <c:ptCount val="1"/>
                <c:pt idx="0">
                  <c:v>MZ in VL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0.05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96-444B-B274-9930AB867083}"/>
                </c:ext>
              </c:extLst>
            </c:dLbl>
            <c:dLbl>
              <c:idx val="1"/>
              <c:layout>
                <c:manualLayout>
                  <c:x val="-3.3333333333333361E-2"/>
                  <c:y val="-5.555555555555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96-444B-B274-9930AB867083}"/>
                </c:ext>
              </c:extLst>
            </c:dLbl>
            <c:dLbl>
              <c:idx val="2"/>
              <c:layout>
                <c:manualLayout>
                  <c:x val="-3.0555555555555555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96-444B-B274-9930AB867083}"/>
                </c:ext>
              </c:extLst>
            </c:dLbl>
            <c:dLbl>
              <c:idx val="3"/>
              <c:layout>
                <c:manualLayout>
                  <c:x val="-4.4444444444444446E-2"/>
                  <c:y val="4.1666666666666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96-444B-B274-9930AB867083}"/>
                </c:ext>
              </c:extLst>
            </c:dLbl>
            <c:dLbl>
              <c:idx val="4"/>
              <c:layout>
                <c:manualLayout>
                  <c:x val="-4.4444444444444495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96-444B-B274-9930AB867083}"/>
                </c:ext>
              </c:extLst>
            </c:dLbl>
            <c:dLbl>
              <c:idx val="5"/>
              <c:layout>
                <c:manualLayout>
                  <c:x val="-4.5833333333333434E-2"/>
                  <c:y val="4.16666666666665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l-B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1222222222222223E-2"/>
                      <c:h val="7.40048118985126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E96-444B-B274-9930AB867083}"/>
                </c:ext>
              </c:extLst>
            </c:dLbl>
            <c:dLbl>
              <c:idx val="6"/>
              <c:layout>
                <c:manualLayout>
                  <c:x val="-4.1666666666666664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96-444B-B274-9930AB867083}"/>
                </c:ext>
              </c:extLst>
            </c:dLbl>
            <c:dLbl>
              <c:idx val="7"/>
              <c:layout>
                <c:manualLayout>
                  <c:x val="-4.4444444444444446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96-444B-B274-9930AB867083}"/>
                </c:ext>
              </c:extLst>
            </c:dLbl>
            <c:dLbl>
              <c:idx val="8"/>
              <c:layout>
                <c:manualLayout>
                  <c:x val="-5.2777777777777882E-2"/>
                  <c:y val="4.629629629629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96-444B-B274-9930AB867083}"/>
                </c:ext>
              </c:extLst>
            </c:dLbl>
            <c:dLbl>
              <c:idx val="9"/>
              <c:layout>
                <c:manualLayout>
                  <c:x val="-0.05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96-444B-B274-9930AB867083}"/>
                </c:ext>
              </c:extLst>
            </c:dLbl>
            <c:dLbl>
              <c:idx val="10"/>
              <c:layout>
                <c:manualLayout>
                  <c:x val="-4.4444444444444543E-2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96-444B-B274-9930AB867083}"/>
                </c:ext>
              </c:extLst>
            </c:dLbl>
            <c:dLbl>
              <c:idx val="11"/>
              <c:layout>
                <c:manualLayout>
                  <c:x val="-2.5000000000000001E-2"/>
                  <c:y val="4.6296296296296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96-444B-B274-9930AB8670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Ondernemingen!$A$3:$A$15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Ondernemingen!$B$3:$B$15</c:f>
              <c:numCache>
                <c:formatCode>0</c:formatCode>
                <c:ptCount val="13"/>
                <c:pt idx="0">
                  <c:v>652</c:v>
                </c:pt>
                <c:pt idx="1">
                  <c:v>841</c:v>
                </c:pt>
                <c:pt idx="2">
                  <c:v>921</c:v>
                </c:pt>
                <c:pt idx="3">
                  <c:v>1023</c:v>
                </c:pt>
                <c:pt idx="4">
                  <c:v>1132</c:v>
                </c:pt>
                <c:pt idx="5">
                  <c:v>1166</c:v>
                </c:pt>
                <c:pt idx="6">
                  <c:v>1193</c:v>
                </c:pt>
                <c:pt idx="7">
                  <c:v>1195</c:v>
                </c:pt>
                <c:pt idx="8">
                  <c:v>1096</c:v>
                </c:pt>
                <c:pt idx="9">
                  <c:v>1000</c:v>
                </c:pt>
                <c:pt idx="10">
                  <c:v>931</c:v>
                </c:pt>
                <c:pt idx="11">
                  <c:v>915</c:v>
                </c:pt>
                <c:pt idx="12">
                  <c:v>890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4E96-444B-B274-9930AB867083}"/>
            </c:ext>
          </c:extLst>
        </c:ser>
        <c:ser>
          <c:idx val="1"/>
          <c:order val="1"/>
          <c:tx>
            <c:strRef>
              <c:f>Ondernemingen!$D$2</c:f>
              <c:strCache>
                <c:ptCount val="1"/>
                <c:pt idx="0">
                  <c:v>Totaal aantal Vlaamse erkenningen (MZ in ander Gewest)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2"/>
              <c:layout>
                <c:manualLayout>
                  <c:x val="-3.7453183520599252E-2"/>
                  <c:y val="-5.3104575163398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E96-444B-B274-9930AB8670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Ondernemingen!$A$3:$A$15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Ondernemingen!$D$3:$D$15</c:f>
              <c:numCache>
                <c:formatCode>General</c:formatCode>
                <c:ptCount val="13"/>
                <c:pt idx="0">
                  <c:v>1046</c:v>
                </c:pt>
                <c:pt idx="1">
                  <c:v>1442</c:v>
                </c:pt>
                <c:pt idx="2">
                  <c:v>1715</c:v>
                </c:pt>
                <c:pt idx="3">
                  <c:v>2128</c:v>
                </c:pt>
                <c:pt idx="4">
                  <c:v>2496</c:v>
                </c:pt>
                <c:pt idx="5">
                  <c:v>2657</c:v>
                </c:pt>
                <c:pt idx="6">
                  <c:v>2736</c:v>
                </c:pt>
                <c:pt idx="7">
                  <c:v>2696</c:v>
                </c:pt>
                <c:pt idx="8">
                  <c:v>2434</c:v>
                </c:pt>
                <c:pt idx="9">
                  <c:v>2169</c:v>
                </c:pt>
                <c:pt idx="10">
                  <c:v>1947</c:v>
                </c:pt>
                <c:pt idx="11" formatCode="0">
                  <c:v>1845</c:v>
                </c:pt>
                <c:pt idx="12" formatCode="0">
                  <c:v>1783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4E96-444B-B274-9930AB8670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0705192"/>
        <c:axId val="325703864"/>
      </c:lineChart>
      <c:catAx>
        <c:axId val="300705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325703864"/>
        <c:crosses val="autoZero"/>
        <c:auto val="1"/>
        <c:lblAlgn val="ctr"/>
        <c:lblOffset val="100"/>
        <c:noMultiLvlLbl val="0"/>
      </c:catAx>
      <c:valAx>
        <c:axId val="325703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300705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accent1">
          <a:lumMod val="7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toor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toor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toor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Kantoor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toor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Kantoor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0F98D8839D742B6D64D6B369F93CD" ma:contentTypeVersion="0" ma:contentTypeDescription="Een nieuw document maken." ma:contentTypeScope="" ma:versionID="000e638d1558ca88490a1bce7e6b42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36bbca42d058755048e8cbdd3a8f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C33E-B540-48C5-BA2C-3C2BAFBE7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2E41A-04F0-43B9-8364-93780A429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25804A-70B2-4B52-A013-433EB694E31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F58E3B-3C71-4AB8-B00C-E361CEAB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Garibay, Montserrat</dc:creator>
  <cp:lastModifiedBy>Plas Dorien</cp:lastModifiedBy>
  <cp:revision>2</cp:revision>
  <cp:lastPrinted>2016-02-09T09:29:00Z</cp:lastPrinted>
  <dcterms:created xsi:type="dcterms:W3CDTF">2019-05-06T13:40:00Z</dcterms:created>
  <dcterms:modified xsi:type="dcterms:W3CDTF">2019-05-06T13:40:00Z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0x0101008CF0F98D8839D742B6D64D6B369F93CD</vt:lpwstr>
  </property>
  <property fmtid="{D5CDD505-2E9C-101B-9397-08002B2CF9AE}" pid="3" name="IsMyDocuments">
    <vt:bool>true</vt:bool>
  </property>
</Properties>
</file>